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144D9" w14:textId="77777777" w:rsidR="00D9450F" w:rsidRPr="00E533AC" w:rsidRDefault="00D9450F" w:rsidP="00D9450F">
      <w:pPr>
        <w:jc w:val="center"/>
        <w:rPr>
          <w:b/>
          <w:bCs/>
          <w:sz w:val="28"/>
          <w:szCs w:val="24"/>
          <w:lang w:val="en-IN"/>
        </w:rPr>
      </w:pPr>
      <w:r w:rsidRPr="00E533AC">
        <w:rPr>
          <w:b/>
          <w:bCs/>
          <w:sz w:val="28"/>
          <w:szCs w:val="24"/>
          <w:lang w:val="en-IN"/>
        </w:rPr>
        <w:t xml:space="preserve">Integrated Assessment of </w:t>
      </w:r>
      <w:r>
        <w:rPr>
          <w:b/>
          <w:bCs/>
          <w:sz w:val="28"/>
          <w:szCs w:val="24"/>
          <w:lang w:val="en-IN"/>
        </w:rPr>
        <w:t>Potentially Toxic Elements</w:t>
      </w:r>
      <w:r w:rsidRPr="00E533AC">
        <w:rPr>
          <w:b/>
          <w:bCs/>
          <w:sz w:val="28"/>
          <w:szCs w:val="24"/>
          <w:lang w:val="en-IN"/>
        </w:rPr>
        <w:t xml:space="preserve"> in Street Dust: </w:t>
      </w:r>
      <w:r w:rsidRPr="00E533AC">
        <w:rPr>
          <w:b/>
          <w:bCs/>
          <w:sz w:val="28"/>
          <w:szCs w:val="24"/>
        </w:rPr>
        <w:t>Source Apportionment</w:t>
      </w:r>
      <w:r w:rsidRPr="00E533AC">
        <w:rPr>
          <w:b/>
          <w:bCs/>
          <w:sz w:val="28"/>
          <w:szCs w:val="24"/>
          <w:lang w:val="en-IN"/>
        </w:rPr>
        <w:t>, Bioaccessibility, and Health Risk</w:t>
      </w:r>
      <w:r>
        <w:rPr>
          <w:b/>
          <w:bCs/>
          <w:sz w:val="28"/>
          <w:szCs w:val="24"/>
          <w:lang w:val="en-IN"/>
        </w:rPr>
        <w:t>s</w:t>
      </w:r>
      <w:r w:rsidRPr="00E533AC">
        <w:rPr>
          <w:b/>
          <w:bCs/>
          <w:sz w:val="28"/>
          <w:szCs w:val="24"/>
          <w:lang w:val="en-IN"/>
        </w:rPr>
        <w:t xml:space="preserve"> in a Coal Mining Hub</w:t>
      </w:r>
    </w:p>
    <w:p w14:paraId="3C2B1478" w14:textId="77777777" w:rsidR="00D9450F" w:rsidRPr="00A241B7" w:rsidRDefault="00D9450F" w:rsidP="00D9450F"/>
    <w:p w14:paraId="5BBD1F0D" w14:textId="77777777" w:rsidR="00D9450F" w:rsidRPr="006B181A" w:rsidRDefault="00D9450F" w:rsidP="00D9450F">
      <w:pPr>
        <w:jc w:val="center"/>
      </w:pPr>
      <w:r w:rsidRPr="006B181A">
        <w:t>Mala Kumari</w:t>
      </w:r>
      <w:r w:rsidRPr="006B181A">
        <w:rPr>
          <w:vertAlign w:val="superscript"/>
        </w:rPr>
        <w:t>1</w:t>
      </w:r>
      <w:r w:rsidRPr="006B181A">
        <w:t>, Arpita Roy</w:t>
      </w:r>
      <w:r w:rsidRPr="006B181A">
        <w:rPr>
          <w:vertAlign w:val="superscript"/>
        </w:rPr>
        <w:t>1,</w:t>
      </w:r>
      <w:r>
        <w:rPr>
          <w:vertAlign w:val="superscript"/>
        </w:rPr>
        <w:t>2</w:t>
      </w:r>
      <w:r>
        <w:t>, Neha Bandna Barla</w:t>
      </w:r>
      <w:r w:rsidRPr="00D50FB6">
        <w:rPr>
          <w:vertAlign w:val="superscript"/>
        </w:rPr>
        <w:t>1</w:t>
      </w:r>
      <w:r>
        <w:t xml:space="preserve">, </w:t>
      </w:r>
      <w:r w:rsidRPr="006B181A">
        <w:t>Tanushree Bhattacharya</w:t>
      </w:r>
      <w:r w:rsidRPr="006B181A">
        <w:rPr>
          <w:vertAlign w:val="superscript"/>
        </w:rPr>
        <w:t>1*</w:t>
      </w:r>
      <w:r w:rsidRPr="006B181A">
        <w:t>, Shaheen Hasan Dawan</w:t>
      </w:r>
      <w:r w:rsidRPr="006B181A">
        <w:rPr>
          <w:vertAlign w:val="superscript"/>
        </w:rPr>
        <w:t>1</w:t>
      </w:r>
      <w:r w:rsidRPr="006B181A">
        <w:t>, Abhishek Kumar</w:t>
      </w:r>
      <w:r w:rsidRPr="006B181A">
        <w:rPr>
          <w:vertAlign w:val="superscript"/>
        </w:rPr>
        <w:t>1,</w:t>
      </w:r>
      <w:r>
        <w:rPr>
          <w:vertAlign w:val="superscript"/>
        </w:rPr>
        <w:t>3</w:t>
      </w:r>
    </w:p>
    <w:p w14:paraId="015D1F4D" w14:textId="77777777" w:rsidR="00D9450F" w:rsidRDefault="00D9450F" w:rsidP="00D9450F">
      <w:pPr>
        <w:jc w:val="center"/>
      </w:pPr>
      <w:r w:rsidRPr="006B181A">
        <w:rPr>
          <w:vertAlign w:val="superscript"/>
        </w:rPr>
        <w:t>1</w:t>
      </w:r>
      <w:r w:rsidRPr="006B181A">
        <w:t>Department of Civil and Environmental Engineering, Birla Institute of Technology, Mesra, Ranchi, Jharkhand- 835215, India</w:t>
      </w:r>
    </w:p>
    <w:p w14:paraId="6C867DD3" w14:textId="77777777" w:rsidR="00D9450F" w:rsidRPr="006B181A" w:rsidRDefault="00D9450F" w:rsidP="00D9450F">
      <w:pPr>
        <w:jc w:val="center"/>
      </w:pPr>
      <w:r w:rsidRPr="00D50FB6">
        <w:rPr>
          <w:vertAlign w:val="superscript"/>
        </w:rPr>
        <w:t>2</w:t>
      </w:r>
      <w:r w:rsidRPr="006B181A">
        <w:t>Department of Chemistry, Vignan’s Foundation for Science, Technology and Research, Guntur, Andra Pradesh- 522213, India</w:t>
      </w:r>
    </w:p>
    <w:p w14:paraId="7E95F1F9" w14:textId="77777777" w:rsidR="00D9450F" w:rsidRPr="006B181A" w:rsidRDefault="00D9450F" w:rsidP="00D9450F">
      <w:pPr>
        <w:jc w:val="center"/>
      </w:pPr>
      <w:r>
        <w:rPr>
          <w:vertAlign w:val="superscript"/>
        </w:rPr>
        <w:t>3</w:t>
      </w:r>
      <w:r w:rsidRPr="006B181A">
        <w:t>Department of Land, Air, and Water Resources, University of California, Davis, California, USA- 95616</w:t>
      </w:r>
    </w:p>
    <w:p w14:paraId="5970DF9B" w14:textId="77777777" w:rsidR="00D9450F" w:rsidRPr="006B181A" w:rsidRDefault="00D9450F" w:rsidP="00D9450F">
      <w:pPr>
        <w:jc w:val="center"/>
      </w:pPr>
      <w:r w:rsidRPr="006B181A">
        <w:rPr>
          <w:b/>
        </w:rPr>
        <w:t xml:space="preserve">*Corresponding author: </w:t>
      </w:r>
      <w:r w:rsidRPr="006B181A">
        <w:t>Dr. Tanushree Bhattacharya</w:t>
      </w:r>
    </w:p>
    <w:p w14:paraId="5A3F2AC7" w14:textId="77777777" w:rsidR="00D9450F" w:rsidRPr="007A2571" w:rsidRDefault="00D9450F" w:rsidP="00D9450F">
      <w:pPr>
        <w:jc w:val="center"/>
      </w:pPr>
      <w:r w:rsidRPr="006B181A">
        <w:t xml:space="preserve">E-mail - </w:t>
      </w:r>
      <w:hyperlink r:id="rId4" w:history="1">
        <w:r w:rsidRPr="006B181A">
          <w:rPr>
            <w:rStyle w:val="Hyperlink"/>
          </w:rPr>
          <w:t>tbhattacharya@bitmesra.ac.in</w:t>
        </w:r>
      </w:hyperlink>
    </w:p>
    <w:p w14:paraId="44DE20C3" w14:textId="77777777" w:rsidR="004C0241" w:rsidRDefault="004C0241" w:rsidP="002828FA">
      <w:pPr>
        <w:spacing w:line="360" w:lineRule="auto"/>
        <w:jc w:val="center"/>
        <w:rPr>
          <w:rFonts w:cs="Times New Roman"/>
          <w:b/>
          <w:bCs/>
          <w:szCs w:val="24"/>
        </w:rPr>
      </w:pPr>
    </w:p>
    <w:p w14:paraId="27D21281" w14:textId="77777777" w:rsidR="004C0241" w:rsidRDefault="004C0241" w:rsidP="002828FA">
      <w:pPr>
        <w:spacing w:line="360" w:lineRule="auto"/>
        <w:jc w:val="center"/>
        <w:rPr>
          <w:rFonts w:cs="Times New Roman"/>
          <w:b/>
          <w:bCs/>
          <w:szCs w:val="24"/>
        </w:rPr>
      </w:pPr>
    </w:p>
    <w:p w14:paraId="05E0E353" w14:textId="77777777" w:rsidR="004C0241" w:rsidRDefault="004C0241" w:rsidP="002828FA">
      <w:pPr>
        <w:spacing w:line="360" w:lineRule="auto"/>
        <w:jc w:val="center"/>
        <w:rPr>
          <w:rFonts w:cs="Times New Roman"/>
          <w:b/>
          <w:bCs/>
          <w:szCs w:val="24"/>
        </w:rPr>
      </w:pPr>
    </w:p>
    <w:p w14:paraId="31CCD6B6" w14:textId="77777777" w:rsidR="004C0241" w:rsidRDefault="004C0241" w:rsidP="002828FA">
      <w:pPr>
        <w:spacing w:line="360" w:lineRule="auto"/>
        <w:jc w:val="center"/>
        <w:rPr>
          <w:rFonts w:cs="Times New Roman"/>
          <w:b/>
          <w:bCs/>
          <w:szCs w:val="24"/>
        </w:rPr>
      </w:pPr>
    </w:p>
    <w:p w14:paraId="6A229DD5" w14:textId="77777777" w:rsidR="004C0241" w:rsidRDefault="004C0241" w:rsidP="002828FA">
      <w:pPr>
        <w:spacing w:line="360" w:lineRule="auto"/>
        <w:jc w:val="center"/>
        <w:rPr>
          <w:rFonts w:cs="Times New Roman"/>
          <w:b/>
          <w:bCs/>
          <w:szCs w:val="24"/>
        </w:rPr>
      </w:pPr>
    </w:p>
    <w:p w14:paraId="262B8654" w14:textId="77777777" w:rsidR="004C0241" w:rsidRDefault="004C0241" w:rsidP="002828FA">
      <w:pPr>
        <w:spacing w:line="360" w:lineRule="auto"/>
        <w:jc w:val="center"/>
        <w:rPr>
          <w:rFonts w:cs="Times New Roman"/>
          <w:b/>
          <w:bCs/>
          <w:szCs w:val="24"/>
        </w:rPr>
      </w:pPr>
    </w:p>
    <w:p w14:paraId="49D3CB9E" w14:textId="77777777" w:rsidR="004C0241" w:rsidRDefault="004C0241" w:rsidP="002828FA">
      <w:pPr>
        <w:spacing w:line="360" w:lineRule="auto"/>
        <w:jc w:val="center"/>
        <w:rPr>
          <w:rFonts w:cs="Times New Roman"/>
          <w:b/>
          <w:bCs/>
          <w:szCs w:val="24"/>
        </w:rPr>
      </w:pPr>
    </w:p>
    <w:p w14:paraId="2A387EBC" w14:textId="77777777" w:rsidR="004C0241" w:rsidRDefault="004C0241" w:rsidP="002828FA">
      <w:pPr>
        <w:spacing w:line="360" w:lineRule="auto"/>
        <w:jc w:val="center"/>
        <w:rPr>
          <w:rFonts w:cs="Times New Roman"/>
          <w:b/>
          <w:bCs/>
          <w:szCs w:val="24"/>
        </w:rPr>
      </w:pPr>
    </w:p>
    <w:p w14:paraId="6967189D" w14:textId="77777777" w:rsidR="004C0241" w:rsidRDefault="004C0241" w:rsidP="002828FA">
      <w:pPr>
        <w:spacing w:line="360" w:lineRule="auto"/>
        <w:jc w:val="center"/>
        <w:rPr>
          <w:rFonts w:cs="Times New Roman"/>
          <w:b/>
          <w:bCs/>
          <w:szCs w:val="24"/>
        </w:rPr>
      </w:pPr>
    </w:p>
    <w:p w14:paraId="287C6AF0" w14:textId="77777777" w:rsidR="004C0241" w:rsidRDefault="004C0241" w:rsidP="002828FA">
      <w:pPr>
        <w:spacing w:line="360" w:lineRule="auto"/>
        <w:jc w:val="center"/>
        <w:rPr>
          <w:rFonts w:cs="Times New Roman"/>
          <w:b/>
          <w:bCs/>
          <w:szCs w:val="24"/>
        </w:rPr>
      </w:pPr>
    </w:p>
    <w:p w14:paraId="74E94367" w14:textId="77777777" w:rsidR="004C0241" w:rsidRDefault="004C0241" w:rsidP="002828FA">
      <w:pPr>
        <w:spacing w:line="360" w:lineRule="auto"/>
        <w:jc w:val="center"/>
        <w:rPr>
          <w:rFonts w:cs="Times New Roman"/>
          <w:b/>
          <w:bCs/>
          <w:szCs w:val="24"/>
        </w:rPr>
      </w:pPr>
    </w:p>
    <w:p w14:paraId="3CF50911" w14:textId="77777777" w:rsidR="004C0241" w:rsidRDefault="004C0241" w:rsidP="002828FA">
      <w:pPr>
        <w:spacing w:line="360" w:lineRule="auto"/>
        <w:jc w:val="center"/>
        <w:rPr>
          <w:rFonts w:cs="Times New Roman"/>
          <w:b/>
          <w:bCs/>
          <w:szCs w:val="24"/>
        </w:rPr>
      </w:pPr>
    </w:p>
    <w:p w14:paraId="1948B604" w14:textId="4BE2B776" w:rsidR="0000592E" w:rsidRDefault="0000592E" w:rsidP="004C0241">
      <w:pPr>
        <w:spacing w:line="360" w:lineRule="auto"/>
        <w:rPr>
          <w:rFonts w:cs="Times New Roman"/>
          <w:b/>
          <w:bCs/>
          <w:szCs w:val="24"/>
        </w:rPr>
      </w:pPr>
      <w:r>
        <w:rPr>
          <w:rFonts w:cs="Times New Roman"/>
          <w:b/>
          <w:bCs/>
          <w:szCs w:val="24"/>
        </w:rPr>
        <w:lastRenderedPageBreak/>
        <w:t>SUPPLEMENTARY</w:t>
      </w:r>
      <w:r w:rsidR="004C0241">
        <w:rPr>
          <w:rFonts w:cs="Times New Roman"/>
          <w:b/>
          <w:bCs/>
          <w:szCs w:val="24"/>
        </w:rPr>
        <w:t xml:space="preserve"> FILES</w:t>
      </w:r>
    </w:p>
    <w:p w14:paraId="157B6995" w14:textId="77777777" w:rsidR="0000592E" w:rsidRPr="004C0241" w:rsidRDefault="0000592E" w:rsidP="0000592E">
      <w:pPr>
        <w:pStyle w:val="Heading2"/>
        <w:spacing w:line="360" w:lineRule="auto"/>
        <w:rPr>
          <w:color w:val="auto"/>
        </w:rPr>
      </w:pPr>
      <w:r w:rsidRPr="004C0241">
        <w:rPr>
          <w:color w:val="auto"/>
        </w:rPr>
        <w:t>Methods for assessment of contamination</w:t>
      </w:r>
      <w:bookmarkStart w:id="0" w:name="_Toc200122313"/>
      <w:bookmarkStart w:id="1" w:name="_Toc200123231"/>
      <w:bookmarkStart w:id="2" w:name="_Toc200468471"/>
      <w:bookmarkStart w:id="3" w:name="_Toc201685689"/>
      <w:bookmarkStart w:id="4" w:name="_Toc212720030"/>
    </w:p>
    <w:p w14:paraId="3A8E4076" w14:textId="77777777" w:rsidR="0000592E" w:rsidRPr="004C0241" w:rsidRDefault="0000592E" w:rsidP="0000592E">
      <w:pPr>
        <w:pStyle w:val="Heading2"/>
        <w:spacing w:line="360" w:lineRule="auto"/>
        <w:rPr>
          <w:color w:val="auto"/>
        </w:rPr>
      </w:pPr>
      <w:r w:rsidRPr="004C0241">
        <w:rPr>
          <w:rStyle w:val="Heading3Char"/>
          <w:color w:val="auto"/>
        </w:rPr>
        <w:t>Geo-accumulation index (</w:t>
      </w:r>
      <w:proofErr w:type="spellStart"/>
      <w:r w:rsidRPr="004C0241">
        <w:rPr>
          <w:rStyle w:val="Heading3Char"/>
          <w:color w:val="auto"/>
        </w:rPr>
        <w:t>I</w:t>
      </w:r>
      <w:r w:rsidRPr="004C0241">
        <w:rPr>
          <w:rStyle w:val="Heading3Char"/>
          <w:color w:val="auto"/>
          <w:vertAlign w:val="subscript"/>
        </w:rPr>
        <w:t>geo</w:t>
      </w:r>
      <w:proofErr w:type="spellEnd"/>
      <w:r w:rsidRPr="004C0241">
        <w:rPr>
          <w:rStyle w:val="Heading3Char"/>
          <w:color w:val="auto"/>
        </w:rPr>
        <w:t>)</w:t>
      </w:r>
      <w:bookmarkEnd w:id="0"/>
      <w:bookmarkEnd w:id="1"/>
      <w:bookmarkEnd w:id="2"/>
      <w:bookmarkEnd w:id="3"/>
      <w:bookmarkEnd w:id="4"/>
    </w:p>
    <w:p w14:paraId="7E4BC5B5" w14:textId="77777777" w:rsidR="0000592E" w:rsidRPr="004C0241" w:rsidRDefault="0000592E" w:rsidP="0000592E">
      <w:pPr>
        <w:spacing w:line="360" w:lineRule="auto"/>
        <w:jc w:val="both"/>
        <w:rPr>
          <w:rFonts w:cs="Times New Roman"/>
          <w:szCs w:val="24"/>
        </w:rPr>
      </w:pPr>
      <w:proofErr w:type="spellStart"/>
      <w:r w:rsidRPr="004C0241">
        <w:rPr>
          <w:rFonts w:cs="Times New Roman"/>
          <w:szCs w:val="24"/>
        </w:rPr>
        <w:t>I</w:t>
      </w:r>
      <w:r w:rsidRPr="004C0241">
        <w:rPr>
          <w:rFonts w:cs="Times New Roman"/>
          <w:szCs w:val="24"/>
          <w:vertAlign w:val="subscript"/>
        </w:rPr>
        <w:t>geo</w:t>
      </w:r>
      <w:proofErr w:type="spellEnd"/>
      <w:r w:rsidRPr="004C0241">
        <w:rPr>
          <w:rFonts w:cs="Times New Roman"/>
          <w:szCs w:val="24"/>
        </w:rPr>
        <w:t xml:space="preserve"> was determined to validate contamination of street dust and calculated using Equation 1 </w:t>
      </w:r>
      <w:r w:rsidRPr="004C0241">
        <w:rPr>
          <w:rFonts w:cs="Times New Roman"/>
          <w:szCs w:val="24"/>
        </w:rPr>
        <w:fldChar w:fldCharType="begin" w:fldLock="1"/>
      </w:r>
      <w:r w:rsidRPr="004C0241">
        <w:rPr>
          <w:rFonts w:cs="Times New Roman"/>
          <w:szCs w:val="24"/>
        </w:rPr>
        <w:instrText>ADDIN CSL_CITATION {"citationItems":[{"id":"ITEM-1","itemData":{"author":[{"dropping-particle":"","family":"Hasan, A.B., Kabir, S., Reza, A.S.","given":"Zaman","non-dropping-particle":"","parse-names":false,"suffix":""}],"id":"ITEM-1","issued":{"date-parts":[["2013"]]},"title":"No Title25. Hasan, A.B., Kabir, S., Reza, A.S., Zaman, M.N., Ahsan, A. and Rashid, M., 2013. Enrichment factor and geo-accumulation index of trace metals in sediments of the ship breaking area of Sitakund Upazilla","type":"article-journal"},"uris":["http://www.mendeley.com/documents/?uuid=2c6f69cd-b0d6-46ce-81cd-3de1ebc3a205","http://www.mendeley.com/documents/?uuid=13ac4415-4fe2-4e0f-8411-817c52495abd"]},{"id":"ITEM-2","itemData":{"DOI":"10.1127/0935-1221/2010/0022-2010","ISSN":"09351221","abstract":"Children ingest house settled dust by normal hand to mouth activity. Because house dust contains some metals associated with health hazards, this pathway of exposure is an issue in health risk assessment. The concentration of metals in house dust is thus a matter of concern, together with their bioaccessibility, that is, the fraction absorbed by humans. This review examines articles studying the metal content (excluding Pb) in the household dust in ordinary homes. Relatively few articles report the concentrations and bioaccessibility of metals in settled dust. Ag, As, Al, Au, Ba, Be, Bi, Br, Ca, Cd, Ce, Co, Cr, Cu, Fe, Hf, Hg, I, K, La, Li, Mg, Mn, Mo, Na, Ni, P, Rb, Sb, Sc, Se, Sm, Sn, Sr, Te, Th, Ti, U, V and Zn have been studied. Al, Ca, Fe, K, Mg, Na and P are found in concentrations exceeding 1000 μg.g -1 . Bioaccessibility is documented still more rarely and varies substantially between and within metals (Ag, 60-90 %; As, 10-90 %; Al, 10-80 %; Cd, 50-90 %; Co, 15-50 %; Cr, 10-50 %; Cu, 20-80 %; Fe, 5-45 %; Hg, 10 %; Mn, 40-60 %; Ni, 20-80 %; Sn, 5-10 %; U, 10-30 %; Zn, 80-90 %). It depends on chemical speciation, particle size and organic carbon, which play a role in metal partitioning among mineral and organic phases and thus in the digestion process. Digestion conditions: temperature, pH, duration and type of acid used are thus essential parameters that determine the metal concentrations measured in dust. House-dust concentrations of metals and metalloids vary throughout a home as well as between homes and across seasons and locations. House-dust metal content has also changed over time due to the decrease in industrial emissions in some regions and the evolution of automobile ones. Furthermore, soil metal concentration cannot predict indoor dust metal concentrations. It is thus difficult to predict metal content or its bioaccessibility. Local measurements are therefore essential for consideration of this background exposure. © 2010 E. Schweizerbart'sche Verlagsbuchhandlung.","author":[{"dropping-particle":"","family":"Ibanez","given":"Yves","non-dropping-particle":"","parse-names":false,"suffix":""},{"dropping-particle":"","family":"Bot","given":"Barbara","non-dropping-particle":"Le","parse-names":false,"suffix":""},{"dropping-particle":"","family":"Glorennec","given":"Philippe","non-dropping-particle":"","parse-names":false,"suffix":""}],"container-title":"European Journal of Mineralogy","id":"ITEM-2","issue":"5","issued":{"date-parts":[["2010"]]},"page":"629-637","title":"House-dust metal content and bioaccessibility: a review","type":"article-journal","volume":"22"},"uris":["http://www.mendeley.com/documents/?uuid=89a17e58-e053-4c88-ab0e-905c6813afc7"]},{"id":"ITEM-3","itemData":{"DOI":"10.1155/2010/839178","ISSN":"09734945","abstract":"Heavy metals have a great ecological significance due to their toxicity and accumulative behavior. The geoaccumulation index (Igeo) in 10 stations in Al- Hawizeh Marsh, (i.e Al-Adaim (I &amp; II), Um Al-Neaj (I &amp; II), Um-Awarded, North Al-Soudah, South Al-Soudah, Al-Beda, Lissan Ejerdah and Majnoon) were calculated in this article. The sediment pollution was investigated by following the concentration of six heavy metals (As, Cd, Cr, Co, Cu and Pb). Inductively coupled plasma mass spectroscopy (ICPMS) was used for analysis. According to the geoaccumulation index (Igeo) the results of all the 10 stations were analyzed and discussed in detailed.","author":[{"dropping-particle":"","family":"Al-Haidarey","given":"M. J.S.","non-dropping-particle":"","parse-names":false,"suffix":""},{"dropping-particle":"","family":"Hassan","given":"F. M.","non-dropping-particle":"","parse-names":false,"suffix":""},{"dropping-particle":"","family":"Al-Kubaisey","given":"A. R.A.","non-dropping-particle":"","parse-names":false,"suffix":""},{"dropping-particle":"","family":"Douabul","given":"A. A.Z.","non-dropping-particle":"","parse-names":false,"suffix":""}],"container-title":"E-Journal of Chemistry","id":"ITEM-3","issue":"SUPPL. 1","issued":{"date-parts":[["2010"]]},"title":"The geoaccumulation index of some heavy metals in Al-Hawizeh Marsh, Iraq","type":"article-journal","volume":"7"},"uris":["http://www.mendeley.com/documents/?uuid=4248b15f-7fce-4920-b676-6e1fa1eea849"]},{"id":"ITEM-4","itemData":{"abstract":"Müller G (1969) Index of geoaccumulation in sediments of the Rhine River. Geol J 2:109–118","author":[{"dropping-particle":"","family":"Müller","given":"G","non-dropping-particle":"","parse-names":false,"suffix":""}],"container-title":"Geology Journal","id":"ITEM-4","issued":{"date-parts":[["1969"]]},"page":"108-118","title":"Index of geoaccumulation in sediments of the Rhine River","type":"article-journal","volume":"2"},"uris":["http://www.mendeley.com/documents/?uuid=db225b6e-0ff2-4fcf-be35-e16a75d19a5b"]}],"mendeley":{"formattedCitation":"(Al-Haidarey et al., 2010; Hasan, A.B., Kabir, S., Reza, A.S., 2013; Ibanez et al., 2010; Müller, 1969)","manualFormatting":"(Haidarey et al., 2010; Hasan et al., 2013; Ibanez et al., 2010; Muller, 1969)","plainTextFormattedCitation":"(Al-Haidarey et al., 2010; Hasan, A.B., Kabir, S., Reza, A.S., 2013; Ibanez et al., 2010; Müller, 1969)","previouslyFormattedCitation":"(Al-Haidarey et al., 2010; Hasan, A.B., Kabir, S., Reza, A.S., 2013; Ibanez et al., 2010; Müller, 1969)"},"properties":{"noteIndex":0},"schema":"https://github.com/citation-style-language/schema/raw/master/csl-citation.json"}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(Haidarey et al., 2010; Hasan et al., 2013; Ibanez et al., 2010; Muller, 1969)</w:t>
      </w:r>
      <w:r w:rsidRPr="004C0241">
        <w:rPr>
          <w:rFonts w:cs="Times New Roman"/>
          <w:szCs w:val="24"/>
        </w:rPr>
        <w:fldChar w:fldCharType="end"/>
      </w:r>
      <w:r w:rsidRPr="004C0241">
        <w:rPr>
          <w:rFonts w:cs="Times New Roman"/>
          <w:szCs w:val="24"/>
        </w:rPr>
        <w:t xml:space="preserve">: </w:t>
      </w:r>
    </w:p>
    <w:p w14:paraId="3BEC9E99" w14:textId="77777777" w:rsidR="0000592E" w:rsidRPr="004C0241" w:rsidRDefault="00000000" w:rsidP="0000592E">
      <w:pPr>
        <w:spacing w:line="360" w:lineRule="auto"/>
        <w:jc w:val="center"/>
        <w:rPr>
          <w:rFonts w:cs="Times New Roman"/>
          <w:szCs w:val="24"/>
        </w:rPr>
      </w:pPr>
      <m:oMathPara>
        <m:oMath>
          <m:sSub>
            <m:sSubPr>
              <m:ctrlPr>
                <w:rPr>
                  <w:rFonts w:ascii="Cambria Math" w:hAnsi="Cambria Math" w:cs="Times New Roman"/>
                  <w:iCs/>
                  <w:sz w:val="22"/>
                </w:rPr>
              </m:ctrlPr>
            </m:sSubPr>
            <m:e>
              <m:r>
                <m:rPr>
                  <m:nor/>
                </m:rPr>
                <w:rPr>
                  <w:rFonts w:cs="Times New Roman"/>
                  <w:sz w:val="22"/>
                </w:rPr>
                <m:t>I</m:t>
              </m:r>
            </m:e>
            <m:sub>
              <m:r>
                <m:rPr>
                  <m:nor/>
                </m:rPr>
                <w:rPr>
                  <w:rFonts w:cs="Times New Roman"/>
                  <w:sz w:val="22"/>
                </w:rPr>
                <m:t>geo</m:t>
              </m:r>
            </m:sub>
          </m:sSub>
          <m:r>
            <m:rPr>
              <m:nor/>
            </m:rPr>
            <w:rPr>
              <w:rFonts w:cs="Times New Roman"/>
              <w:sz w:val="22"/>
            </w:rPr>
            <m:t>=</m:t>
          </m:r>
          <m:sSub>
            <m:sSubPr>
              <m:ctrlPr>
                <w:rPr>
                  <w:rFonts w:ascii="Cambria Math" w:hAnsi="Cambria Math" w:cs="Times New Roman"/>
                  <w:iCs/>
                  <w:sz w:val="22"/>
                </w:rPr>
              </m:ctrlPr>
            </m:sSubPr>
            <m:e>
              <m:r>
                <m:rPr>
                  <m:nor/>
                </m:rPr>
                <w:rPr>
                  <w:rFonts w:cs="Times New Roman"/>
                  <w:sz w:val="22"/>
                </w:rPr>
                <m:t>Log</m:t>
              </m:r>
            </m:e>
            <m:sub>
              <m:r>
                <m:rPr>
                  <m:nor/>
                </m:rPr>
                <w:rPr>
                  <w:rFonts w:cs="Times New Roman"/>
                  <w:sz w:val="22"/>
                </w:rPr>
                <m:t>2</m:t>
              </m:r>
            </m:sub>
          </m:sSub>
          <m:r>
            <m:rPr>
              <m:nor/>
            </m:rPr>
            <w:rPr>
              <w:rFonts w:cs="Times New Roman"/>
              <w:sz w:val="22"/>
            </w:rPr>
            <m:t xml:space="preserve"> (</m:t>
          </m:r>
          <m:f>
            <m:fPr>
              <m:ctrlPr>
                <w:rPr>
                  <w:rFonts w:ascii="Cambria Math" w:hAnsi="Cambria Math" w:cs="Times New Roman"/>
                  <w:iCs/>
                  <w:sz w:val="22"/>
                </w:rPr>
              </m:ctrlPr>
            </m:fPr>
            <m:num>
              <m:sSub>
                <m:sSubPr>
                  <m:ctrlPr>
                    <w:rPr>
                      <w:rFonts w:ascii="Cambria Math" w:hAnsi="Cambria Math" w:cs="Times New Roman"/>
                      <w:iCs/>
                      <w:sz w:val="22"/>
                    </w:rPr>
                  </m:ctrlPr>
                </m:sSubPr>
                <m:e>
                  <m:r>
                    <m:rPr>
                      <m:nor/>
                    </m:rPr>
                    <w:rPr>
                      <w:rFonts w:cs="Times New Roman"/>
                      <w:sz w:val="22"/>
                    </w:rPr>
                    <m:t>C</m:t>
                  </m:r>
                </m:e>
                <m:sub>
                  <m:r>
                    <m:rPr>
                      <m:nor/>
                    </m:rPr>
                    <w:rPr>
                      <w:rFonts w:cs="Times New Roman"/>
                      <w:sz w:val="22"/>
                    </w:rPr>
                    <m:t>m</m:t>
                  </m:r>
                </m:sub>
              </m:sSub>
            </m:num>
            <m:den>
              <m:sSub>
                <m:sSubPr>
                  <m:ctrlPr>
                    <w:rPr>
                      <w:rFonts w:ascii="Cambria Math" w:hAnsi="Cambria Math" w:cs="Times New Roman"/>
                      <w:iCs/>
                      <w:sz w:val="22"/>
                    </w:rPr>
                  </m:ctrlPr>
                </m:sSubPr>
                <m:e>
                  <m:r>
                    <m:rPr>
                      <m:nor/>
                    </m:rPr>
                    <w:rPr>
                      <w:rFonts w:cs="Times New Roman"/>
                      <w:sz w:val="22"/>
                    </w:rPr>
                    <m:t>1.5B</m:t>
                  </m:r>
                </m:e>
                <m:sub>
                  <m:r>
                    <m:rPr>
                      <m:nor/>
                    </m:rPr>
                    <w:rPr>
                      <w:rFonts w:cs="Times New Roman"/>
                      <w:sz w:val="22"/>
                    </w:rPr>
                    <m:t>n</m:t>
                  </m:r>
                </m:sub>
              </m:sSub>
            </m:den>
          </m:f>
          <m:r>
            <m:rPr>
              <m:nor/>
            </m:rPr>
            <w:rPr>
              <w:rFonts w:cs="Times New Roman"/>
              <w:sz w:val="22"/>
            </w:rPr>
            <m:t xml:space="preserve"> )</m:t>
          </m:r>
          <m:r>
            <m:rPr>
              <m:sty m:val="p"/>
            </m:rPr>
            <w:rPr>
              <w:rFonts w:ascii="Cambria Math" w:hAnsi="Cambria Math" w:cs="Times New Roman"/>
              <w:sz w:val="22"/>
            </w:rPr>
            <m:t xml:space="preserve">                                                    </m:t>
          </m:r>
          <m:r>
            <m:rPr>
              <m:sty m:val="b"/>
            </m:rPr>
            <w:rPr>
              <w:rFonts w:ascii="Cambria Math" w:hAnsi="Cambria Math" w:cs="Times New Roman"/>
              <w:sz w:val="22"/>
            </w:rPr>
            <m:t xml:space="preserve">                                            </m:t>
          </m:r>
          <m:r>
            <m:rPr>
              <m:nor/>
            </m:rPr>
            <w:rPr>
              <w:rFonts w:ascii="Cambria Math" w:hAnsi="Cambria Math" w:cs="Times New Roman"/>
              <w:b/>
              <w:sz w:val="22"/>
            </w:rPr>
            <m:t xml:space="preserve"> </m:t>
          </m:r>
          <m:r>
            <m:rPr>
              <m:nor/>
            </m:rPr>
            <w:rPr>
              <w:rFonts w:cs="Times New Roman"/>
              <w:b/>
              <w:sz w:val="22"/>
            </w:rPr>
            <m:t>(1)</m:t>
          </m:r>
        </m:oMath>
      </m:oMathPara>
    </w:p>
    <w:p w14:paraId="7F8D3882" w14:textId="77777777" w:rsidR="0000592E" w:rsidRPr="004C0241" w:rsidRDefault="0000592E" w:rsidP="0000592E">
      <w:pPr>
        <w:spacing w:line="360" w:lineRule="auto"/>
        <w:ind w:firstLine="720"/>
        <w:jc w:val="both"/>
        <w:rPr>
          <w:rFonts w:cs="Times New Roman"/>
          <w:szCs w:val="24"/>
        </w:rPr>
      </w:pPr>
      <w:r w:rsidRPr="004C0241">
        <w:rPr>
          <w:rFonts w:cs="Times New Roman"/>
          <w:szCs w:val="24"/>
        </w:rPr>
        <w:t>where C</w:t>
      </w:r>
      <w:r w:rsidRPr="004C0241">
        <w:rPr>
          <w:rFonts w:cs="Times New Roman"/>
          <w:szCs w:val="24"/>
          <w:vertAlign w:val="subscript"/>
        </w:rPr>
        <w:t>m</w:t>
      </w:r>
      <w:r w:rsidRPr="004C0241">
        <w:rPr>
          <w:rFonts w:cs="Times New Roman"/>
          <w:szCs w:val="24"/>
        </w:rPr>
        <w:t xml:space="preserve"> refers to metal concentration in street dust, B</w:t>
      </w:r>
      <w:r w:rsidRPr="004C0241">
        <w:rPr>
          <w:rFonts w:cs="Times New Roman"/>
          <w:szCs w:val="24"/>
          <w:vertAlign w:val="subscript"/>
        </w:rPr>
        <w:t>m</w:t>
      </w:r>
      <w:r w:rsidRPr="004C0241">
        <w:rPr>
          <w:rFonts w:cs="Times New Roman"/>
          <w:szCs w:val="24"/>
        </w:rPr>
        <w:t xml:space="preserve"> refers to the background geochemical value of the metal, and a constant factor 1.5 is used to minimize possible lithologic or anthropogenic variation in the reference background value. </w:t>
      </w:r>
      <w:bookmarkStart w:id="5" w:name="_Toc200122314"/>
      <w:bookmarkStart w:id="6" w:name="_Toc200123232"/>
      <w:bookmarkStart w:id="7" w:name="_Toc200468472"/>
      <w:bookmarkStart w:id="8" w:name="_Toc201685690"/>
      <w:bookmarkStart w:id="9" w:name="_Toc212720031"/>
    </w:p>
    <w:p w14:paraId="67BDC6C4" w14:textId="77777777" w:rsidR="0000592E" w:rsidRPr="004C0241" w:rsidRDefault="0000592E" w:rsidP="0000592E">
      <w:pPr>
        <w:spacing w:line="360" w:lineRule="auto"/>
        <w:jc w:val="both"/>
        <w:rPr>
          <w:rStyle w:val="Heading3Char"/>
          <w:rFonts w:eastAsiaTheme="minorHAnsi" w:cs="Times New Roman"/>
          <w:color w:val="auto"/>
          <w:sz w:val="24"/>
          <w:szCs w:val="24"/>
        </w:rPr>
      </w:pPr>
      <w:r w:rsidRPr="004C0241">
        <w:rPr>
          <w:rStyle w:val="Heading3Char"/>
          <w:b/>
          <w:color w:val="auto"/>
        </w:rPr>
        <w:t>Enrichment factor (EF)</w:t>
      </w:r>
      <w:bookmarkEnd w:id="5"/>
      <w:bookmarkEnd w:id="6"/>
      <w:bookmarkEnd w:id="7"/>
      <w:bookmarkEnd w:id="8"/>
      <w:bookmarkEnd w:id="9"/>
    </w:p>
    <w:p w14:paraId="767F2AA3" w14:textId="77777777" w:rsidR="0000592E" w:rsidRPr="004C0241" w:rsidRDefault="0000592E" w:rsidP="0000592E">
      <w:pPr>
        <w:spacing w:line="360" w:lineRule="auto"/>
        <w:jc w:val="both"/>
        <w:rPr>
          <w:rFonts w:cs="Times New Roman"/>
          <w:szCs w:val="24"/>
        </w:rPr>
      </w:pPr>
      <w:r w:rsidRPr="004C0241">
        <w:rPr>
          <w:rFonts w:cs="Times New Roman"/>
          <w:b/>
          <w:szCs w:val="24"/>
        </w:rPr>
        <w:t xml:space="preserve"> </w:t>
      </w:r>
      <w:r w:rsidRPr="004C0241">
        <w:rPr>
          <w:rFonts w:cs="Times New Roman"/>
          <w:szCs w:val="24"/>
        </w:rPr>
        <w:t xml:space="preserve">EF was determined to identify the extent of metal enrichment in street dust and calculated using Equation 2 </w:t>
      </w:r>
      <w:r w:rsidRPr="004C0241">
        <w:rPr>
          <w:rFonts w:cs="Times New Roman"/>
          <w:szCs w:val="24"/>
        </w:rPr>
        <w:fldChar w:fldCharType="begin" w:fldLock="1"/>
      </w:r>
      <w:r w:rsidRPr="004C0241">
        <w:rPr>
          <w:rFonts w:cs="Times New Roman"/>
          <w:szCs w:val="24"/>
        </w:rPr>
        <w:instrText>ADDIN CSL_CITATION {"citationItems":[{"id":"ITEM-1","itemData":{"DOI":"10.1007/s002540050473","ISSN":"09430105","abstract":"Of the 117 stream and lake systems sampled nationwide, fish from Manoa Stream on Oahu, Hawaii, have consistently shown the highest Pb concentrations. Therefore a detailed study was conducted to examine total metal contents in bed sediments from a 5.8-km stretch of Manoa Stream. A total of 123 samples (&lt; 63 μm) were examined for 18 elements and 14 samples for 21 elements. Selected samples were also examined using different leach solutions to examine metal phase associations. All trace metal data, computations of enrichment ratios and the modified index of geoaccumulation point to mineralogical control for Cr and Ni; minor anthropogenic contamination for Ba, Cd, Cu, Hg and Zn; and a very strong contamination signal for Pb. Maximum Pb contents (up to 1080 mg kg-1) were associated with anthropogenic material dumping in minor tributaries, storm sewer sediments and sediments in the 'lower' section of the basin. Proportionally Pb had the highest non-residual component of elements examined; dominantly in the reducible phase associated with Mn and amorphous Fe oxyhydroxides. The contamination signal was typically lowest in the 'undisturbed' headwater reach of the basin (above 5.1 km) with significant increases throughout the 'residential' and 'commercial-institutional' zones of the mid-basin. The spatial pattern of bed sediment contamination and evidence from storm sewer-outlet sediments strongly indicates that Pb, and to a lesser degree some other metals, is still being transported to the stream and the primary agent is soil erosion and transport of metals sorbed to sediments. The primary source of sediment-associated metals is considered to be the automobile, though other minor sources can not be ruled out.","author":[{"dropping-particle":"","family":"Sutherland","given":"R. A.","non-dropping-particle":"","parse-names":false,"suffix":""}],"container-title":"Environmental Geology","id":"ITEM-1","issue":"6","issued":{"date-parts":[["2000"]]},"page":"611-627","title":"Bed sediment-associated trace metals in an urban stream, Oahu, Hawaii","type":"article-journal","volume":"39"},"uris":["http://www.mendeley.com/documents/?uuid=9689505b-30c6-46d4-9be8-4415bde22ac7"]}],"mendeley":{"formattedCitation":"(Sutherland, 2000)","plainTextFormattedCitation":"(Sutherland, 2000)","previouslyFormattedCitation":"(Sutherland, 2000)"},"properties":{"noteIndex":0},"schema":"https://github.com/citation-style-language/schema/raw/master/csl-citation.json"}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(Sutherland, 2000)</w:t>
      </w:r>
      <w:r w:rsidRPr="004C0241">
        <w:rPr>
          <w:rFonts w:cs="Times New Roman"/>
          <w:szCs w:val="24"/>
        </w:rPr>
        <w:fldChar w:fldCharType="end"/>
      </w:r>
      <w:r w:rsidRPr="004C0241">
        <w:rPr>
          <w:rFonts w:cs="Times New Roman"/>
          <w:szCs w:val="24"/>
        </w:rPr>
        <w:t>:</w:t>
      </w:r>
    </w:p>
    <w:p w14:paraId="07939C77" w14:textId="77777777" w:rsidR="0000592E" w:rsidRPr="004C0241" w:rsidRDefault="0000592E" w:rsidP="0000592E">
      <w:pPr>
        <w:spacing w:line="360" w:lineRule="auto"/>
        <w:jc w:val="center"/>
        <w:rPr>
          <w:rFonts w:cs="Times New Roman"/>
          <w:b/>
          <w:szCs w:val="24"/>
        </w:rPr>
      </w:pPr>
      <m:oMath>
        <m:r>
          <m:rPr>
            <m:nor/>
          </m:rPr>
          <w:rPr>
            <w:rFonts w:cs="Times New Roman"/>
            <w:szCs w:val="24"/>
          </w:rPr>
          <m:t>EF=</m:t>
        </m:r>
        <m:f>
          <m:fPr>
            <m:ctrlPr>
              <w:rPr>
                <w:rFonts w:ascii="Cambria Math" w:hAnsi="Cambria Math" w:cs="Times New Roman"/>
                <w:bCs/>
                <w:iCs/>
                <w:szCs w:val="24"/>
              </w:rPr>
            </m:ctrlPr>
          </m:fPr>
          <m:num>
            <m:d>
              <m:dPr>
                <m:ctrlPr>
                  <w:rPr>
                    <w:rFonts w:ascii="Cambria Math" w:hAnsi="Cambria Math" w:cs="Times New Roman"/>
                    <w:bCs/>
                    <w:iCs/>
                    <w:szCs w:val="24"/>
                  </w:rPr>
                </m:ctrlPr>
              </m:dPr>
              <m:e>
                <m:f>
                  <m:fPr>
                    <m:ctrlPr>
                      <w:rPr>
                        <w:rFonts w:ascii="Cambria Math" w:hAnsi="Cambria Math" w:cs="Times New Roman"/>
                        <w:bCs/>
                        <w:iCs/>
                        <w:szCs w:val="24"/>
                      </w:rPr>
                    </m:ctrlPr>
                  </m:fPr>
                  <m:num>
                    <m:sSub>
                      <m:sSubPr>
                        <m:ctrlPr>
                          <w:rPr>
                            <w:rFonts w:ascii="Cambria Math" w:hAnsi="Cambria Math" w:cs="Times New Roman"/>
                            <w:bCs/>
                            <w:iCs/>
                            <w:szCs w:val="24"/>
                          </w:rPr>
                        </m:ctrlPr>
                      </m:sSubPr>
                      <m:e>
                        <m:r>
                          <m:rPr>
                            <m:nor/>
                          </m:rPr>
                          <w:rPr>
                            <w:rFonts w:cs="Times New Roman"/>
                            <w:szCs w:val="24"/>
                          </w:rPr>
                          <m:t>C</m:t>
                        </m:r>
                      </m:e>
                      <m:sub>
                        <m:r>
                          <m:rPr>
                            <m:nor/>
                          </m:rPr>
                          <w:rPr>
                            <w:rFonts w:cs="Times New Roman"/>
                            <w:szCs w:val="24"/>
                          </w:rPr>
                          <m:t>m</m:t>
                        </m:r>
                      </m:sub>
                    </m:sSub>
                  </m:num>
                  <m:den>
                    <m:sSub>
                      <m:sSubPr>
                        <m:ctrlPr>
                          <w:rPr>
                            <w:rFonts w:ascii="Cambria Math" w:hAnsi="Cambria Math" w:cs="Times New Roman"/>
                            <w:bCs/>
                            <w:iCs/>
                            <w:szCs w:val="24"/>
                          </w:rPr>
                        </m:ctrlPr>
                      </m:sSubPr>
                      <m:e>
                        <m:r>
                          <m:rPr>
                            <m:nor/>
                          </m:rPr>
                          <w:rPr>
                            <w:rFonts w:cs="Times New Roman"/>
                            <w:szCs w:val="24"/>
                          </w:rPr>
                          <m:t>C</m:t>
                        </m:r>
                      </m:e>
                      <m:sub>
                        <m:r>
                          <m:rPr>
                            <m:nor/>
                          </m:rPr>
                          <w:rPr>
                            <w:rFonts w:cs="Times New Roman"/>
                            <w:szCs w:val="24"/>
                          </w:rPr>
                          <m:t>Fe</m:t>
                        </m:r>
                      </m:sub>
                    </m:sSub>
                  </m:den>
                </m:f>
              </m:e>
            </m:d>
            <m:r>
              <m:rPr>
                <m:nor/>
              </m:rPr>
              <w:rPr>
                <w:rFonts w:cs="Times New Roman"/>
                <w:szCs w:val="24"/>
              </w:rPr>
              <m:t>Sample</m:t>
            </m:r>
          </m:num>
          <m:den>
            <m:d>
              <m:dPr>
                <m:ctrlPr>
                  <w:rPr>
                    <w:rFonts w:ascii="Cambria Math" w:hAnsi="Cambria Math" w:cs="Times New Roman"/>
                    <w:bCs/>
                    <w:iCs/>
                    <w:szCs w:val="24"/>
                  </w:rPr>
                </m:ctrlPr>
              </m:dPr>
              <m:e>
                <m:f>
                  <m:fPr>
                    <m:ctrlPr>
                      <w:rPr>
                        <w:rFonts w:ascii="Cambria Math" w:hAnsi="Cambria Math" w:cs="Times New Roman"/>
                        <w:bCs/>
                        <w:iCs/>
                        <w:szCs w:val="24"/>
                      </w:rPr>
                    </m:ctrlPr>
                  </m:fPr>
                  <m:num>
                    <m:sSub>
                      <m:sSubPr>
                        <m:ctrlPr>
                          <w:rPr>
                            <w:rFonts w:ascii="Cambria Math" w:hAnsi="Cambria Math" w:cs="Times New Roman"/>
                            <w:bCs/>
                            <w:iCs/>
                            <w:szCs w:val="24"/>
                          </w:rPr>
                        </m:ctrlPr>
                      </m:sSubPr>
                      <m:e>
                        <m:r>
                          <m:rPr>
                            <m:nor/>
                          </m:rPr>
                          <w:rPr>
                            <w:rFonts w:cs="Times New Roman"/>
                            <w:szCs w:val="24"/>
                          </w:rPr>
                          <m:t>C</m:t>
                        </m:r>
                      </m:e>
                      <m:sub>
                        <m:r>
                          <m:rPr>
                            <m:nor/>
                          </m:rPr>
                          <w:rPr>
                            <w:rFonts w:cs="Times New Roman"/>
                            <w:szCs w:val="24"/>
                          </w:rPr>
                          <m:t>m</m:t>
                        </m:r>
                      </m:sub>
                    </m:sSub>
                  </m:num>
                  <m:den>
                    <m:sSub>
                      <m:sSubPr>
                        <m:ctrlPr>
                          <w:rPr>
                            <w:rFonts w:ascii="Cambria Math" w:hAnsi="Cambria Math" w:cs="Times New Roman"/>
                            <w:bCs/>
                            <w:iCs/>
                            <w:szCs w:val="24"/>
                          </w:rPr>
                        </m:ctrlPr>
                      </m:sSubPr>
                      <m:e>
                        <m:r>
                          <m:rPr>
                            <m:nor/>
                          </m:rPr>
                          <w:rPr>
                            <w:rFonts w:cs="Times New Roman"/>
                            <w:szCs w:val="24"/>
                          </w:rPr>
                          <m:t>C</m:t>
                        </m:r>
                      </m:e>
                      <m:sub>
                        <m:r>
                          <m:rPr>
                            <m:nor/>
                          </m:rPr>
                          <w:rPr>
                            <w:rFonts w:cs="Times New Roman"/>
                            <w:szCs w:val="24"/>
                          </w:rPr>
                          <m:t>Fe</m:t>
                        </m:r>
                      </m:sub>
                    </m:sSub>
                  </m:den>
                </m:f>
              </m:e>
            </m:d>
            <m:r>
              <m:rPr>
                <m:nor/>
              </m:rPr>
              <w:rPr>
                <w:rFonts w:cs="Times New Roman"/>
                <w:szCs w:val="24"/>
              </w:rPr>
              <m:t>Background</m:t>
            </m:r>
          </m:den>
        </m:f>
      </m:oMath>
      <w:r w:rsidRPr="004C0241">
        <w:rPr>
          <w:rFonts w:eastAsiaTheme="minorEastAsia" w:cs="Times New Roman"/>
          <w:bCs/>
          <w:iCs/>
          <w:szCs w:val="24"/>
        </w:rPr>
        <w:t xml:space="preserve">                                                                       </w:t>
      </w:r>
      <w:r w:rsidRPr="004C0241">
        <w:rPr>
          <w:rFonts w:eastAsiaTheme="minorEastAsia" w:cs="Times New Roman"/>
          <w:bCs/>
          <w:szCs w:val="24"/>
        </w:rPr>
        <w:t xml:space="preserve">         </w:t>
      </w:r>
      <w:r w:rsidRPr="004C0241">
        <w:rPr>
          <w:rFonts w:eastAsiaTheme="minorEastAsia" w:cs="Times New Roman"/>
          <w:b/>
          <w:szCs w:val="24"/>
        </w:rPr>
        <w:t>(2)</w:t>
      </w:r>
      <w:r w:rsidRPr="004C0241">
        <w:rPr>
          <w:rFonts w:eastAsiaTheme="minorEastAsia" w:cs="Times New Roman"/>
          <w:b/>
          <w:szCs w:val="24"/>
        </w:rPr>
        <w:tab/>
      </w:r>
      <w:r w:rsidRPr="004C0241">
        <w:rPr>
          <w:rFonts w:cs="Times New Roman"/>
          <w:b/>
          <w:szCs w:val="24"/>
        </w:rPr>
        <w:t xml:space="preserve"> </w:t>
      </w:r>
      <w:bookmarkStart w:id="10" w:name="_Toc200122315"/>
      <w:bookmarkStart w:id="11" w:name="_Toc200123233"/>
      <w:bookmarkStart w:id="12" w:name="_Toc200468473"/>
      <w:bookmarkStart w:id="13" w:name="_Toc201685691"/>
      <w:bookmarkStart w:id="14" w:name="_Toc212720032"/>
    </w:p>
    <w:p w14:paraId="44E62E6A" w14:textId="77777777" w:rsidR="0000592E" w:rsidRPr="004C0241" w:rsidRDefault="0000592E" w:rsidP="0000592E">
      <w:pPr>
        <w:spacing w:line="360" w:lineRule="auto"/>
        <w:rPr>
          <w:rFonts w:cs="Times New Roman"/>
          <w:bCs/>
          <w:szCs w:val="24"/>
        </w:rPr>
      </w:pPr>
      <w:r w:rsidRPr="004C0241">
        <w:rPr>
          <w:rStyle w:val="Heading3Char"/>
          <w:b/>
          <w:color w:val="auto"/>
        </w:rPr>
        <w:t>Contamination factor (CF)</w:t>
      </w:r>
      <w:bookmarkEnd w:id="10"/>
      <w:bookmarkEnd w:id="11"/>
      <w:bookmarkEnd w:id="12"/>
      <w:bookmarkEnd w:id="13"/>
      <w:bookmarkEnd w:id="14"/>
    </w:p>
    <w:p w14:paraId="4D8F604A" w14:textId="77777777" w:rsidR="0000592E" w:rsidRPr="004C0241" w:rsidRDefault="0000592E" w:rsidP="0000592E">
      <w:pPr>
        <w:spacing w:line="360" w:lineRule="auto"/>
        <w:jc w:val="both"/>
        <w:rPr>
          <w:rFonts w:cs="Times New Roman"/>
          <w:szCs w:val="24"/>
        </w:rPr>
      </w:pPr>
      <w:r w:rsidRPr="004C0241">
        <w:rPr>
          <w:rFonts w:cs="Times New Roman"/>
          <w:szCs w:val="24"/>
        </w:rPr>
        <w:t>CF was determined to quantify the degree of contamination with respect to the background values and was calculated using Equation 3.</w:t>
      </w:r>
    </w:p>
    <w:p w14:paraId="106DD12D" w14:textId="77777777" w:rsidR="0000592E" w:rsidRPr="004C0241" w:rsidRDefault="0000592E" w:rsidP="0000592E">
      <w:pPr>
        <w:spacing w:line="360" w:lineRule="auto"/>
        <w:jc w:val="center"/>
        <w:rPr>
          <w:rFonts w:cs="Times New Roman"/>
          <w:szCs w:val="24"/>
        </w:rPr>
      </w:pPr>
      <m:oMath>
        <m:r>
          <m:rPr>
            <m:nor/>
          </m:rPr>
          <w:rPr>
            <w:rFonts w:cs="Times New Roman"/>
            <w:szCs w:val="24"/>
          </w:rPr>
          <m:t>CF=</m:t>
        </m:r>
        <m:r>
          <m:rPr>
            <m:sty m:val="p"/>
          </m:rPr>
          <w:rPr>
            <w:rFonts w:ascii="Cambria Math" w:hAnsi="Cambria Math" w:cs="Times New Roman"/>
            <w:szCs w:val="24"/>
          </w:rPr>
          <m:t xml:space="preserve"> </m:t>
        </m:r>
        <m:sSub>
          <m:sSubPr>
            <m:ctrlPr>
              <w:rPr>
                <w:rFonts w:ascii="Cambria Math" w:hAnsi="Cambria Math" w:cs="Times New Roman"/>
                <w:iCs/>
                <w:szCs w:val="24"/>
              </w:rPr>
            </m:ctrlPr>
          </m:sSubPr>
          <m:e>
            <m:r>
              <m:rPr>
                <m:nor/>
              </m:rPr>
              <w:rPr>
                <w:rFonts w:cs="Times New Roman"/>
                <w:szCs w:val="24"/>
              </w:rPr>
              <m:t>C</m:t>
            </m:r>
          </m:e>
          <m:sub>
            <m:r>
              <m:rPr>
                <m:nor/>
              </m:rPr>
              <w:rPr>
                <w:rFonts w:cs="Times New Roman"/>
                <w:szCs w:val="24"/>
              </w:rPr>
              <m:t>m</m:t>
            </m:r>
          </m:sub>
        </m:sSub>
        <m:r>
          <m:rPr>
            <m:nor/>
          </m:rPr>
          <w:rPr>
            <w:rFonts w:cs="Times New Roman"/>
            <w:szCs w:val="24"/>
          </w:rPr>
          <m:t>/</m:t>
        </m:r>
        <m:sSub>
          <m:sSubPr>
            <m:ctrlPr>
              <w:rPr>
                <w:rFonts w:ascii="Cambria Math" w:hAnsi="Cambria Math" w:cs="Times New Roman"/>
                <w:iCs/>
                <w:szCs w:val="24"/>
              </w:rPr>
            </m:ctrlPr>
          </m:sSubPr>
          <m:e>
            <m:r>
              <m:rPr>
                <m:nor/>
              </m:rPr>
              <w:rPr>
                <w:rFonts w:cs="Times New Roman"/>
                <w:szCs w:val="24"/>
              </w:rPr>
              <m:t>B</m:t>
            </m:r>
          </m:e>
          <m:sub>
            <m:r>
              <m:rPr>
                <m:nor/>
              </m:rPr>
              <w:rPr>
                <w:rFonts w:cs="Times New Roman"/>
                <w:szCs w:val="24"/>
              </w:rPr>
              <m:t>m</m:t>
            </m:r>
            <m:r>
              <m:rPr>
                <m:sty m:val="p"/>
              </m:rPr>
              <w:rPr>
                <w:rFonts w:ascii="Cambria Math" w:hAnsi="Cambria Math" w:cs="Times New Roman"/>
                <w:szCs w:val="24"/>
              </w:rPr>
              <m:t xml:space="preserve"> </m:t>
            </m:r>
          </m:sub>
        </m:sSub>
      </m:oMath>
      <w:r w:rsidRPr="004C0241">
        <w:rPr>
          <w:rFonts w:eastAsiaTheme="minorEastAsia" w:cs="Times New Roman"/>
          <w:iCs/>
          <w:szCs w:val="24"/>
        </w:rPr>
        <w:tab/>
      </w:r>
      <w:r w:rsidRPr="004C0241">
        <w:rPr>
          <w:rFonts w:eastAsiaTheme="minorEastAsia" w:cs="Times New Roman"/>
          <w:szCs w:val="24"/>
        </w:rPr>
        <w:tab/>
      </w:r>
      <w:r w:rsidRPr="004C0241">
        <w:rPr>
          <w:rFonts w:eastAsiaTheme="minorEastAsia" w:cs="Times New Roman"/>
          <w:szCs w:val="24"/>
        </w:rPr>
        <w:tab/>
      </w:r>
      <w:r w:rsidRPr="004C0241">
        <w:rPr>
          <w:rFonts w:eastAsiaTheme="minorEastAsia" w:cs="Times New Roman"/>
          <w:szCs w:val="24"/>
        </w:rPr>
        <w:tab/>
      </w:r>
      <w:r w:rsidRPr="004C0241">
        <w:rPr>
          <w:rFonts w:eastAsiaTheme="minorEastAsia" w:cs="Times New Roman"/>
          <w:szCs w:val="24"/>
        </w:rPr>
        <w:tab/>
        <w:t xml:space="preserve">        </w:t>
      </w:r>
      <w:r w:rsidRPr="004C0241">
        <w:rPr>
          <w:rFonts w:eastAsiaTheme="minorEastAsia" w:cs="Times New Roman"/>
          <w:szCs w:val="24"/>
        </w:rPr>
        <w:tab/>
      </w:r>
      <w:r w:rsidRPr="004C0241">
        <w:rPr>
          <w:rFonts w:eastAsiaTheme="minorEastAsia" w:cs="Times New Roman"/>
          <w:szCs w:val="24"/>
        </w:rPr>
        <w:tab/>
        <w:t xml:space="preserve">      </w:t>
      </w:r>
      <w:r w:rsidRPr="004C0241">
        <w:rPr>
          <w:rFonts w:eastAsiaTheme="minorEastAsia" w:cs="Times New Roman"/>
          <w:b/>
          <w:bCs/>
          <w:szCs w:val="24"/>
        </w:rPr>
        <w:t>(3)</w:t>
      </w:r>
    </w:p>
    <w:p w14:paraId="5FFE5A1A" w14:textId="77777777" w:rsidR="0000592E" w:rsidRPr="004C0241" w:rsidRDefault="0000592E" w:rsidP="0000592E">
      <w:pPr>
        <w:pStyle w:val="Heading2"/>
        <w:spacing w:line="360" w:lineRule="auto"/>
        <w:rPr>
          <w:bCs/>
          <w:color w:val="auto"/>
        </w:rPr>
      </w:pPr>
      <w:bookmarkStart w:id="15" w:name="_Toc200468476"/>
      <w:bookmarkStart w:id="16" w:name="_Toc201685694"/>
      <w:bookmarkStart w:id="17" w:name="_Toc212720035"/>
      <w:r w:rsidRPr="004C0241">
        <w:rPr>
          <w:color w:val="auto"/>
        </w:rPr>
        <w:t xml:space="preserve"> Human health risk assessment</w:t>
      </w:r>
      <w:bookmarkEnd w:id="15"/>
      <w:bookmarkEnd w:id="16"/>
      <w:bookmarkEnd w:id="17"/>
      <w:r w:rsidRPr="004C0241">
        <w:rPr>
          <w:color w:val="auto"/>
        </w:rPr>
        <w:t xml:space="preserve"> </w:t>
      </w:r>
    </w:p>
    <w:p w14:paraId="3BD37E79" w14:textId="77777777" w:rsidR="0000592E" w:rsidRPr="004C0241" w:rsidRDefault="0000592E" w:rsidP="0000592E">
      <w:pPr>
        <w:spacing w:line="360" w:lineRule="auto"/>
        <w:jc w:val="both"/>
        <w:rPr>
          <w:rFonts w:cs="Times New Roman"/>
          <w:szCs w:val="24"/>
        </w:rPr>
      </w:pPr>
      <w:r w:rsidRPr="004C0241">
        <w:rPr>
          <w:rFonts w:cs="Times New Roman"/>
          <w:szCs w:val="24"/>
        </w:rPr>
        <w:t xml:space="preserve">HHRA is a multi-step and systematic process applied to examine the uncertainty and magnitude of contaminant-triggered health consequences. The risk assessment process is typically used to gather scientific knowledge related to toxicity and communicate it to decision-makers, allowing for the modulation and control of human exposure to these pollutants </w:t>
      </w:r>
      <w:r w:rsidRPr="004C0241">
        <w:rPr>
          <w:rFonts w:cs="Times New Roman"/>
          <w:szCs w:val="24"/>
        </w:rPr>
        <w:fldChar w:fldCharType="begin" w:fldLock="1"/>
      </w:r>
      <w:r w:rsidRPr="004C0241">
        <w:rPr>
          <w:rFonts w:cs="Times New Roman"/>
          <w:szCs w:val="24"/>
        </w:rPr>
        <w:instrText>ADDIN CSL_CITATION {"citationItems":[{"id":"ITEM-1","itemData":{"DOI":"10.1007/978-3-7091-0730-0","ISBN":"9783709107300","abstract":"This title discusses various effects of heavy metal exposure to legumes as well as the bioremediation potential of rhizosphere microbes. Availability of heavy metals, their uptake and the effects of metals on various signaling pathways within legumes are presented. Furthermore, the effects of heavy metals to nitrogen fixing microorganisms and how microsymbionts can overcome metal stress is presented in detail. The role of nitrogen fixers in decontamination of heavy metal toxicity, mycoremediation of metal contaminated soils, microbially mediated transformation of heavy metals and action of plant growth promoting rhizobacteria and nitrogen fixers together in detoxifying heavy metals are broadly explained. This volume is a useful tool for scientists, policy makers and progressive legume growers intending to develop safe and healthy legumes for future generations.","author":[{"dropping-particle":"","family":"Zaidi","given":"Almas","non-dropping-particle":"","parse-names":false,"suffix":""},{"dropping-particle":"","family":"Wani","given":"Parvaze Ahmad","non-dropping-particle":"","parse-names":false,"suffix":""},{"dropping-particle":"","family":"Khan","given":"Mohammad Saghir","non-dropping-particle":"","parse-names":false,"suffix":""}],"container-title":"Toxicity of Heavy Metals to Legumes and Bioremediation","id":"ITEM-1","issued":{"date-parts":[["2014"]]},"page":"1-244","title":"Toxicity of heavy metals to legumes and bioremediation","type":"article-journal"},"uris":["http://www.mendeley.com/documents/?uuid=11499286-51d2-416a-9a5b-54e6ac6ebaf8"]}],"mendeley":{"formattedCitation":"(Zaidi et al., 2014)","plainTextFormattedCitation":"(Zaidi et al., 2014)","previouslyFormattedCitation":"(Zaidi et al., 2014)"},"properties":{"noteIndex":0},"schema":"https://github.com/citation-style-language/schema/raw/master/csl-citation.json"}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(Zaidi et al., 2014)</w:t>
      </w:r>
      <w:r w:rsidRPr="004C0241">
        <w:rPr>
          <w:rFonts w:cs="Times New Roman"/>
          <w:szCs w:val="24"/>
        </w:rPr>
        <w:fldChar w:fldCharType="end"/>
      </w:r>
      <w:r w:rsidRPr="004C0241">
        <w:rPr>
          <w:rFonts w:cs="Times New Roman"/>
          <w:szCs w:val="24"/>
        </w:rPr>
        <w:t xml:space="preserve">. The </w:t>
      </w:r>
      <w:r w:rsidRPr="004C0241">
        <w:rPr>
          <w:rFonts w:cs="Times New Roman"/>
          <w:szCs w:val="24"/>
        </w:rPr>
        <w:lastRenderedPageBreak/>
        <w:t xml:space="preserve">HHRA of metals in street dust was performed using the exposure pathways model. Three major metal exposure pathways emanating from street dust have been identified </w:t>
      </w:r>
      <w:r w:rsidRPr="004C0241">
        <w:rPr>
          <w:rFonts w:cs="Times New Roman"/>
          <w:szCs w:val="24"/>
        </w:rPr>
        <w:fldChar w:fldCharType="begin" w:fldLock="1"/>
      </w:r>
      <w:r w:rsidRPr="004C0241">
        <w:rPr>
          <w:rFonts w:cs="Times New Roman"/>
          <w:szCs w:val="24"/>
        </w:rPr>
        <w:instrText>ADDIN CSL_CITATION {"citationItems":[{"id":"ITEM-1","itemData":{"DOI":"10.1016/j.ecoenv.2017.01.008","ISSN":"10902414","PMID":"28068580","abstract":"Street dust samples were collected from five different types of land use patterns (busy traffic zone, urban residential area, national highways, industrial area and sensitive area) in a medium sized industrial city Asansol, India. The samples were fractionated into ≤53 µm and analyzed for potential toxic elements (PTEs) viz. Zn, Cd, Pb and Cu. The mean total concentration of Zn, Cd, Pb and Cu in the urban street dust samples were 192, 0.75, 110 and 132 mg kg−1 respectively. Chemical speciation was performed for PTEs to evaluate the bio-available fractions. Cu was mostly associated with organic matter phase while Zn, Pb and Cd with residual phase. Mean mobility factor (MF) for heavy metals in Asansol was Zn (54.6%)&gt;Pb (49.1%)&gt;Cu (25.3%)&gt;Cd (22.7%). Geo-chemical indices such as Enrichment Factor (EF), geo-accumulation index (Igeo) and contamination Factor (CF) were in the order of Pb&gt;Cd&gt;Zn&gt;Cu. Cluster analysis was done to understand the similarities among the sites. The risks of all metals was calculated with mobile fraction, which indicated actual risk due to PTEs was less (HI&lt;1).","author":[{"dropping-particle":"","family":"Gope","given":"Manash","non-dropping-particle":"","parse-names":false,"suffix":""},{"dropping-particle":"","family":"Masto","given":"Reginald Ebhin","non-dropping-particle":"","parse-names":false,"suffix":""},{"dropping-particle":"","family":"George","given":"Joshy","non-dropping-particle":"","parse-names":false,"suffix":""},{"dropping-particle":"","family":"Hoque","given":"Raza Rafiqul","non-dropping-particle":"","parse-names":false,"suffix":""},{"dropping-particle":"","family":"Balachandran","given":"Srinivasan","non-dropping-particle":"","parse-names":false,"suffix":""}],"container-title":"Ecotoxicology and Environmental Safety","id":"ITEM-1","issue":"December 2016","issued":{"date-parts":[["2017"]]},"page":"231-241","title":"Bioavailability and health risk of some potentially toxic elements (Cd, Cu, Pb and Zn) in street dust of Asansol, India","type":"article-journal","volume":"138"},"uris":["http://www.mendeley.com/documents/?uuid=4dda5341-69e3-4a61-b15a-a2acd899a145"]},{"id":"ITEM-2","itemData":{"DOI":"10.1007/s10653-023-01597-6","ISBN":"0123456789","ISSN":"15732983","abstract":"Illegal gold mining activities have contributed to the release and mobilization of Hg and environmental degradation in many parts of the world. This study aims to determine the concentration of Hg in five provinces of the Amazon Region of Ecuador, in addition to assessing the risk to human health of exposed populations, applying deterministic and probabilistic methods. For this purpose, 147 water samples were collected in rivers and streams crossing and/or located near mining areas. As a result, 100% of the samples analyzed exceeded the maximum permissible limit (MPL) according to the water quality criteria for the preservation of aquatic life of the Ecuadorian regulations, while 7% of the samples exceeded the MPL for drinking water. On the other hand, considering the European Environmental Quality Standard (EQS) for surface water bodies, in our study, 100% of the samples exceed the maximum permissible limit (0.07 µg/L), and with respect to the Canadian water quality guidelines, 35% of the samples exceed the permissible limit (0.001 mg/l) for drinking water, and 100% of the samples exceed the limit for life in water bodies (0.0001 mg/l). The risk assessment revealed that the probability of developing adverse health effects from exposure to Hg is below the recommended limits according to the probabilistic assessment; this is in relation to the criterion of residential and recreational use of water resources. However, it was identified that the child population doubles the acceptable systemic risk level according to the results of the deterministic assessment in the residential scenario. This information can be used by decision-makers to implement strategies to reduce Hg contamination and exposure of the population in Ecuadorian Amazonian rivers.","author":[{"dropping-particle":"","family":"Mestanza-Ramón","given":"Carlos","non-dropping-particle":"","parse-names":false,"suffix":""},{"dropping-particle":"","family":"Jiménez-Oyola","given":"Samantha","non-dropping-particle":"","parse-names":false,"suffix":""},{"dropping-particle":"","family":"Montoya","given":"Alex Vinicio Gavilanes","non-dropping-particle":"","parse-names":false,"suffix":""},{"dropping-particle":"","family":"Vizuete","given":"Danny Daniel Castillo","non-dropping-particle":"","parse-names":false,"suffix":""},{"dropping-particle":"","family":"D’Orio","given":"Giovanni","non-dropping-particle":"","parse-names":false,"suffix":""},{"dropping-particle":"","family":"Cedeño-Laje","given":"Juan","non-dropping-particle":"","parse-names":false,"suffix":""},{"dropping-particle":"","family":"Straface","given":"Salvatore","non-dropping-particle":"","parse-names":false,"suffix":""}],"container-title":"Environmental Geochemistry and Health","id":"ITEM-2","issue":"0123456789","issued":{"date-parts":[["2023"]]},"publisher":"Springer Netherlands","title":"Assessment of Hg pollution in stream waters and human health risk in areas impacted by mining activities in the Ecuadorian Amazon","type":"article-journal"},"uris":["http://www.mendeley.com/documents/?uuid=c06de4d5-3234-4557-ac34-15f9edb9027a"]}],"mendeley":{"formattedCitation":"(Gope et al., 2017; Mestanza-Ramón et al., 2023)","manualFormatting":"(Gope et al., 2017; Ramon et al., 2023)","plainTextFormattedCitation":"(Gope et al., 2017; Mestanza-Ramón et al., 2023)","previouslyFormattedCitation":"(Gope et al., 2017; Mestanza-Ramón et al., 2023)"},"properties":{"noteIndex":0},"schema":"https://github.com/citation-style-language/schema/raw/master/csl-citation.json"}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(Gope et al., 2017; Ramon et al., 2023)</w:t>
      </w:r>
      <w:r w:rsidRPr="004C0241">
        <w:rPr>
          <w:rFonts w:cs="Times New Roman"/>
          <w:szCs w:val="24"/>
        </w:rPr>
        <w:fldChar w:fldCharType="end"/>
      </w:r>
      <w:r w:rsidRPr="004C0241">
        <w:rPr>
          <w:rFonts w:cs="Times New Roman"/>
          <w:szCs w:val="24"/>
        </w:rPr>
        <w:t xml:space="preserve">: ingestion of dust, inhalation of re-suspended dust, and absorption from skin-adhered (dermal) dust. The chronic daily intake (CDI) is calculated by following </w:t>
      </w:r>
      <w:r w:rsidRPr="004C0241">
        <w:rPr>
          <w:rFonts w:cs="Times New Roman"/>
          <w:szCs w:val="24"/>
        </w:rPr>
        <w:fldChar w:fldCharType="begin" w:fldLock="1"/>
      </w:r>
      <w:r w:rsidRPr="004C0241">
        <w:rPr>
          <w:rFonts w:cs="Times New Roman"/>
          <w:szCs w:val="24"/>
        </w:rPr>
        <w:instrText>ADDIN CSL_CITATION {"citationItems":[{"id":"ITEM-1","itemData":{"ISBN":"EPA/540/1-89/002","ISSN":"&lt;null&gt;","abstract":"The Environmental Protection Agency’s (EPA’s) Superfund Program has updated its approach for determining risk from inhaled chemicals to be consistent with the inhalation dosimetry methodology described in Methods for Derivation of Inhalation Reference Concentrations and Application of Inhalation Dosimetry (USEPA, 1994; hereafter, the Inhalation Dosimetry Methodology).1 This document provides Superfund site risk assessors with guidance that should help more consistently address the Inhalation Dosimetry Methodology. This document outlines recommended processes consisting of a series of steps as well as recommended equations for EPA Regions to consider when estimating inhalation exposure and risk at Comprehensive Environmental Response, Compensation, and Liability Act (CERCLA) sites. This guidance is intended to provide a recommended methodology for consistently addressing the inhalation pathway in risk assessments for Superfund sites. Some of the statutory provisions described in this document contain legally binding requirements. However, this document does not substitute for those provisions or regulations, nor is it a regulation itself. Thus, it cannot impose legally binding requirements on EPA, States, or the regulated community, and may not apply to a particular situation based upon the circumstances. Any decisions regarding a particular remedy selection decision will be made based on the statute and regulations, and EPA decisionmakers retain the discretion to adopt approaches on a case-by-case basis that differ from this guidance where appropriate. EPA may change this guidance in the future.","author":[{"dropping-particle":"","family":"US EPA","given":"","non-dropping-particle":"","parse-names":false,"suffix":""}],"container-title":"Office of Superfund Remediation and Technology Innovation Environmental Protection Agency","id":"ITEM-1","issue":"January","issued":{"date-parts":[["2009"]]},"page":"1-68","title":"Risk Assessment Guidance for Superfund Volume I: Human Health Evaluation Manual (Part F, Supplemental Guidance for Inhalation Risk Assessment)","type":"article-journal","volume":"I"},"uris":["http://www.mendeley.com/documents/?uuid=3831ac39-2bf2-46d6-9a1b-b971ab753be9","http://www.mendeley.com/documents/?uuid=b9a0a500-a8c9-4a2e-a9f7-3a9b81db7e58"]},{"id":"ITEM-2","itemData":{"author":[{"dropping-particle":"","family":"USEPA","given":"","non-dropping-particle":"","parse-names":false,"suffix":""}],"id":"ITEM-2","issued":{"date-parts":[["2001"]]},"title":"Child-Specic Exposure Factors Handbook. National Center for Environmental Assessmen","type":"book"},"uris":["http://www.mendeley.com/documents/?uuid=bd397907-0d97-4266-9a43-3638fa896bd6","http://www.mendeley.com/documents/?uuid=30d69576-d7c2-4ee1-8881-bfcdfd2d7c0c"]}],"mendeley":{"formattedCitation":"(US EPA, 2009; USEPA, 2001)","manualFormatting":"(USEPA, 2001; USEPA, 2009)","plainTextFormattedCitation":"(US EPA, 2009; USEPA, 2001)","previouslyFormattedCitation":"(US EPA, 2009; USEPA, 2001)"},"properties":{"noteIndex":0},"schema":"https://github.com/citation-style-language/schema/raw/master/csl-citation.json"}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(USEPA, 2001; USEPA, 2009)</w:t>
      </w:r>
      <w:r w:rsidRPr="004C0241">
        <w:rPr>
          <w:rFonts w:cs="Times New Roman"/>
          <w:szCs w:val="24"/>
        </w:rPr>
        <w:fldChar w:fldCharType="end"/>
      </w:r>
      <w:r w:rsidRPr="004C0241">
        <w:rPr>
          <w:rFonts w:cs="Times New Roman"/>
          <w:szCs w:val="24"/>
        </w:rPr>
        <w:t>:</w:t>
      </w:r>
    </w:p>
    <w:p w14:paraId="3BA7B86E" w14:textId="77777777" w:rsidR="0000592E" w:rsidRPr="004C0241" w:rsidRDefault="00000000" w:rsidP="0000592E">
      <w:pPr>
        <w:spacing w:line="360" w:lineRule="auto"/>
        <w:jc w:val="center"/>
        <w:rPr>
          <w:rFonts w:cs="Times New Roman"/>
          <w:szCs w:val="24"/>
        </w:rPr>
      </w:pPr>
      <m:oMath>
        <m:sSub>
          <m:sSubPr>
            <m:ctrlPr>
              <w:rPr>
                <w:rFonts w:ascii="Cambria Math" w:hAnsi="Cambria Math" w:cs="Times New Roman"/>
                <w:iCs/>
                <w:szCs w:val="24"/>
              </w:rPr>
            </m:ctrlPr>
          </m:sSubPr>
          <m:e>
            <m:r>
              <m:rPr>
                <m:nor/>
              </m:rPr>
              <w:rPr>
                <w:rFonts w:cs="Times New Roman"/>
                <w:szCs w:val="24"/>
              </w:rPr>
              <m:t>CDI</m:t>
            </m:r>
          </m:e>
          <m:sub>
            <m:r>
              <m:rPr>
                <m:nor/>
              </m:rPr>
              <w:rPr>
                <w:rFonts w:cs="Times New Roman"/>
                <w:szCs w:val="24"/>
              </w:rPr>
              <m:t>ingestion</m:t>
            </m:r>
          </m:sub>
        </m:sSub>
        <m:r>
          <m:rPr>
            <m:nor/>
          </m:rPr>
          <w:rPr>
            <w:rFonts w:cs="Times New Roman"/>
            <w:szCs w:val="24"/>
          </w:rPr>
          <m:t>=</m:t>
        </m:r>
        <m:f>
          <m:fPr>
            <m:ctrlPr>
              <w:rPr>
                <w:rFonts w:ascii="Cambria Math" w:hAnsi="Cambria Math" w:cs="Times New Roman"/>
                <w:iCs/>
                <w:szCs w:val="24"/>
              </w:rPr>
            </m:ctrlPr>
          </m:fPr>
          <m:num>
            <m:sSub>
              <m:sSubPr>
                <m:ctrlPr>
                  <w:rPr>
                    <w:rFonts w:ascii="Cambria Math" w:hAnsi="Cambria Math" w:cs="Times New Roman"/>
                    <w:iCs/>
                    <w:szCs w:val="24"/>
                  </w:rPr>
                </m:ctrlPr>
              </m:sSubPr>
              <m:e>
                <m:r>
                  <m:rPr>
                    <m:nor/>
                  </m:rPr>
                  <w:rPr>
                    <w:rFonts w:cs="Times New Roman"/>
                    <w:iCs/>
                    <w:szCs w:val="24"/>
                  </w:rPr>
                  <m:t>CX R</m:t>
                </m:r>
              </m:e>
              <m:sub>
                <m:r>
                  <m:rPr>
                    <m:nor/>
                  </m:rPr>
                  <w:rPr>
                    <w:rFonts w:cs="Times New Roman"/>
                    <w:iCs/>
                    <w:szCs w:val="24"/>
                  </w:rPr>
                  <m:t>ing</m:t>
                </m:r>
              </m:sub>
            </m:sSub>
            <m:r>
              <m:rPr>
                <m:nor/>
              </m:rPr>
              <w:rPr>
                <w:rFonts w:cs="Times New Roman"/>
                <w:iCs/>
                <w:szCs w:val="24"/>
              </w:rPr>
              <m:t xml:space="preserve"> X</m:t>
            </m:r>
            <m:sSub>
              <m:sSubPr>
                <m:ctrlPr>
                  <w:rPr>
                    <w:rFonts w:ascii="Cambria Math" w:hAnsi="Cambria Math" w:cs="Times New Roman"/>
                    <w:iCs/>
                    <w:szCs w:val="24"/>
                  </w:rPr>
                </m:ctrlPr>
              </m:sSubPr>
              <m:e>
                <m:r>
                  <m:rPr>
                    <m:nor/>
                  </m:rPr>
                  <w:rPr>
                    <w:rFonts w:cs="Times New Roman"/>
                    <w:iCs/>
                    <w:szCs w:val="24"/>
                  </w:rPr>
                  <m:t xml:space="preserve"> E</m:t>
                </m:r>
              </m:e>
              <m:sub>
                <m:r>
                  <m:rPr>
                    <m:nor/>
                  </m:rPr>
                  <w:rPr>
                    <w:rFonts w:cs="Times New Roman"/>
                    <w:iCs/>
                    <w:szCs w:val="24"/>
                  </w:rPr>
                  <m:t>exp</m:t>
                </m:r>
              </m:sub>
            </m:sSub>
            <m:r>
              <m:rPr>
                <m:nor/>
              </m:rPr>
              <w:rPr>
                <w:rFonts w:cs="Times New Roman"/>
                <w:iCs/>
                <w:szCs w:val="24"/>
              </w:rPr>
              <m:t xml:space="preserve">  X</m:t>
            </m:r>
            <m:r>
              <m:rPr>
                <m:sty m:val="p"/>
              </m:rPr>
              <w:rPr>
                <w:rFonts w:ascii="Cambria Math" w:hAnsi="Cambria Math" w:cs="Times New Roman"/>
                <w:szCs w:val="24"/>
              </w:rPr>
              <m:t xml:space="preserve"> </m:t>
            </m:r>
            <m:sSub>
              <m:sSubPr>
                <m:ctrlPr>
                  <w:rPr>
                    <w:rFonts w:ascii="Cambria Math" w:hAnsi="Cambria Math" w:cs="Times New Roman"/>
                    <w:iCs/>
                    <w:szCs w:val="24"/>
                  </w:rPr>
                </m:ctrlPr>
              </m:sSubPr>
              <m:e>
                <m:r>
                  <m:rPr>
                    <m:nor/>
                  </m:rPr>
                  <w:rPr>
                    <w:rFonts w:cs="Times New Roman"/>
                    <w:iCs/>
                    <w:szCs w:val="24"/>
                  </w:rPr>
                  <m:t>T</m:t>
                </m:r>
              </m:e>
              <m:sub>
                <m:r>
                  <m:rPr>
                    <m:nor/>
                  </m:rPr>
                  <w:rPr>
                    <w:rFonts w:cs="Times New Roman"/>
                    <w:iCs/>
                    <w:szCs w:val="24"/>
                  </w:rPr>
                  <m:t xml:space="preserve">exp </m:t>
                </m:r>
              </m:sub>
            </m:sSub>
            <m:sSup>
              <m:sSupPr>
                <m:ctrlPr>
                  <w:rPr>
                    <w:rFonts w:ascii="Cambria Math" w:hAnsi="Cambria Math" w:cs="Times New Roman"/>
                    <w:iCs/>
                    <w:szCs w:val="24"/>
                  </w:rPr>
                </m:ctrlPr>
              </m:sSupPr>
              <m:e>
                <m:r>
                  <m:rPr>
                    <m:nor/>
                  </m:rPr>
                  <w:rPr>
                    <w:rFonts w:cs="Times New Roman"/>
                    <w:szCs w:val="24"/>
                  </w:rPr>
                  <m:t>10</m:t>
                </m:r>
              </m:e>
              <m:sup>
                <m:r>
                  <m:rPr>
                    <m:nor/>
                  </m:rPr>
                  <w:rPr>
                    <w:rFonts w:cs="Times New Roman"/>
                    <w:szCs w:val="24"/>
                  </w:rPr>
                  <m:t>-6</m:t>
                </m:r>
              </m:sup>
            </m:sSup>
          </m:num>
          <m:den>
            <m:r>
              <m:rPr>
                <m:nor/>
              </m:rPr>
              <w:rPr>
                <w:rFonts w:cs="Times New Roman"/>
                <w:iCs/>
                <w:szCs w:val="24"/>
              </w:rPr>
              <m:t>ABW X</m:t>
            </m:r>
            <m:sSub>
              <m:sSubPr>
                <m:ctrlPr>
                  <w:rPr>
                    <w:rFonts w:ascii="Cambria Math" w:hAnsi="Cambria Math" w:cs="Times New Roman"/>
                    <w:iCs/>
                    <w:szCs w:val="24"/>
                  </w:rPr>
                </m:ctrlPr>
              </m:sSubPr>
              <m:e>
                <m:r>
                  <m:rPr>
                    <m:nor/>
                  </m:rPr>
                  <w:rPr>
                    <w:rFonts w:cs="Times New Roman"/>
                    <w:iCs/>
                    <w:szCs w:val="24"/>
                  </w:rPr>
                  <m:t>T</m:t>
                </m:r>
              </m:e>
              <m:sub>
                <m:r>
                  <m:rPr>
                    <m:nor/>
                  </m:rPr>
                  <w:rPr>
                    <w:rFonts w:cs="Times New Roman"/>
                    <w:iCs/>
                    <w:szCs w:val="24"/>
                  </w:rPr>
                  <m:t>avg</m:t>
                </m:r>
              </m:sub>
            </m:sSub>
            <m:r>
              <m:rPr>
                <m:nor/>
              </m:rPr>
              <w:rPr>
                <w:rFonts w:cs="Times New Roman"/>
                <w:iCs/>
                <w:szCs w:val="24"/>
              </w:rPr>
              <m:t xml:space="preserve"> </m:t>
            </m:r>
          </m:den>
        </m:f>
        <m:r>
          <w:rPr>
            <w:rFonts w:ascii="Cambria Math" w:hAnsi="Cambria Math" w:cs="Times New Roman"/>
            <w:szCs w:val="24"/>
          </w:rPr>
          <m:t xml:space="preserve"> </m:t>
        </m:r>
      </m:oMath>
      <w:r w:rsidR="0000592E" w:rsidRPr="004C0241">
        <w:rPr>
          <w:rFonts w:cs="Times New Roman"/>
          <w:szCs w:val="24"/>
        </w:rPr>
        <w:tab/>
      </w:r>
      <w:r w:rsidR="0000592E" w:rsidRPr="004C0241">
        <w:rPr>
          <w:rFonts w:cs="Times New Roman"/>
          <w:szCs w:val="24"/>
        </w:rPr>
        <w:tab/>
      </w:r>
      <w:r w:rsidR="0000592E" w:rsidRPr="004C0241">
        <w:rPr>
          <w:rFonts w:cs="Times New Roman"/>
          <w:szCs w:val="24"/>
        </w:rPr>
        <w:tab/>
        <w:t xml:space="preserve">               </w:t>
      </w:r>
      <w:r w:rsidR="0000592E" w:rsidRPr="004C0241">
        <w:rPr>
          <w:rFonts w:cs="Times New Roman"/>
          <w:b/>
          <w:bCs/>
          <w:szCs w:val="24"/>
        </w:rPr>
        <w:t>(4)</w:t>
      </w:r>
    </w:p>
    <w:p w14:paraId="2C5B30F3" w14:textId="77777777" w:rsidR="0000592E" w:rsidRPr="004C0241" w:rsidRDefault="00000000" w:rsidP="0000592E">
      <w:pPr>
        <w:spacing w:line="360" w:lineRule="auto"/>
        <w:jc w:val="center"/>
        <w:rPr>
          <w:rFonts w:cs="Times New Roman"/>
          <w:iCs/>
          <w:szCs w:val="24"/>
        </w:rPr>
      </w:pPr>
      <m:oMath>
        <m:sSub>
          <m:sSubPr>
            <m:ctrlPr>
              <w:rPr>
                <w:rFonts w:ascii="Cambria Math" w:hAnsi="Cambria Math" w:cs="Times New Roman"/>
                <w:iCs/>
                <w:szCs w:val="24"/>
              </w:rPr>
            </m:ctrlPr>
          </m:sSubPr>
          <m:e>
            <m:r>
              <m:rPr>
                <m:nor/>
              </m:rPr>
              <w:rPr>
                <w:rFonts w:cs="Times New Roman"/>
                <w:iCs/>
                <w:szCs w:val="24"/>
              </w:rPr>
              <m:t>CDI</m:t>
            </m:r>
          </m:e>
          <m:sub>
            <m:r>
              <m:rPr>
                <m:nor/>
              </m:rPr>
              <w:rPr>
                <w:rFonts w:cs="Times New Roman"/>
                <w:iCs/>
                <w:szCs w:val="24"/>
              </w:rPr>
              <m:t>inhalation</m:t>
            </m:r>
          </m:sub>
        </m:sSub>
      </m:oMath>
      <w:r w:rsidR="0000592E" w:rsidRPr="004C0241">
        <w:rPr>
          <w:rFonts w:cs="Times New Roman"/>
          <w:iCs/>
          <w:szCs w:val="24"/>
        </w:rPr>
        <w:t xml:space="preserve"> </w:t>
      </w:r>
      <m:oMath>
        <m:r>
          <m:rPr>
            <m:sty m:val="p"/>
          </m:rPr>
          <w:rPr>
            <w:rFonts w:ascii="Cambria Math" w:hAnsi="Cambria Math" w:cs="Times New Roman"/>
            <w:szCs w:val="24"/>
          </w:rPr>
          <m:t>=</m:t>
        </m:r>
        <m:f>
          <m:fPr>
            <m:ctrlPr>
              <w:rPr>
                <w:rFonts w:ascii="Cambria Math" w:hAnsi="Cambria Math" w:cs="Times New Roman"/>
                <w:iCs/>
                <w:szCs w:val="24"/>
              </w:rPr>
            </m:ctrlPr>
          </m:fPr>
          <m:num>
            <m:sSub>
              <m:sSubPr>
                <m:ctrlPr>
                  <w:rPr>
                    <w:rFonts w:ascii="Cambria Math" w:hAnsi="Cambria Math" w:cs="Times New Roman"/>
                    <w:iCs/>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inh</m:t>
                </m:r>
              </m:sub>
            </m:sSub>
            <m:r>
              <m:rPr>
                <m:sty m:val="p"/>
              </m:rPr>
              <w:rPr>
                <w:rFonts w:ascii="Cambria Math" w:hAnsi="Cambria Math" w:cs="Times New Roman"/>
                <w:szCs w:val="24"/>
              </w:rPr>
              <m:t xml:space="preserve"> X </m:t>
            </m:r>
            <m:sSub>
              <m:sSubPr>
                <m:ctrlPr>
                  <w:rPr>
                    <w:rFonts w:ascii="Cambria Math" w:hAnsi="Cambria Math" w:cs="Times New Roman"/>
                    <w:iCs/>
                    <w:szCs w:val="24"/>
                  </w:rPr>
                </m:ctrlPr>
              </m:sSubPr>
              <m:e>
                <m:r>
                  <m:rPr>
                    <m:sty m:val="p"/>
                  </m:rPr>
                  <w:rPr>
                    <w:rFonts w:ascii="Cambria Math" w:hAnsi="Cambria Math" w:cs="Times New Roman"/>
                    <w:szCs w:val="24"/>
                  </w:rPr>
                  <m:t>E</m:t>
                </m:r>
              </m:e>
              <m:sub>
                <m:r>
                  <m:rPr>
                    <m:sty m:val="p"/>
                  </m:rPr>
                  <w:rPr>
                    <w:rFonts w:ascii="Cambria Math" w:hAnsi="Cambria Math" w:cs="Times New Roman"/>
                    <w:szCs w:val="24"/>
                  </w:rPr>
                  <m:t>exp</m:t>
                </m:r>
              </m:sub>
            </m:sSub>
            <m:r>
              <m:rPr>
                <m:sty m:val="p"/>
              </m:rPr>
              <w:rPr>
                <w:rFonts w:ascii="Cambria Math" w:hAnsi="Cambria Math" w:cs="Times New Roman"/>
                <w:szCs w:val="24"/>
              </w:rPr>
              <m:t xml:space="preserve"> X </m:t>
            </m:r>
            <m:sSub>
              <m:sSubPr>
                <m:ctrlPr>
                  <w:rPr>
                    <w:rFonts w:ascii="Cambria Math" w:hAnsi="Cambria Math" w:cs="Times New Roman"/>
                    <w:iCs/>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exp</m:t>
                </m:r>
              </m:sub>
            </m:sSub>
          </m:num>
          <m:den>
            <m:r>
              <m:rPr>
                <m:sty m:val="p"/>
              </m:rPr>
              <w:rPr>
                <w:rFonts w:ascii="Cambria Math" w:hAnsi="Cambria Math" w:cs="Times New Roman"/>
                <w:szCs w:val="24"/>
              </w:rPr>
              <m:t xml:space="preserve">PEF X ABW X </m:t>
            </m:r>
            <m:sSub>
              <m:sSubPr>
                <m:ctrlPr>
                  <w:rPr>
                    <w:rFonts w:ascii="Cambria Math" w:hAnsi="Cambria Math" w:cs="Times New Roman"/>
                    <w:iCs/>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avg</m:t>
                </m:r>
              </m:sub>
            </m:sSub>
          </m:den>
        </m:f>
      </m:oMath>
      <w:r w:rsidR="0000592E" w:rsidRPr="004C0241">
        <w:rPr>
          <w:rFonts w:eastAsiaTheme="minorEastAsia" w:cs="Times New Roman"/>
          <w:iCs/>
          <w:szCs w:val="24"/>
        </w:rPr>
        <w:t xml:space="preserve">                                        </w:t>
      </w:r>
      <w:r w:rsidR="0000592E" w:rsidRPr="004C0241">
        <w:rPr>
          <w:rFonts w:eastAsiaTheme="minorEastAsia" w:cs="Times New Roman"/>
          <w:iCs/>
          <w:szCs w:val="24"/>
        </w:rPr>
        <w:tab/>
      </w:r>
      <w:r w:rsidR="0000592E" w:rsidRPr="004C0241">
        <w:rPr>
          <w:rFonts w:eastAsiaTheme="minorEastAsia" w:cs="Times New Roman"/>
          <w:b/>
          <w:bCs/>
          <w:iCs/>
          <w:szCs w:val="24"/>
        </w:rPr>
        <w:t xml:space="preserve">  (5)</w:t>
      </w:r>
    </w:p>
    <w:p w14:paraId="41719DB7" w14:textId="77777777" w:rsidR="0000592E" w:rsidRPr="004C0241" w:rsidRDefault="00000000" w:rsidP="0000592E">
      <w:pPr>
        <w:spacing w:line="360" w:lineRule="auto"/>
        <w:jc w:val="center"/>
        <w:rPr>
          <w:rFonts w:cs="Times New Roman"/>
          <w:b/>
          <w:bCs/>
          <w:szCs w:val="24"/>
        </w:rPr>
      </w:pPr>
      <m:oMath>
        <m:sSub>
          <m:sSubPr>
            <m:ctrlPr>
              <w:rPr>
                <w:rFonts w:ascii="Cambria Math" w:hAnsi="Cambria Math" w:cs="Times New Roman"/>
                <w:iCs/>
                <w:szCs w:val="24"/>
              </w:rPr>
            </m:ctrlPr>
          </m:sSubPr>
          <m:e>
            <m:r>
              <m:rPr>
                <m:nor/>
              </m:rPr>
              <w:rPr>
                <w:rFonts w:cs="Times New Roman"/>
                <w:szCs w:val="24"/>
              </w:rPr>
              <m:t>CDI</m:t>
            </m:r>
          </m:e>
          <m:sub>
            <m:r>
              <m:rPr>
                <m:nor/>
              </m:rPr>
              <w:rPr>
                <w:rFonts w:cs="Times New Roman"/>
                <w:szCs w:val="24"/>
              </w:rPr>
              <m:t>inhalation</m:t>
            </m:r>
          </m:sub>
        </m:sSub>
      </m:oMath>
      <w:r w:rsidR="0000592E" w:rsidRPr="004C0241">
        <w:rPr>
          <w:rFonts w:cs="Times New Roman"/>
          <w:iCs/>
          <w:szCs w:val="24"/>
        </w:rPr>
        <w:t xml:space="preserve"> = </w:t>
      </w:r>
      <m:oMath>
        <m:r>
          <m:rPr>
            <m:nor/>
          </m:rPr>
          <w:rPr>
            <w:rFonts w:cs="Times New Roman"/>
            <w:szCs w:val="24"/>
          </w:rPr>
          <m:t>C*</m:t>
        </m:r>
        <m:f>
          <m:fPr>
            <m:ctrlPr>
              <w:rPr>
                <w:rFonts w:ascii="Cambria Math" w:hAnsi="Cambria Math" w:cs="Times New Roman"/>
                <w:iCs/>
                <w:szCs w:val="24"/>
              </w:rPr>
            </m:ctrlPr>
          </m:fPr>
          <m:num>
            <m:r>
              <m:rPr>
                <m:nor/>
              </m:rPr>
              <w:rPr>
                <w:rFonts w:cs="Times New Roman"/>
                <w:iCs/>
                <w:szCs w:val="24"/>
              </w:rPr>
              <m:t xml:space="preserve">SAF X </m:t>
            </m:r>
            <m:sSub>
              <m:sSubPr>
                <m:ctrlPr>
                  <w:rPr>
                    <w:rFonts w:ascii="Cambria Math" w:hAnsi="Cambria Math" w:cs="Times New Roman"/>
                    <w:iCs/>
                    <w:szCs w:val="24"/>
                  </w:rPr>
                </m:ctrlPr>
              </m:sSubPr>
              <m:e>
                <m:r>
                  <m:rPr>
                    <m:nor/>
                  </m:rPr>
                  <w:rPr>
                    <w:rFonts w:cs="Times New Roman"/>
                    <w:iCs/>
                    <w:szCs w:val="24"/>
                  </w:rPr>
                  <m:t>A</m:t>
                </m:r>
              </m:e>
              <m:sub>
                <m:r>
                  <m:rPr>
                    <m:nor/>
                  </m:rPr>
                  <w:rPr>
                    <w:rFonts w:cs="Times New Roman"/>
                    <w:iCs/>
                    <w:szCs w:val="24"/>
                  </w:rPr>
                  <m:t xml:space="preserve">skin </m:t>
                </m:r>
              </m:sub>
            </m:sSub>
            <m:r>
              <m:rPr>
                <m:nor/>
              </m:rPr>
              <w:rPr>
                <w:rFonts w:cs="Times New Roman"/>
                <w:iCs/>
                <w:szCs w:val="24"/>
              </w:rPr>
              <m:t xml:space="preserve">X DAF X </m:t>
            </m:r>
            <m:sSub>
              <m:sSubPr>
                <m:ctrlPr>
                  <w:rPr>
                    <w:rFonts w:ascii="Cambria Math" w:hAnsi="Cambria Math" w:cs="Times New Roman"/>
                    <w:iCs/>
                    <w:szCs w:val="24"/>
                  </w:rPr>
                </m:ctrlPr>
              </m:sSubPr>
              <m:e>
                <m:r>
                  <m:rPr>
                    <m:nor/>
                  </m:rPr>
                  <w:rPr>
                    <w:rFonts w:cs="Times New Roman"/>
                    <w:iCs/>
                    <w:szCs w:val="24"/>
                  </w:rPr>
                  <m:t>E</m:t>
                </m:r>
              </m:e>
              <m:sub>
                <m:r>
                  <m:rPr>
                    <m:nor/>
                  </m:rPr>
                  <w:rPr>
                    <w:rFonts w:cs="Times New Roman"/>
                    <w:iCs/>
                    <w:szCs w:val="24"/>
                  </w:rPr>
                  <m:t>Exp</m:t>
                </m:r>
              </m:sub>
            </m:sSub>
            <m:r>
              <m:rPr>
                <m:nor/>
              </m:rPr>
              <w:rPr>
                <w:rFonts w:cs="Times New Roman"/>
                <w:iCs/>
                <w:szCs w:val="24"/>
              </w:rPr>
              <m:t xml:space="preserve"> X</m:t>
            </m:r>
            <m:sSub>
              <m:sSubPr>
                <m:ctrlPr>
                  <w:rPr>
                    <w:rFonts w:ascii="Cambria Math" w:hAnsi="Cambria Math" w:cs="Times New Roman"/>
                    <w:iCs/>
                    <w:szCs w:val="24"/>
                  </w:rPr>
                </m:ctrlPr>
              </m:sSubPr>
              <m:e>
                <m:r>
                  <m:rPr>
                    <m:nor/>
                  </m:rPr>
                  <w:rPr>
                    <w:rFonts w:cs="Times New Roman"/>
                    <w:iCs/>
                    <w:szCs w:val="24"/>
                  </w:rPr>
                  <m:t xml:space="preserve"> T</m:t>
                </m:r>
              </m:e>
              <m:sub>
                <m:r>
                  <m:rPr>
                    <m:nor/>
                  </m:rPr>
                  <w:rPr>
                    <w:rFonts w:cs="Times New Roman"/>
                    <w:iCs/>
                    <w:szCs w:val="24"/>
                  </w:rPr>
                  <m:t xml:space="preserve">Exp </m:t>
                </m:r>
              </m:sub>
            </m:sSub>
            <m:r>
              <m:rPr>
                <m:nor/>
              </m:rPr>
              <w:rPr>
                <w:rFonts w:cs="Times New Roman"/>
                <w:szCs w:val="24"/>
              </w:rPr>
              <m:t>X</m:t>
            </m:r>
            <m:sSup>
              <m:sSupPr>
                <m:ctrlPr>
                  <w:rPr>
                    <w:rFonts w:ascii="Cambria Math" w:hAnsi="Cambria Math" w:cs="Times New Roman"/>
                    <w:iCs/>
                    <w:szCs w:val="24"/>
                  </w:rPr>
                </m:ctrlPr>
              </m:sSupPr>
              <m:e>
                <m:r>
                  <m:rPr>
                    <m:nor/>
                  </m:rPr>
                  <w:rPr>
                    <w:rFonts w:cs="Times New Roman"/>
                    <w:szCs w:val="24"/>
                  </w:rPr>
                  <m:t>10</m:t>
                </m:r>
              </m:e>
              <m:sup>
                <m:r>
                  <m:rPr>
                    <m:nor/>
                  </m:rPr>
                  <w:rPr>
                    <w:rFonts w:cs="Times New Roman"/>
                    <w:szCs w:val="24"/>
                  </w:rPr>
                  <m:t>-6</m:t>
                </m:r>
              </m:sup>
            </m:sSup>
          </m:num>
          <m:den>
            <m:r>
              <m:rPr>
                <m:nor/>
              </m:rPr>
              <w:rPr>
                <w:rFonts w:cs="Times New Roman"/>
                <w:iCs/>
                <w:szCs w:val="24"/>
              </w:rPr>
              <m:t xml:space="preserve">ABW X </m:t>
            </m:r>
            <m:sSub>
              <m:sSubPr>
                <m:ctrlPr>
                  <w:rPr>
                    <w:rFonts w:ascii="Cambria Math" w:hAnsi="Cambria Math" w:cs="Times New Roman"/>
                    <w:iCs/>
                    <w:szCs w:val="24"/>
                  </w:rPr>
                </m:ctrlPr>
              </m:sSubPr>
              <m:e>
                <m:r>
                  <m:rPr>
                    <m:nor/>
                  </m:rPr>
                  <w:rPr>
                    <w:rFonts w:cs="Times New Roman"/>
                    <w:iCs/>
                    <w:szCs w:val="24"/>
                  </w:rPr>
                  <m:t>T</m:t>
                </m:r>
              </m:e>
              <m:sub>
                <m:r>
                  <m:rPr>
                    <m:nor/>
                  </m:rPr>
                  <w:rPr>
                    <w:rFonts w:cs="Times New Roman"/>
                    <w:iCs/>
                    <w:szCs w:val="24"/>
                  </w:rPr>
                  <m:t>avg</m:t>
                </m:r>
              </m:sub>
            </m:sSub>
          </m:den>
        </m:f>
      </m:oMath>
      <w:r w:rsidR="0000592E" w:rsidRPr="004C0241">
        <w:rPr>
          <w:rFonts w:cs="Times New Roman"/>
          <w:szCs w:val="24"/>
          <w:vertAlign w:val="superscript"/>
        </w:rPr>
        <w:t xml:space="preserve">              </w:t>
      </w:r>
      <w:proofErr w:type="gramStart"/>
      <w:r w:rsidR="0000592E" w:rsidRPr="004C0241">
        <w:rPr>
          <w:rFonts w:cs="Times New Roman"/>
          <w:szCs w:val="24"/>
          <w:vertAlign w:val="superscript"/>
        </w:rPr>
        <w:tab/>
      </w:r>
      <w:r w:rsidR="0000592E" w:rsidRPr="004C0241">
        <w:rPr>
          <w:rFonts w:cs="Times New Roman"/>
          <w:b/>
          <w:bCs/>
          <w:szCs w:val="24"/>
          <w:vertAlign w:val="superscript"/>
        </w:rPr>
        <w:t xml:space="preserve">  </w:t>
      </w:r>
      <w:r w:rsidR="0000592E" w:rsidRPr="004C0241">
        <w:rPr>
          <w:rFonts w:cs="Times New Roman"/>
          <w:b/>
          <w:bCs/>
          <w:szCs w:val="24"/>
        </w:rPr>
        <w:t>(</w:t>
      </w:r>
      <w:proofErr w:type="gramEnd"/>
      <w:r w:rsidR="0000592E" w:rsidRPr="004C0241">
        <w:rPr>
          <w:rFonts w:cs="Times New Roman"/>
          <w:b/>
          <w:bCs/>
          <w:szCs w:val="24"/>
        </w:rPr>
        <w:t>6)</w:t>
      </w:r>
    </w:p>
    <w:p w14:paraId="3EBC3B3D" w14:textId="77777777" w:rsidR="0000592E" w:rsidRPr="004C0241" w:rsidRDefault="0000592E" w:rsidP="0000592E">
      <w:pPr>
        <w:spacing w:line="360" w:lineRule="auto"/>
        <w:jc w:val="both"/>
        <w:rPr>
          <w:rFonts w:cs="Times New Roman"/>
          <w:szCs w:val="24"/>
        </w:rPr>
      </w:pPr>
      <w:r w:rsidRPr="004C0241">
        <w:rPr>
          <w:rFonts w:cs="Times New Roman"/>
          <w:szCs w:val="24"/>
        </w:rPr>
        <w:t>Non-carcinogenic and carcinogenic risks associated with trace elements in street dust were assessed using calculations for hazard quotient (HQ), hazard index (HI), and cancer risk (CR). The quantification of non-carcinogenic risk was done using:</w:t>
      </w:r>
    </w:p>
    <w:p w14:paraId="5639711F" w14:textId="77777777" w:rsidR="0000592E" w:rsidRPr="004C0241" w:rsidRDefault="0000592E" w:rsidP="0000592E">
      <w:pPr>
        <w:spacing w:line="360" w:lineRule="auto"/>
        <w:jc w:val="center"/>
        <w:rPr>
          <w:rFonts w:cs="Times New Roman"/>
          <w:szCs w:val="24"/>
        </w:rPr>
      </w:pPr>
      <w:r w:rsidRPr="004C0241">
        <w:rPr>
          <w:rFonts w:cs="Times New Roman"/>
          <w:szCs w:val="24"/>
        </w:rPr>
        <w:t xml:space="preserve">HQ =  </w:t>
      </w:r>
      <m:oMath>
        <m:f>
          <m:fPr>
            <m:ctrlPr>
              <w:rPr>
                <w:rFonts w:ascii="Cambria Math" w:hAnsi="Cambria Math" w:cs="Times New Roman"/>
                <w:szCs w:val="24"/>
              </w:rPr>
            </m:ctrlPr>
          </m:fPr>
          <m:num>
            <m:r>
              <m:rPr>
                <m:sty m:val="p"/>
              </m:rPr>
              <w:rPr>
                <w:rFonts w:ascii="Cambria Math" w:hAnsi="Cambria Math" w:cs="Times New Roman"/>
                <w:szCs w:val="24"/>
              </w:rPr>
              <m:t>CDIi</m:t>
            </m:r>
          </m:num>
          <m:den>
            <m:sSub>
              <m:sSubPr>
                <m:ctrlPr>
                  <w:rPr>
                    <w:rFonts w:ascii="Cambria Math" w:hAnsi="Cambria Math" w:cs="Times New Roman"/>
                    <w:szCs w:val="24"/>
                  </w:rPr>
                </m:ctrlPr>
              </m:sSubPr>
              <m:e>
                <m:r>
                  <m:rPr>
                    <m:sty m:val="p"/>
                  </m:rPr>
                  <w:rPr>
                    <w:rFonts w:ascii="Cambria Math" w:hAnsi="Cambria Math" w:cs="Times New Roman"/>
                    <w:szCs w:val="24"/>
                  </w:rPr>
                  <m:t>R</m:t>
                </m:r>
              </m:e>
              <m:sub>
                <m:r>
                  <m:rPr>
                    <m:sty m:val="p"/>
                  </m:rPr>
                  <w:rPr>
                    <w:rFonts w:ascii="Cambria Math" w:hAnsi="Cambria Math" w:cs="Times New Roman"/>
                    <w:szCs w:val="24"/>
                  </w:rPr>
                  <m:t>f</m:t>
                </m:r>
              </m:sub>
            </m:sSub>
            <m:r>
              <m:rPr>
                <m:sty m:val="p"/>
              </m:rPr>
              <w:rPr>
                <w:rFonts w:ascii="Cambria Math" w:hAnsi="Cambria Math" w:cs="Times New Roman"/>
                <w:szCs w:val="24"/>
              </w:rPr>
              <m:t>D</m:t>
            </m:r>
          </m:den>
        </m:f>
      </m:oMath>
      <w:r w:rsidRPr="004C0241">
        <w:rPr>
          <w:rFonts w:cs="Times New Roman"/>
          <w:szCs w:val="24"/>
        </w:rPr>
        <w:t xml:space="preserve">                                                                           </w:t>
      </w:r>
      <w:proofErr w:type="gramStart"/>
      <w:r w:rsidRPr="004C0241">
        <w:rPr>
          <w:rFonts w:cs="Times New Roman"/>
          <w:szCs w:val="24"/>
        </w:rPr>
        <w:t xml:space="preserve">   </w:t>
      </w:r>
      <w:r w:rsidRPr="004C0241">
        <w:rPr>
          <w:rFonts w:cs="Times New Roman"/>
          <w:b/>
          <w:bCs/>
          <w:szCs w:val="24"/>
        </w:rPr>
        <w:t>(</w:t>
      </w:r>
      <w:proofErr w:type="gramEnd"/>
      <w:r w:rsidRPr="004C0241">
        <w:rPr>
          <w:rFonts w:cs="Times New Roman"/>
          <w:b/>
          <w:bCs/>
          <w:szCs w:val="24"/>
        </w:rPr>
        <w:t>7)</w:t>
      </w:r>
    </w:p>
    <w:p w14:paraId="74B5838E" w14:textId="77777777" w:rsidR="0000592E" w:rsidRPr="004C0241" w:rsidRDefault="0000592E" w:rsidP="0000592E">
      <w:pPr>
        <w:spacing w:line="360" w:lineRule="auto"/>
        <w:jc w:val="center"/>
        <w:rPr>
          <w:rFonts w:cs="Times New Roman"/>
          <w:szCs w:val="24"/>
        </w:rPr>
      </w:pPr>
      <w:r w:rsidRPr="004C0241">
        <w:rPr>
          <w:rFonts w:cs="Times New Roman"/>
          <w:szCs w:val="24"/>
        </w:rPr>
        <w:t xml:space="preserve">HI = </w:t>
      </w:r>
      <m:oMath>
        <m:nary>
          <m:naryPr>
            <m:chr m:val="∑"/>
            <m:limLoc m:val="undOvr"/>
            <m:subHide m:val="1"/>
            <m:supHide m:val="1"/>
            <m:ctrlPr>
              <w:rPr>
                <w:rFonts w:ascii="Cambria Math" w:hAnsi="Cambria Math" w:cs="Times New Roman"/>
                <w:szCs w:val="24"/>
              </w:rPr>
            </m:ctrlPr>
          </m:naryPr>
          <m:sub/>
          <m:sup/>
          <m:e>
            <m:r>
              <m:rPr>
                <m:sty m:val="p"/>
              </m:rPr>
              <w:rPr>
                <w:rFonts w:ascii="Cambria Math" w:hAnsi="Cambria Math" w:cs="Times New Roman"/>
                <w:szCs w:val="24"/>
              </w:rPr>
              <m:t>H</m:t>
            </m:r>
            <m:sSub>
              <m:sSubPr>
                <m:ctrlPr>
                  <w:rPr>
                    <w:rFonts w:ascii="Cambria Math" w:hAnsi="Cambria Math" w:cs="Times New Roman"/>
                    <w:szCs w:val="24"/>
                  </w:rPr>
                </m:ctrlPr>
              </m:sSubPr>
              <m:e>
                <m:r>
                  <m:rPr>
                    <m:sty m:val="p"/>
                  </m:rPr>
                  <w:rPr>
                    <w:rFonts w:ascii="Cambria Math" w:hAnsi="Cambria Math" w:cs="Times New Roman"/>
                    <w:szCs w:val="24"/>
                  </w:rPr>
                  <m:t>Q</m:t>
                </m:r>
              </m:e>
              <m:sub>
                <m:r>
                  <m:rPr>
                    <m:sty m:val="p"/>
                  </m:rPr>
                  <w:rPr>
                    <w:rFonts w:ascii="Cambria Math" w:hAnsi="Cambria Math" w:cs="Times New Roman"/>
                    <w:szCs w:val="24"/>
                  </w:rPr>
                  <m:t>i</m:t>
                </m:r>
              </m:sub>
            </m:sSub>
          </m:e>
        </m:nary>
      </m:oMath>
      <w:r w:rsidRPr="004C0241">
        <w:rPr>
          <w:rFonts w:cs="Times New Roman"/>
          <w:szCs w:val="24"/>
        </w:rPr>
        <w:t xml:space="preserve"> </w:t>
      </w:r>
      <w:r w:rsidRPr="004C0241">
        <w:rPr>
          <w:rFonts w:cs="Times New Roman"/>
          <w:sz w:val="28"/>
          <w:szCs w:val="28"/>
          <w:vertAlign w:val="subscript"/>
        </w:rPr>
        <w:t>(ingestion/inhalation/</w:t>
      </w:r>
      <w:proofErr w:type="gramStart"/>
      <w:r w:rsidRPr="004C0241">
        <w:rPr>
          <w:rFonts w:cs="Times New Roman"/>
          <w:sz w:val="28"/>
          <w:szCs w:val="28"/>
          <w:vertAlign w:val="subscript"/>
        </w:rPr>
        <w:t xml:space="preserve">dermal)   </w:t>
      </w:r>
      <w:proofErr w:type="gramEnd"/>
      <w:r w:rsidRPr="004C0241">
        <w:rPr>
          <w:rFonts w:cs="Times New Roman"/>
          <w:sz w:val="28"/>
          <w:szCs w:val="28"/>
          <w:vertAlign w:val="subscript"/>
        </w:rPr>
        <w:t xml:space="preserve">                </w:t>
      </w:r>
      <w:r w:rsidRPr="004C0241">
        <w:rPr>
          <w:rFonts w:cs="Times New Roman"/>
          <w:szCs w:val="24"/>
        </w:rPr>
        <w:tab/>
      </w:r>
      <w:r w:rsidRPr="004C0241">
        <w:rPr>
          <w:rFonts w:cs="Times New Roman"/>
          <w:szCs w:val="24"/>
        </w:rPr>
        <w:tab/>
        <w:t xml:space="preserve">       </w:t>
      </w:r>
      <w:proofErr w:type="gramStart"/>
      <w:r w:rsidRPr="004C0241">
        <w:rPr>
          <w:rFonts w:cs="Times New Roman"/>
          <w:szCs w:val="24"/>
        </w:rPr>
        <w:t xml:space="preserve">   </w:t>
      </w:r>
      <w:r w:rsidRPr="004C0241">
        <w:rPr>
          <w:rFonts w:cs="Times New Roman"/>
          <w:b/>
          <w:bCs/>
          <w:szCs w:val="24"/>
        </w:rPr>
        <w:t>(</w:t>
      </w:r>
      <w:proofErr w:type="gramEnd"/>
      <w:r w:rsidRPr="004C0241">
        <w:rPr>
          <w:rFonts w:cs="Times New Roman"/>
          <w:b/>
          <w:bCs/>
          <w:szCs w:val="24"/>
        </w:rPr>
        <w:t>8)</w:t>
      </w:r>
    </w:p>
    <w:p w14:paraId="7284E1DC" w14:textId="77777777" w:rsidR="0000592E" w:rsidRPr="004C0241" w:rsidRDefault="0000592E" w:rsidP="0000592E">
      <w:pPr>
        <w:spacing w:line="360" w:lineRule="auto"/>
        <w:ind w:firstLine="720"/>
        <w:jc w:val="both"/>
        <w:rPr>
          <w:rFonts w:cs="Times New Roman"/>
          <w:szCs w:val="24"/>
        </w:rPr>
      </w:pPr>
      <w:r w:rsidRPr="004C0241">
        <w:rPr>
          <w:rFonts w:cs="Times New Roman"/>
          <w:szCs w:val="24"/>
        </w:rPr>
        <w:t xml:space="preserve">where </w:t>
      </w:r>
      <w:proofErr w:type="spellStart"/>
      <w:r w:rsidRPr="004C0241">
        <w:rPr>
          <w:rFonts w:cs="Times New Roman"/>
          <w:szCs w:val="24"/>
        </w:rPr>
        <w:t>R</w:t>
      </w:r>
      <w:r w:rsidRPr="004C0241">
        <w:rPr>
          <w:rFonts w:cs="Times New Roman"/>
          <w:szCs w:val="24"/>
          <w:vertAlign w:val="subscript"/>
        </w:rPr>
        <w:t>f</w:t>
      </w:r>
      <w:r w:rsidRPr="004C0241">
        <w:rPr>
          <w:rFonts w:cs="Times New Roman"/>
          <w:szCs w:val="24"/>
        </w:rPr>
        <w:t>D</w:t>
      </w:r>
      <w:proofErr w:type="spellEnd"/>
      <w:r w:rsidRPr="004C0241">
        <w:rPr>
          <w:rFonts w:cs="Times New Roman"/>
          <w:szCs w:val="24"/>
        </w:rPr>
        <w:t xml:space="preserve"> denotes Reference Dose, and </w:t>
      </w:r>
      <w:proofErr w:type="spellStart"/>
      <w:r w:rsidRPr="004C0241">
        <w:rPr>
          <w:rFonts w:cs="Times New Roman"/>
          <w:szCs w:val="24"/>
        </w:rPr>
        <w:t>CDI</w:t>
      </w:r>
      <w:r w:rsidRPr="004C0241">
        <w:rPr>
          <w:rFonts w:cs="Times New Roman"/>
          <w:szCs w:val="24"/>
          <w:vertAlign w:val="subscript"/>
        </w:rPr>
        <w:t>i</w:t>
      </w:r>
      <w:proofErr w:type="spellEnd"/>
      <w:r w:rsidRPr="004C0241">
        <w:rPr>
          <w:rFonts w:cs="Times New Roman"/>
          <w:szCs w:val="24"/>
        </w:rPr>
        <w:t xml:space="preserve"> signifies chronic daily intake via ingestion, inhalation, and dermal pathways (</w:t>
      </w:r>
      <w:proofErr w:type="spellStart"/>
      <w:r w:rsidRPr="004C0241">
        <w:rPr>
          <w:rFonts w:cs="Times New Roman"/>
          <w:szCs w:val="24"/>
        </w:rPr>
        <w:t>i</w:t>
      </w:r>
      <w:proofErr w:type="spellEnd"/>
      <w:r w:rsidRPr="004C0241">
        <w:rPr>
          <w:rFonts w:cs="Times New Roman"/>
          <w:szCs w:val="24"/>
        </w:rPr>
        <w:t xml:space="preserve"> stands for different pathways). HI&lt;1 suggests no significant risk, while HI&gt;1 indicates non-carcinogenic effects </w:t>
      </w:r>
      <w:r w:rsidRPr="004C0241">
        <w:rPr>
          <w:rFonts w:cs="Times New Roman"/>
          <w:szCs w:val="24"/>
        </w:rPr>
        <w:fldChar w:fldCharType="begin" w:fldLock="1"/>
      </w:r>
      <w:r w:rsidRPr="004C0241">
        <w:rPr>
          <w:rFonts w:cs="Times New Roman"/>
          <w:szCs w:val="24"/>
        </w:rPr>
        <w:instrText>ADDIN CSL_CITATION {"citationItems":[{"id":"ITEM-1","itemData":{"ISBN":"9781578085712","author":[{"dropping-particle":"","family":"USEPA","given":"","non-dropping-particle":"","parse-names":false,"suffix":""}],"id":"ITEM-1","issued":{"date-parts":[["1984"]]},"title":"Manual of Methods for Virology","type":"article"},"uris":["http://www.mendeley.com/documents/?uuid=c0ddf481-3f7b-4adb-90a1-d7ec406b941a","http://www.mendeley.com/documents/?uuid=e0611144-16cb-461a-83bb-2fd30505dcb1"]}],"mendeley":{"formattedCitation":"(USEPA, 1984)","plainTextFormattedCitation":"(USEPA, 1984)","previouslyFormattedCitation":"(USEPA, 1984)"},"properties":{"noteIndex":0},"schema":"https://github.com/citation-style-language/schema/raw/master/csl-citation.json"}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(USEPA, 1984)</w:t>
      </w:r>
      <w:r w:rsidRPr="004C0241">
        <w:rPr>
          <w:rFonts w:cs="Times New Roman"/>
          <w:szCs w:val="24"/>
        </w:rPr>
        <w:fldChar w:fldCharType="end"/>
      </w:r>
      <w:r w:rsidRPr="004C0241">
        <w:rPr>
          <w:rFonts w:cs="Times New Roman"/>
          <w:szCs w:val="24"/>
        </w:rPr>
        <w:t xml:space="preserve">. </w:t>
      </w:r>
    </w:p>
    <w:p w14:paraId="6ED997C0" w14:textId="77777777" w:rsidR="0000592E" w:rsidRPr="004C0241" w:rsidRDefault="0000592E" w:rsidP="0000592E">
      <w:pPr>
        <w:spacing w:line="360" w:lineRule="auto"/>
        <w:jc w:val="both"/>
        <w:rPr>
          <w:rFonts w:cs="Times New Roman"/>
          <w:szCs w:val="24"/>
        </w:rPr>
      </w:pPr>
      <w:r w:rsidRPr="004C0241">
        <w:rPr>
          <w:rFonts w:cs="Times New Roman"/>
          <w:szCs w:val="24"/>
        </w:rPr>
        <w:t>Carcinogenic risk (CR) was calculated using the equations:</w:t>
      </w:r>
    </w:p>
    <w:p w14:paraId="2C9F9112" w14:textId="77777777" w:rsidR="0000592E" w:rsidRPr="004C0241" w:rsidRDefault="00000000" w:rsidP="0000592E">
      <w:pPr>
        <w:spacing w:line="360" w:lineRule="auto"/>
        <w:jc w:val="center"/>
        <w:rPr>
          <w:rFonts w:cs="Times New Roman"/>
          <w:bCs/>
          <w:szCs w:val="24"/>
          <w:lang w:val="it-IT"/>
        </w:rPr>
      </w:pPr>
      <m:oMath>
        <m:sSub>
          <m:sSubPr>
            <m:ctrlPr>
              <w:rPr>
                <w:rFonts w:ascii="Cambria Math" w:hAnsi="Cambria Math" w:cs="Times New Roman"/>
                <w:bCs/>
                <w:iCs/>
                <w:szCs w:val="24"/>
              </w:rPr>
            </m:ctrlPr>
          </m:sSubPr>
          <m:e>
            <m:r>
              <m:rPr>
                <m:sty m:val="p"/>
              </m:rPr>
              <w:rPr>
                <w:rFonts w:ascii="Cambria Math" w:hAnsi="Cambria Math" w:cs="Times New Roman"/>
                <w:szCs w:val="24"/>
                <w:lang w:val="it-IT"/>
              </w:rPr>
              <m:t>CR</m:t>
            </m:r>
          </m:e>
          <m:sub>
            <m:r>
              <m:rPr>
                <m:sty m:val="p"/>
              </m:rPr>
              <w:rPr>
                <w:rFonts w:ascii="Cambria Math" w:hAnsi="Cambria Math" w:cs="Times New Roman"/>
                <w:szCs w:val="24"/>
                <w:lang w:val="it-IT"/>
              </w:rPr>
              <m:t>i</m:t>
            </m:r>
          </m:sub>
        </m:sSub>
        <m:r>
          <m:rPr>
            <m:sty m:val="p"/>
          </m:rPr>
          <w:rPr>
            <w:rFonts w:ascii="Cambria Math" w:hAnsi="Cambria Math" w:cs="Times New Roman"/>
            <w:szCs w:val="24"/>
            <w:lang w:val="it-IT"/>
          </w:rPr>
          <m:t xml:space="preserve">= </m:t>
        </m:r>
        <m:sSub>
          <m:sSubPr>
            <m:ctrlPr>
              <w:rPr>
                <w:rFonts w:ascii="Cambria Math" w:hAnsi="Cambria Math" w:cs="Times New Roman"/>
                <w:bCs/>
                <w:iCs/>
                <w:szCs w:val="24"/>
              </w:rPr>
            </m:ctrlPr>
          </m:sSubPr>
          <m:e>
            <m:r>
              <m:rPr>
                <m:nor/>
              </m:rPr>
              <w:rPr>
                <w:rFonts w:cs="Times New Roman"/>
                <w:szCs w:val="24"/>
                <w:lang w:val="it-IT"/>
              </w:rPr>
              <m:t>CDI</m:t>
            </m:r>
          </m:e>
          <m:sub>
            <m:r>
              <m:rPr>
                <m:nor/>
              </m:rPr>
              <w:rPr>
                <w:rFonts w:cs="Times New Roman"/>
                <w:szCs w:val="24"/>
                <w:lang w:val="it-IT"/>
              </w:rPr>
              <m:t>i</m:t>
            </m:r>
          </m:sub>
        </m:sSub>
        <m:r>
          <m:rPr>
            <m:nor/>
          </m:rPr>
          <w:rPr>
            <w:rFonts w:cs="Times New Roman"/>
            <w:szCs w:val="24"/>
            <w:lang w:val="it-IT"/>
          </w:rPr>
          <m:t>*</m:t>
        </m:r>
        <m:sSub>
          <m:sSubPr>
            <m:ctrlPr>
              <w:rPr>
                <w:rFonts w:ascii="Cambria Math" w:hAnsi="Cambria Math" w:cs="Times New Roman"/>
                <w:bCs/>
                <w:iCs/>
                <w:szCs w:val="24"/>
              </w:rPr>
            </m:ctrlPr>
          </m:sSubPr>
          <m:e>
            <m:r>
              <m:rPr>
                <m:nor/>
              </m:rPr>
              <w:rPr>
                <w:rFonts w:cs="Times New Roman"/>
                <w:szCs w:val="24"/>
                <w:lang w:val="it-IT"/>
              </w:rPr>
              <m:t>SF</m:t>
            </m:r>
          </m:e>
          <m:sub>
            <m:r>
              <m:rPr>
                <m:nor/>
              </m:rPr>
              <w:rPr>
                <w:rFonts w:cs="Times New Roman"/>
                <w:szCs w:val="24"/>
                <w:lang w:val="it-IT"/>
              </w:rPr>
              <m:t>0</m:t>
            </m:r>
          </m:sub>
        </m:sSub>
      </m:oMath>
      <w:r w:rsidR="0000592E" w:rsidRPr="004C0241">
        <w:rPr>
          <w:rFonts w:cs="Times New Roman"/>
          <w:bCs/>
          <w:szCs w:val="24"/>
          <w:vertAlign w:val="subscript"/>
          <w:lang w:val="it-IT"/>
        </w:rPr>
        <w:t xml:space="preserve">                                                           </w:t>
      </w:r>
      <w:r w:rsidR="0000592E" w:rsidRPr="004C0241">
        <w:rPr>
          <w:rFonts w:cs="Times New Roman"/>
          <w:bCs/>
          <w:szCs w:val="24"/>
          <w:vertAlign w:val="subscript"/>
          <w:lang w:val="it-IT"/>
        </w:rPr>
        <w:tab/>
      </w:r>
      <w:r w:rsidR="0000592E" w:rsidRPr="004C0241">
        <w:rPr>
          <w:rFonts w:cs="Times New Roman"/>
          <w:bCs/>
          <w:szCs w:val="24"/>
          <w:vertAlign w:val="subscript"/>
          <w:lang w:val="it-IT"/>
        </w:rPr>
        <w:tab/>
        <w:t xml:space="preserve">             </w:t>
      </w:r>
      <w:r w:rsidR="0000592E" w:rsidRPr="004C0241">
        <w:rPr>
          <w:rFonts w:cs="Times New Roman"/>
          <w:b/>
          <w:szCs w:val="24"/>
          <w:lang w:val="it-IT"/>
        </w:rPr>
        <w:t>(9)</w:t>
      </w:r>
    </w:p>
    <w:p w14:paraId="008D1DCF" w14:textId="77777777" w:rsidR="0000592E" w:rsidRPr="004C0241" w:rsidRDefault="0000592E" w:rsidP="0000592E">
      <w:pPr>
        <w:spacing w:line="360" w:lineRule="auto"/>
        <w:jc w:val="center"/>
        <w:rPr>
          <w:rFonts w:cs="Times New Roman"/>
          <w:bCs/>
          <w:szCs w:val="24"/>
          <w:lang w:val="it-IT"/>
        </w:rPr>
      </w:pPr>
      <m:oMath>
        <m:r>
          <m:rPr>
            <m:sty m:val="p"/>
          </m:rPr>
          <w:rPr>
            <w:rFonts w:ascii="Cambria Math" w:hAnsi="Cambria Math" w:cs="Times New Roman"/>
            <w:szCs w:val="24"/>
            <w:lang w:val="it-IT"/>
          </w:rPr>
          <m:t xml:space="preserve">CR= </m:t>
        </m:r>
        <m:r>
          <m:rPr>
            <m:nor/>
          </m:rPr>
          <w:rPr>
            <w:rFonts w:cs="Times New Roman"/>
            <w:szCs w:val="24"/>
            <w:lang w:val="it-IT"/>
          </w:rPr>
          <m:t>∑</m:t>
        </m:r>
        <m:sSub>
          <m:sSubPr>
            <m:ctrlPr>
              <w:rPr>
                <w:rFonts w:ascii="Cambria Math" w:hAnsi="Cambria Math" w:cs="Times New Roman"/>
                <w:bCs/>
                <w:iCs/>
                <w:szCs w:val="24"/>
                <w:lang w:val="it-IT"/>
              </w:rPr>
            </m:ctrlPr>
          </m:sSubPr>
          <m:e>
            <m:r>
              <m:rPr>
                <m:nor/>
              </m:rPr>
              <w:rPr>
                <w:rFonts w:cs="Times New Roman"/>
                <w:szCs w:val="24"/>
                <w:lang w:val="it-IT"/>
              </w:rPr>
              <m:t>CR</m:t>
            </m:r>
          </m:e>
          <m:sub>
            <m:r>
              <m:rPr>
                <m:nor/>
              </m:rPr>
              <w:rPr>
                <w:rFonts w:cs="Times New Roman"/>
                <w:szCs w:val="24"/>
                <w:lang w:val="it-IT"/>
              </w:rPr>
              <m:t>i</m:t>
            </m:r>
          </m:sub>
        </m:sSub>
      </m:oMath>
      <w:r w:rsidRPr="004C0241">
        <w:rPr>
          <w:rFonts w:cs="Times New Roman"/>
          <w:bCs/>
          <w:szCs w:val="24"/>
          <w:lang w:val="it-IT"/>
        </w:rPr>
        <w:t xml:space="preserve">                                                                </w:t>
      </w:r>
      <w:r w:rsidRPr="004C0241">
        <w:rPr>
          <w:rFonts w:cs="Times New Roman"/>
          <w:bCs/>
          <w:szCs w:val="24"/>
          <w:lang w:val="it-IT"/>
        </w:rPr>
        <w:tab/>
      </w:r>
      <w:r w:rsidRPr="004C0241">
        <w:rPr>
          <w:rFonts w:cs="Times New Roman"/>
          <w:b/>
          <w:szCs w:val="24"/>
          <w:lang w:val="it-IT"/>
        </w:rPr>
        <w:t xml:space="preserve">        (10)</w:t>
      </w:r>
    </w:p>
    <w:p w14:paraId="40BD3F81" w14:textId="77777777" w:rsidR="0000592E" w:rsidRPr="004C0241" w:rsidRDefault="0000592E" w:rsidP="0000592E">
      <w:pPr>
        <w:spacing w:line="360" w:lineRule="auto"/>
        <w:ind w:firstLine="720"/>
        <w:jc w:val="both"/>
        <w:rPr>
          <w:rFonts w:cs="Times New Roman"/>
          <w:szCs w:val="24"/>
        </w:rPr>
      </w:pPr>
      <w:r w:rsidRPr="004C0241">
        <w:rPr>
          <w:rFonts w:cs="Times New Roman"/>
          <w:szCs w:val="24"/>
        </w:rPr>
        <w:t>where SF</w:t>
      </w:r>
      <w:r w:rsidRPr="004C0241">
        <w:rPr>
          <w:rFonts w:cs="Times New Roman"/>
          <w:szCs w:val="24"/>
          <w:vertAlign w:val="subscript"/>
        </w:rPr>
        <w:t>0</w:t>
      </w:r>
      <w:r w:rsidRPr="004C0241">
        <w:rPr>
          <w:rFonts w:cs="Times New Roman"/>
          <w:szCs w:val="24"/>
        </w:rPr>
        <w:t xml:space="preserve"> is the slope factor (dimensionless). The SF values for carcinogenic trace elements As, Cd, Cr, Ni, and Pb are 1.5, 0.84, 6.3, 0.41, and 0.042, respectively </w:t>
      </w:r>
      <w:r w:rsidRPr="004C0241">
        <w:rPr>
          <w:rFonts w:cs="Times New Roman"/>
          <w:szCs w:val="24"/>
        </w:rPr>
        <w:fldChar w:fldCharType="begin" w:fldLock="1"/>
      </w:r>
      <w:r w:rsidRPr="004C0241">
        <w:rPr>
          <w:rFonts w:cs="Times New Roman"/>
          <w:szCs w:val="24"/>
        </w:rPr>
        <w:instrText>ADDIN CSL_CITATION {"citationItems":[{"id":"ITEM-1","itemData":{"DOI":"10.1016/j.scitotenv.2019.135535","ISSN":"18791026","PMID":"31767333","abstract":"This study aimed to assess the concentrations and health effect of trace metals [cadmium (Cd), chromium (Cr), copper (Cu), lead (Pb), nickel (Ni), and zinc (Zn)] on the road dust of selected locations in the city of Kuala Lumpur. Sampling was conducted thrice at four locations, namely, Tun Razak Road, Raja Abdullah Road, Tunku Abdul Rahman (TAR) Road, and Ayer Molek Road. The concentrations of trace metals in road dust were analyzed by inductively coupled plasma mass spectrometry. TAR Road presented the highest Cd, Cu, Ni, and Pb contents compared with the other roads. The pollution level of trace metals in road dust was assessed by pollution index and pollution load index (PLI), showing that all studied locations were highly contaminated except Ayer Molek Road. Based on the PLI value, the sequence of pollution in descending order is as follows: TAR Road &gt; Raja Abdullah Road &gt; Tun Razak Road &gt; Ayer Molek Road. Health risk assessment was performed to assess the health effects of carcinogenic and noncarcinogenic pollutants caused by the exposure to trace metals in road dust on adults and children. Based on the integrated hazard index values for children at all locations, &gt;1 indicates a possible noncarcinogenic effect. All incremental lifetime cancer risk values for adult and children at all locations are within acceptable limits and are considered safe.","author":[{"dropping-particle":"","family":"Wahab","given":"Muhammad Ikram A.","non-dropping-particle":"","parse-names":false,"suffix":""},{"dropping-particle":"","family":"Razak","given":"Wan Mohd Amirfaqry Abd","non-dropping-particle":"","parse-names":false,"suffix":""},{"dropping-particle":"","family":"Sahani","given":"Mazrura","non-dropping-particle":"","parse-names":false,"suffix":""},{"dropping-particle":"","family":"Khan","given":"Md Firoz","non-dropping-particle":"","parse-names":false,"suffix":""}],"container-title":"Science of the Total Environment","id":"ITEM-1","issued":{"date-parts":[["2020"]]},"page":"135535","publisher":"Elsevier B.V","title":"Characteristics and health effect of heavy metals on non-exhaust road dusts in Kuala Lumpur","type":"article-journal","volume":"703"},"uris":["http://www.mendeley.com/documents/?uuid=00a6f573-19a9-4c1d-ac9c-de886c0a91ce"]},{"id":"ITEM-2","itemData":{"DOI":"10.1016/j.ecoenv.2019.110157","ISSN":"10902414","PMID":"31954218","abstract":"Urban parks and schools sever as the mainly activity areas for children, but risk assessment posed by heavy metals (HMs) from soil and dust in these area has rarely been investigated. In this study, six urban parks and seven schools in Jiaozuo, China, were taken as research objects to understand the contamination level and bioaccessibility of HMs from soil and dust in urban parks and schools. The results indicated that Zn, Cu, Pb, Cd, As, Ni and Co from soil and dust were above the background values, especially Zn and Cd in dust, and As and Cd in soil. Serious Cd pollution was discovered, and respective Cd concentrations in soil and dust were 17.83 and 7.52 times the background value. Additionally, the average concentration and bioaccessibility of Zn, Mn, Pb, Cd, Cr, Ni and Co in dust were both higher than in soil. High concentration and high bioaccessibility of HMs in dust suggested that HMs contamination were serious and universal in Jiaozuo. The concentrations of most HMs were higher in the gastric phase, except for Cu and Cd which remained higher in the intestinal phase. Both in the gastric phase and intestinal phase, Mn, As and Cd in soil and dust both have high bioaccessibility which all exceed 10%. The carcinogenic and non-carcinogenic risks base on the total HMs for children (soil: 7.93, 1.96E-05; dust: 6.44, 3.58E-05) were greater than those for adults (soil: 6.35E-01, 1.32E-05; dust: 5.06E-01, 2.42E-05), and urban parks and schools posed high potential risk for children. Therefore, assessment the risk posed by HMs contamination of soil and dust in urban parks and schools is vital and urgent for children.","author":[{"dropping-particle":"","family":"Han","given":"Qiao","non-dropping-particle":"","parse-names":false,"suffix":""},{"dropping-particle":"","family":"Wang","given":"Mingshi","non-dropping-particle":"","parse-names":false,"suffix":""},{"dropping-particle":"","family":"Cao","given":"Jingli","non-dropping-particle":"","parse-names":false,"suffix":""},{"dropping-particle":"","family":"Gui","given":"Chenlu","non-dropping-particle":"","parse-names":false,"suffix":""},{"dropping-particle":"","family":"Liu","given":"Yang Yanping","non-dropping-particle":"","parse-names":false,"suffix":""},{"dropping-particle":"","family":"He","given":"Xiangdong","non-dropping-particle":"","parse-names":false,"suffix":""},{"dropping-particle":"","family":"He","given":"Yuchuan","non-dropping-particle":"","parse-names":false,"suffix":""},{"dropping-particle":"","family":"Liu","given":"Yang Yanping","non-dropping-particle":"","parse-names":false,"suffix":""}],"container-title":"Ecotoxicology and Environmental Safety","id":"ITEM-2","issue":"December 2019","issued":{"date-parts":[["2020"]]},"page":"110157","publisher":"Elsevier Inc.","title":"Health risk assessment and bioaccessibilities of heavy metals for children in soil and dust from urban parks and schools of Jiaozuo, China","type":"article-journal","volume":"191"},"uris":["http://www.mendeley.com/documents/?uuid=3abd94ff-5ce2-4042-8f76-fe2a4774ecf8"]}],"mendeley":{"formattedCitation":"(Han et al., 2020; Wahab et al., 2020)","manualFormatting":"(Han et al., 2020; Wahab et al., 2020)","plainTextFormattedCitation":"(Han et al., 2020; Wahab et al., 2020)","previouslyFormattedCitation":"(Han et al., 2020; Wahab et al., 2020)"},"properties":{"noteIndex":0},"schema":"https://github.com/citation-style-language/schema/raw/master/csl-citation.json"}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(Han et al., 2020; Wahab et al., 2020)</w:t>
      </w:r>
      <w:r w:rsidRPr="004C0241">
        <w:rPr>
          <w:rFonts w:cs="Times New Roman"/>
          <w:szCs w:val="24"/>
        </w:rPr>
        <w:fldChar w:fldCharType="end"/>
      </w:r>
      <w:r w:rsidRPr="004C0241">
        <w:rPr>
          <w:rFonts w:cs="Times New Roman"/>
          <w:szCs w:val="24"/>
        </w:rPr>
        <w:t>. Carcinogenic risks exceeding 10</w:t>
      </w:r>
      <w:r w:rsidRPr="004C0241">
        <w:rPr>
          <w:rFonts w:cs="Times New Roman"/>
          <w:szCs w:val="24"/>
          <w:vertAlign w:val="superscript"/>
        </w:rPr>
        <w:t>-4</w:t>
      </w:r>
      <w:r w:rsidRPr="004C0241">
        <w:rPr>
          <w:rFonts w:cs="Times New Roman"/>
          <w:szCs w:val="24"/>
        </w:rPr>
        <w:t xml:space="preserve"> are considered undesirable, while risks </w:t>
      </w:r>
      <w:r w:rsidRPr="004C0241">
        <w:rPr>
          <w:rFonts w:cs="Times New Roman"/>
          <w:szCs w:val="24"/>
        </w:rPr>
        <w:lastRenderedPageBreak/>
        <w:t>below 10</w:t>
      </w:r>
      <w:r w:rsidRPr="004C0241">
        <w:rPr>
          <w:rFonts w:cs="Times New Roman"/>
          <w:szCs w:val="24"/>
          <w:vertAlign w:val="superscript"/>
        </w:rPr>
        <w:t>-6</w:t>
      </w:r>
      <w:r w:rsidRPr="004C0241">
        <w:rPr>
          <w:rFonts w:cs="Times New Roman"/>
          <w:szCs w:val="24"/>
        </w:rPr>
        <w:t xml:space="preserve"> are generally assumed to pose no health impact. Values between 10</w:t>
      </w:r>
      <w:r w:rsidRPr="004C0241">
        <w:rPr>
          <w:rFonts w:cs="Times New Roman"/>
          <w:szCs w:val="24"/>
          <w:vertAlign w:val="superscript"/>
        </w:rPr>
        <w:t>-6</w:t>
      </w:r>
      <w:r w:rsidRPr="004C0241">
        <w:rPr>
          <w:rFonts w:cs="Times New Roman"/>
          <w:szCs w:val="24"/>
        </w:rPr>
        <w:t>-10</w:t>
      </w:r>
      <w:r w:rsidRPr="004C0241">
        <w:rPr>
          <w:rFonts w:cs="Times New Roman"/>
          <w:szCs w:val="24"/>
          <w:vertAlign w:val="superscript"/>
        </w:rPr>
        <w:t>-4</w:t>
      </w:r>
      <w:r w:rsidRPr="004C0241">
        <w:rPr>
          <w:rFonts w:cs="Times New Roman"/>
          <w:szCs w:val="24"/>
        </w:rPr>
        <w:t xml:space="preserve"> denote potential carcinogenic health effects </w:t>
      </w:r>
      <w:r w:rsidRPr="004C0241">
        <w:rPr>
          <w:rFonts w:cs="Times New Roman"/>
          <w:szCs w:val="24"/>
        </w:rPr>
        <w:fldChar w:fldCharType="begin" w:fldLock="1"/>
      </w:r>
      <w:r w:rsidRPr="004C0241">
        <w:rPr>
          <w:rFonts w:cs="Times New Roman"/>
          <w:szCs w:val="24"/>
        </w:rPr>
        <w:instrText>ADDIN CSL_CITATION {"citationItems":[{"id":"ITEM-1","itemData":{"DOI":"10.1016/j.ecoenv.2017.01.008","ISSN":"10902414","PMID":"28068580","abstract":"Street dust samples were collected from five different types of land use patterns (busy traffic zone, urban residential area, national highways, industrial area and sensitive area) in a medium sized industrial city Asansol, India. The samples were fractionated into ≤53 µm and analyzed for potential toxic elements (PTEs) viz. Zn, Cd, Pb and Cu. The mean total concentration of Zn, Cd, Pb and Cu in the urban street dust samples were 192, 0.75, 110 and 132 mg kg−1 respectively. Chemical speciation was performed for PTEs to evaluate the bio-available fractions. Cu was mostly associated with organic matter phase while Zn, Pb and Cd with residual phase. Mean mobility factor (MF) for heavy metals in Asansol was Zn (54.6%)&gt;Pb (49.1%)&gt;Cu (25.3%)&gt;Cd (22.7%). Geo-chemical indices such as Enrichment Factor (EF), geo-accumulation index (Igeo) and contamination Factor (CF) were in the order of Pb&gt;Cd&gt;Zn&gt;Cu. Cluster analysis was done to understand the similarities among the sites. The risks of all metals was calculated with mobile fraction, which indicated actual risk due to PTEs was less (HI&lt;1).","author":[{"dropping-particle":"","family":"Gope","given":"Manash","non-dropping-particle":"","parse-names":false,"suffix":""},{"dropping-particle":"","family":"Masto","given":"Reginald Ebhin","non-dropping-particle":"","parse-names":false,"suffix":""},{"dropping-particle":"","family":"George","given":"Joshy","non-dropping-particle":"","parse-names":false,"suffix":""},{"dropping-particle":"","family":"Hoque","given":"Raza Rafiqul","non-dropping-particle":"","parse-names":false,"suffix":""},{"dropping-particle":"","family":"Balachandran","given":"Srinivasan","non-dropping-particle":"","parse-names":false,"suffix":""}],"container-title":"Ecotoxicology and Environmental Safety","id":"ITEM-1","issue":"December 2016","issued":{"date-parts":[["2017"]]},"page":"231-241","title":"Bioavailability and health risk of some potentially toxic elements (Cd, Cu, Pb and Zn) in street dust of Asansol, India","type":"article-journal","volume":"138"},"uris":["http://www.mendeley.com/documents/?uuid=4dda5341-69e3-4a61-b15a-a2acd899a145"]},{"id":"ITEM-2","itemData":{"DOI":"10.1007/s10653-020-00785-y","ISBN":"0123456789","ISSN":"15732983","PMID":"33389370","abstract":"Dust samples were collected from roads of five distinct types of land use zones (National Highway, residential areas, sensitive areas, mining areas, and busy traffic areas) of Dhanbad to determine the pollution characteristics, health risk, and identifying the source of trace elements. The dust samples were segregated into ≤ 60 µm and trace elements like Cd, Cr, Cu, Fe, Mn, Ni, Pb, and Zn were analysed. Concentrations of Cd, Cr, Cu, Fe, and Mn were observed highest in the mining areas, whereas Ni, Pb, and Zn presented higher concentration values at National Highway and busy traffic zones. Cd showed highest geo-accumulation index (Igeo), contamination factor (Cf), and ecological risk (ER) among all the trace elements. The health risk assessment model was performed to assess the health effects of carcinogenic and non-carcinogenic pollutants caused due to multi-elemental exposure on adults and children. The significantly higher HQ (Hazard Quotient) and HI (Hazard Index) values posed by Cr, Fe, and Mn indicated potential non-carcinogenic risks to the people of Dhanbad. Similarly, values of CR (Cancer Risk) for Cd, Cr and Ni were within the range of 10–6–10–4, which indicated to cause carcinogenic risk to the population by the exposure of road dust. Principal Component Analysis (PCA) and Pearson correlation showed that coal mining activities in Jharia coalfield, coal-based industries like coke-oven plants, coal washeries and heavy vehicular load in the roads of Dhanbad were the major causes of emission of these trace elements. Graphic abstract: [Figure not available: see fulltext.]","author":[{"dropping-particle":"","family":"Mondal","given":"Shilpi","non-dropping-particle":"","parse-names":false,"suffix":""},{"dropping-particle":"","family":"Singh","given":"Gurdeep","non-dropping-particle":"","parse-names":false,"suffix":""}],"container-title":"Environmental Geochemistry and Health","id":"ITEM-2","issue":"5","issued":{"date-parts":[["2021"]]},"page":"2081-2103","publisher":"Springer Netherlands","title":"Pollution evaluation, human health effect and tracing source of trace elements on road dust of Dhanbad, a highly polluted industrial coal belt of India","type":"article-journal","volume":"43"},"uris":["http://www.mendeley.com/documents/?uuid=1c314299-3fbd-4c2b-9be3-d0f672d8a110"]}],"mendeley":{"formattedCitation":"(Gope et al., 2017; Mondal and Singh, 2021b)","plainTextFormattedCitation":"(Gope et al., 2017; Mondal and Singh, 2021b)","previouslyFormattedCitation":"(Gope et al., 2017; Mondal and Singh, 2021b)"},"properties":{"noteIndex":0},"schema":"https://github.com/citation-style-language/schema/raw/master/csl-citation.json"}</w:instrText>
      </w:r>
      <w:r w:rsidRPr="004C0241">
        <w:rPr>
          <w:rFonts w:cs="Times New Roman"/>
          <w:szCs w:val="24"/>
        </w:rPr>
        <w:fldChar w:fldCharType="separate"/>
      </w:r>
      <w:r w:rsidRPr="004C0241">
        <w:rPr>
          <w:rFonts w:cs="Times New Roman"/>
          <w:noProof/>
          <w:szCs w:val="24"/>
        </w:rPr>
        <w:t>(Gope et al., 2017; Mondal and Singh, 2021b)</w:t>
      </w:r>
      <w:r w:rsidRPr="004C0241">
        <w:rPr>
          <w:rFonts w:cs="Times New Roman"/>
          <w:szCs w:val="24"/>
        </w:rPr>
        <w:fldChar w:fldCharType="end"/>
      </w:r>
      <w:r w:rsidRPr="004C0241">
        <w:rPr>
          <w:rFonts w:cs="Times New Roman"/>
          <w:szCs w:val="24"/>
        </w:rPr>
        <w:t>.</w:t>
      </w:r>
    </w:p>
    <w:p w14:paraId="3739FF46" w14:textId="77777777" w:rsidR="0000592E" w:rsidRPr="004C0241" w:rsidRDefault="0000592E" w:rsidP="0000592E">
      <w:pPr>
        <w:pStyle w:val="Caption"/>
      </w:pPr>
      <w:bookmarkStart w:id="18" w:name="_Toc200495283"/>
      <w:r w:rsidRPr="004C0241">
        <w:t>Table S1: Variables used in non-carcinogenic and carcinogenic risk</w:t>
      </w:r>
      <w:bookmarkEnd w:id="1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2872"/>
        <w:gridCol w:w="1540"/>
        <w:gridCol w:w="1540"/>
        <w:gridCol w:w="2427"/>
      </w:tblGrid>
      <w:tr w:rsidR="004C0241" w:rsidRPr="004C0241" w14:paraId="60925983" w14:textId="77777777" w:rsidTr="002B0E80">
        <w:trPr>
          <w:trHeight w:val="289"/>
        </w:trPr>
        <w:tc>
          <w:tcPr>
            <w:tcW w:w="0" w:type="auto"/>
            <w:vMerge w:val="restart"/>
            <w:tcBorders>
              <w:top w:val="single" w:sz="4" w:space="0" w:color="auto"/>
              <w:bottom w:val="nil"/>
            </w:tcBorders>
          </w:tcPr>
          <w:p w14:paraId="4702E357" w14:textId="77777777" w:rsidR="0000592E" w:rsidRPr="004C0241" w:rsidRDefault="0000592E" w:rsidP="002B0E80">
            <w:pPr>
              <w:spacing w:line="360" w:lineRule="auto"/>
              <w:jc w:val="center"/>
              <w:rPr>
                <w:rFonts w:cs="Times New Roman"/>
                <w:b/>
                <w:bCs/>
                <w:sz w:val="20"/>
                <w:szCs w:val="20"/>
              </w:rPr>
            </w:pPr>
            <w:r w:rsidRPr="004C0241">
              <w:rPr>
                <w:rFonts w:cs="Times New Roman"/>
                <w:sz w:val="20"/>
                <w:szCs w:val="20"/>
              </w:rPr>
              <w:t>Factors</w:t>
            </w:r>
          </w:p>
          <w:p w14:paraId="54D86250" w14:textId="77777777" w:rsidR="0000592E" w:rsidRPr="004C0241" w:rsidRDefault="0000592E" w:rsidP="002B0E80">
            <w:pPr>
              <w:spacing w:line="360" w:lineRule="auto"/>
              <w:jc w:val="center"/>
              <w:rPr>
                <w:rFonts w:cs="Times New Roman"/>
                <w:b/>
                <w:bCs/>
                <w:sz w:val="20"/>
                <w:szCs w:val="20"/>
              </w:rPr>
            </w:pPr>
            <w:r w:rsidRPr="004C0241">
              <w:rPr>
                <w:rFonts w:cs="Times New Roman"/>
                <w:sz w:val="20"/>
                <w:szCs w:val="20"/>
              </w:rPr>
              <w:t>Responsible</w:t>
            </w:r>
          </w:p>
        </w:tc>
        <w:tc>
          <w:tcPr>
            <w:tcW w:w="2872" w:type="dxa"/>
            <w:vMerge w:val="restart"/>
            <w:tcBorders>
              <w:top w:val="single" w:sz="4" w:space="0" w:color="auto"/>
              <w:bottom w:val="nil"/>
            </w:tcBorders>
          </w:tcPr>
          <w:p w14:paraId="0C406B83" w14:textId="77777777" w:rsidR="0000592E" w:rsidRPr="004C0241" w:rsidRDefault="0000592E" w:rsidP="002B0E80">
            <w:pPr>
              <w:spacing w:line="360" w:lineRule="auto"/>
              <w:jc w:val="center"/>
              <w:rPr>
                <w:rFonts w:cs="Times New Roman"/>
                <w:b/>
                <w:bCs/>
                <w:sz w:val="20"/>
                <w:szCs w:val="20"/>
              </w:rPr>
            </w:pPr>
            <w:r w:rsidRPr="004C0241">
              <w:rPr>
                <w:rFonts w:cs="Times New Roman"/>
                <w:sz w:val="20"/>
                <w:szCs w:val="20"/>
              </w:rPr>
              <w:t>Details</w:t>
            </w:r>
          </w:p>
        </w:tc>
        <w:tc>
          <w:tcPr>
            <w:tcW w:w="2966" w:type="dxa"/>
            <w:gridSpan w:val="2"/>
            <w:tcBorders>
              <w:top w:val="single" w:sz="4" w:space="0" w:color="auto"/>
              <w:bottom w:val="nil"/>
            </w:tcBorders>
          </w:tcPr>
          <w:p w14:paraId="1E6928E7" w14:textId="77777777" w:rsidR="0000592E" w:rsidRPr="004C0241" w:rsidRDefault="0000592E" w:rsidP="002B0E80">
            <w:pPr>
              <w:spacing w:line="360" w:lineRule="auto"/>
              <w:jc w:val="center"/>
              <w:rPr>
                <w:rFonts w:cs="Times New Roman"/>
                <w:b/>
                <w:bCs/>
                <w:sz w:val="20"/>
                <w:szCs w:val="20"/>
              </w:rPr>
            </w:pPr>
            <w:r w:rsidRPr="004C0241">
              <w:rPr>
                <w:rFonts w:cs="Times New Roman"/>
                <w:sz w:val="20"/>
                <w:szCs w:val="20"/>
              </w:rPr>
              <w:t>Values</w:t>
            </w:r>
          </w:p>
        </w:tc>
        <w:tc>
          <w:tcPr>
            <w:tcW w:w="0" w:type="auto"/>
            <w:vMerge w:val="restart"/>
            <w:tcBorders>
              <w:top w:val="single" w:sz="4" w:space="0" w:color="auto"/>
              <w:bottom w:val="single" w:sz="4" w:space="0" w:color="auto"/>
            </w:tcBorders>
          </w:tcPr>
          <w:p w14:paraId="4352F51E" w14:textId="77777777" w:rsidR="0000592E" w:rsidRPr="004C0241" w:rsidRDefault="0000592E" w:rsidP="002B0E80">
            <w:pPr>
              <w:spacing w:line="360" w:lineRule="auto"/>
              <w:jc w:val="center"/>
              <w:rPr>
                <w:rFonts w:cs="Times New Roman"/>
                <w:b/>
                <w:bCs/>
                <w:sz w:val="20"/>
                <w:szCs w:val="20"/>
              </w:rPr>
            </w:pPr>
            <w:r w:rsidRPr="004C0241">
              <w:rPr>
                <w:rFonts w:cs="Times New Roman"/>
                <w:sz w:val="20"/>
                <w:szCs w:val="20"/>
              </w:rPr>
              <w:t>Reference</w:t>
            </w:r>
          </w:p>
        </w:tc>
      </w:tr>
      <w:tr w:rsidR="004C0241" w:rsidRPr="004C0241" w14:paraId="4CFA1B3D" w14:textId="77777777" w:rsidTr="002B0E80">
        <w:trPr>
          <w:trHeight w:val="330"/>
        </w:trPr>
        <w:tc>
          <w:tcPr>
            <w:tcW w:w="0" w:type="auto"/>
            <w:vMerge/>
            <w:tcBorders>
              <w:top w:val="nil"/>
              <w:bottom w:val="single" w:sz="4" w:space="0" w:color="auto"/>
            </w:tcBorders>
          </w:tcPr>
          <w:p w14:paraId="6980D9B8" w14:textId="77777777" w:rsidR="0000592E" w:rsidRPr="004C0241" w:rsidRDefault="0000592E" w:rsidP="002B0E80">
            <w:pPr>
              <w:spacing w:line="360" w:lineRule="auto"/>
              <w:rPr>
                <w:rFonts w:cs="Times New Roman"/>
                <w:b/>
                <w:bCs/>
                <w:sz w:val="20"/>
                <w:szCs w:val="20"/>
              </w:rPr>
            </w:pPr>
          </w:p>
        </w:tc>
        <w:tc>
          <w:tcPr>
            <w:tcW w:w="2872" w:type="dxa"/>
            <w:vMerge/>
            <w:tcBorders>
              <w:top w:val="nil"/>
              <w:bottom w:val="single" w:sz="4" w:space="0" w:color="auto"/>
            </w:tcBorders>
          </w:tcPr>
          <w:p w14:paraId="0F2D4D9A" w14:textId="77777777" w:rsidR="0000592E" w:rsidRPr="004C0241" w:rsidRDefault="0000592E" w:rsidP="002B0E80">
            <w:pPr>
              <w:spacing w:line="360" w:lineRule="auto"/>
              <w:rPr>
                <w:rFonts w:cs="Times New Roman"/>
                <w:b/>
                <w:bCs/>
                <w:sz w:val="20"/>
                <w:szCs w:val="20"/>
              </w:rPr>
            </w:pPr>
          </w:p>
        </w:tc>
        <w:tc>
          <w:tcPr>
            <w:tcW w:w="1426" w:type="dxa"/>
            <w:tcBorders>
              <w:top w:val="nil"/>
              <w:bottom w:val="single" w:sz="4" w:space="0" w:color="auto"/>
            </w:tcBorders>
          </w:tcPr>
          <w:p w14:paraId="5806B3AF" w14:textId="77777777" w:rsidR="0000592E" w:rsidRPr="004C0241" w:rsidRDefault="0000592E" w:rsidP="002B0E80">
            <w:pPr>
              <w:spacing w:line="360" w:lineRule="auto"/>
              <w:jc w:val="center"/>
              <w:rPr>
                <w:rFonts w:cs="Times New Roman"/>
                <w:b/>
                <w:bCs/>
                <w:sz w:val="20"/>
                <w:szCs w:val="20"/>
              </w:rPr>
            </w:pPr>
            <w:r w:rsidRPr="004C0241">
              <w:rPr>
                <w:rFonts w:cs="Times New Roman"/>
                <w:b/>
                <w:bCs/>
                <w:sz w:val="20"/>
                <w:szCs w:val="20"/>
              </w:rPr>
              <w:t>Children</w:t>
            </w:r>
          </w:p>
        </w:tc>
        <w:tc>
          <w:tcPr>
            <w:tcW w:w="0" w:type="auto"/>
            <w:tcBorders>
              <w:top w:val="nil"/>
              <w:bottom w:val="single" w:sz="4" w:space="0" w:color="auto"/>
            </w:tcBorders>
          </w:tcPr>
          <w:p w14:paraId="142816E5" w14:textId="77777777" w:rsidR="0000592E" w:rsidRPr="004C0241" w:rsidRDefault="0000592E" w:rsidP="002B0E80">
            <w:pPr>
              <w:spacing w:line="360" w:lineRule="auto"/>
              <w:jc w:val="center"/>
              <w:rPr>
                <w:rFonts w:cs="Times New Roman"/>
                <w:b/>
                <w:bCs/>
                <w:sz w:val="20"/>
                <w:szCs w:val="20"/>
              </w:rPr>
            </w:pPr>
            <w:r w:rsidRPr="004C0241">
              <w:rPr>
                <w:rFonts w:cs="Times New Roman"/>
                <w:b/>
                <w:bCs/>
                <w:sz w:val="20"/>
                <w:szCs w:val="20"/>
              </w:rPr>
              <w:t>Adult</w:t>
            </w:r>
          </w:p>
        </w:tc>
        <w:tc>
          <w:tcPr>
            <w:tcW w:w="0" w:type="auto"/>
            <w:vMerge/>
            <w:tcBorders>
              <w:top w:val="nil"/>
              <w:bottom w:val="single" w:sz="4" w:space="0" w:color="auto"/>
            </w:tcBorders>
          </w:tcPr>
          <w:p w14:paraId="61030C42" w14:textId="77777777" w:rsidR="0000592E" w:rsidRPr="004C0241" w:rsidRDefault="0000592E" w:rsidP="002B0E80">
            <w:pPr>
              <w:spacing w:line="360" w:lineRule="auto"/>
              <w:rPr>
                <w:rFonts w:cs="Times New Roman"/>
                <w:sz w:val="20"/>
                <w:szCs w:val="20"/>
              </w:rPr>
            </w:pPr>
          </w:p>
        </w:tc>
      </w:tr>
      <w:tr w:rsidR="004C0241" w:rsidRPr="004C0241" w14:paraId="6B9F0A7B" w14:textId="77777777" w:rsidTr="002B0E80">
        <w:tc>
          <w:tcPr>
            <w:tcW w:w="0" w:type="auto"/>
            <w:tcBorders>
              <w:top w:val="single" w:sz="4" w:space="0" w:color="auto"/>
            </w:tcBorders>
          </w:tcPr>
          <w:p w14:paraId="31F3D624" w14:textId="77777777" w:rsidR="0000592E" w:rsidRPr="004C0241" w:rsidRDefault="0000592E" w:rsidP="002B0E80">
            <w:pPr>
              <w:spacing w:line="360" w:lineRule="auto"/>
              <w:rPr>
                <w:rFonts w:cs="Times New Roman"/>
                <w:sz w:val="20"/>
                <w:szCs w:val="20"/>
              </w:rPr>
            </w:pPr>
            <w:r w:rsidRPr="004C0241">
              <w:rPr>
                <w:rFonts w:cs="Times New Roman"/>
                <w:sz w:val="20"/>
                <w:szCs w:val="20"/>
              </w:rPr>
              <w:t>R</w:t>
            </w:r>
            <w:r w:rsidRPr="004C0241">
              <w:rPr>
                <w:rFonts w:cs="Times New Roman"/>
                <w:sz w:val="20"/>
                <w:szCs w:val="20"/>
                <w:vertAlign w:val="subscript"/>
              </w:rPr>
              <w:t>ing</w:t>
            </w:r>
          </w:p>
        </w:tc>
        <w:tc>
          <w:tcPr>
            <w:tcW w:w="2872" w:type="dxa"/>
            <w:tcBorders>
              <w:top w:val="single" w:sz="4" w:space="0" w:color="auto"/>
            </w:tcBorders>
          </w:tcPr>
          <w:p w14:paraId="726AFAE4" w14:textId="77777777" w:rsidR="0000592E" w:rsidRPr="004C0241" w:rsidRDefault="0000592E" w:rsidP="002B0E80">
            <w:pPr>
              <w:spacing w:line="360" w:lineRule="auto"/>
              <w:rPr>
                <w:rFonts w:cs="Times New Roman"/>
                <w:sz w:val="20"/>
                <w:szCs w:val="20"/>
              </w:rPr>
            </w:pPr>
            <w:r w:rsidRPr="004C0241">
              <w:rPr>
                <w:rFonts w:cs="Times New Roman"/>
                <w:sz w:val="20"/>
                <w:szCs w:val="20"/>
              </w:rPr>
              <w:t>Rate of ingestion (</w:t>
            </w:r>
            <w:proofErr w:type="gramStart"/>
            <w:r w:rsidRPr="004C0241">
              <w:rPr>
                <w:rFonts w:cs="Times New Roman"/>
                <w:sz w:val="20"/>
                <w:szCs w:val="20"/>
              </w:rPr>
              <w:t>dust  day</w:t>
            </w:r>
            <w:proofErr w:type="gramEnd"/>
            <w:r w:rsidRPr="004C0241">
              <w:rPr>
                <w:rFonts w:cs="Times New Roman"/>
                <w:sz w:val="20"/>
                <w:szCs w:val="20"/>
                <w:vertAlign w:val="superscript"/>
              </w:rPr>
              <w:t>-1</w:t>
            </w:r>
            <w:r w:rsidRPr="004C0241">
              <w:rPr>
                <w:rFonts w:cs="Times New Roman"/>
                <w:sz w:val="20"/>
                <w:szCs w:val="20"/>
              </w:rPr>
              <w:t>)</w:t>
            </w:r>
          </w:p>
        </w:tc>
        <w:tc>
          <w:tcPr>
            <w:tcW w:w="1426" w:type="dxa"/>
            <w:tcBorders>
              <w:top w:val="single" w:sz="4" w:space="0" w:color="auto"/>
            </w:tcBorders>
          </w:tcPr>
          <w:p w14:paraId="0D27F88A" w14:textId="77777777" w:rsidR="0000592E" w:rsidRPr="004C0241" w:rsidRDefault="0000592E" w:rsidP="002B0E80">
            <w:pPr>
              <w:spacing w:line="360" w:lineRule="auto"/>
              <w:rPr>
                <w:rFonts w:cs="Times New Roman"/>
                <w:sz w:val="20"/>
                <w:szCs w:val="20"/>
              </w:rPr>
            </w:pPr>
            <w:r w:rsidRPr="004C0241">
              <w:rPr>
                <w:rFonts w:cs="Times New Roman"/>
                <w:sz w:val="20"/>
                <w:szCs w:val="20"/>
              </w:rPr>
              <w:t>200</w:t>
            </w:r>
          </w:p>
        </w:tc>
        <w:tc>
          <w:tcPr>
            <w:tcW w:w="0" w:type="auto"/>
            <w:tcBorders>
              <w:top w:val="single" w:sz="4" w:space="0" w:color="auto"/>
            </w:tcBorders>
          </w:tcPr>
          <w:p w14:paraId="51767569" w14:textId="77777777" w:rsidR="0000592E" w:rsidRPr="004C0241" w:rsidRDefault="0000592E" w:rsidP="002B0E80">
            <w:pPr>
              <w:spacing w:line="360" w:lineRule="auto"/>
              <w:rPr>
                <w:rFonts w:cs="Times New Roman"/>
                <w:sz w:val="20"/>
                <w:szCs w:val="20"/>
              </w:rPr>
            </w:pPr>
            <w:r w:rsidRPr="004C0241">
              <w:rPr>
                <w:rFonts w:cs="Times New Roman"/>
                <w:sz w:val="20"/>
                <w:szCs w:val="20"/>
              </w:rPr>
              <w:t>100</w:t>
            </w:r>
          </w:p>
        </w:tc>
        <w:tc>
          <w:tcPr>
            <w:tcW w:w="0" w:type="auto"/>
            <w:tcBorders>
              <w:top w:val="single" w:sz="4" w:space="0" w:color="auto"/>
            </w:tcBorders>
          </w:tcPr>
          <w:p w14:paraId="48832E96"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{"citationItems":[{"id":"ITEM-1","itemData":{"DOI":"10.1016/j.geoderma.2013.07.004","ISSN":"00167061","abstract":"Soakaway sediment trapped in urban infiltration facilities exhibits high heavy metal content that makes it an important diffuse pollution source of groundwater contamination. In this study, heavy metal (Cu, Zn, Cd and Pb) content, speciation and stable isotopic variation of Pb in soakaway sediments were coupled and compared with soils (surface and underlying), and road dusts (residential and highway) to trace their contamination characteristics, mobility and source. Soakaway sediment and residential road dust were found to exhibit higher metallic content of anthropogenic origin with high mobility. Isotopic ratios in exchangeable fraction showed the least 206Pb/207Pb and 208Pb/207Pb ratios. Although there were significant differences in total metal content and speciation between two road dust samples, their isotopic signatures exhibited close resemblance and aligned with anthropogenic markers such as paint, petrol and aerosols. Heterogeneity of isotopic signature in different fractions of soakaway sediments seems to have originated from the mixing of multiple sources of heavy metals. Study concludes that mobility, source and contamination characteristics of metals in soakaway sediment were different from urban soil and road dust samples due to their complex environment and regular metal supply by road runoff. © 2013 Elsevier B.V.","author":[{"dropping-particle":"","family":"Kumar","given":"Manish","non-dropping-particle":"","parse-names":false,"suffix":""},{"dropping-particle":"","family":"Furumai","given":"Hiroaki","non-dropping-particle":"","parse-names":false,"suffix":""},{"dropping-particle":"","family":"Kurisu","given":"Futoshi","non-dropping-particle":"","parse-names":false,"suffix":""},{"dropping-particle":"","family":"Kasuga","given":"Ikuro","non-dropping-particle":"","parse-names":false,"suffix":""}],"container-title":"Geoderma","id":"ITEM-1","issued":{"date-parts":[["2013"]]},"page":"8-17","publisher":"Elsevier B.V.","title":"Tracing source and distribution of heavy metals in road dust, soil and soakaway sediment through speciation and isotopic fingerprinting","type":"article-journal","volume":"211-212"},"uris":["http://www.mendeley.com/documents/?uuid=65c63350-2075-446e-835e-00f9cc6341f7"]}],"mendeley":{"formattedCitation":"(Kumar et al., 2013)","plainTextFormattedCitation":"(Kumar et al., 2013)","previouslyFormattedCitation":"(Kumar et al., 2013)"},"properties":{"noteIndex":0},"schema":"https://github.com/citation-style-language/schema/raw/master/csl-citation.json"}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(Kumar et al., 2013)</w:t>
            </w:r>
            <w:r w:rsidRPr="004C0241">
              <w:rPr>
                <w:rFonts w:cs="Times New Roman"/>
                <w:sz w:val="20"/>
                <w:szCs w:val="20"/>
              </w:rPr>
              <w:fldChar w:fldCharType="end"/>
            </w:r>
          </w:p>
        </w:tc>
      </w:tr>
      <w:tr w:rsidR="004C0241" w:rsidRPr="004C0241" w14:paraId="539F6EC9" w14:textId="77777777" w:rsidTr="002B0E80">
        <w:tc>
          <w:tcPr>
            <w:tcW w:w="0" w:type="auto"/>
          </w:tcPr>
          <w:p w14:paraId="4F61F04B"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R</w:t>
            </w:r>
            <w:r w:rsidRPr="004C0241">
              <w:rPr>
                <w:rFonts w:cs="Times New Roman"/>
                <w:sz w:val="20"/>
                <w:szCs w:val="20"/>
                <w:vertAlign w:val="subscript"/>
              </w:rPr>
              <w:t>inh</w:t>
            </w:r>
            <w:proofErr w:type="spellEnd"/>
          </w:p>
        </w:tc>
        <w:tc>
          <w:tcPr>
            <w:tcW w:w="2872" w:type="dxa"/>
          </w:tcPr>
          <w:p w14:paraId="7B4C3E64" w14:textId="77777777" w:rsidR="0000592E" w:rsidRPr="004C0241" w:rsidRDefault="0000592E" w:rsidP="002B0E80">
            <w:pPr>
              <w:spacing w:line="360" w:lineRule="auto"/>
              <w:rPr>
                <w:rFonts w:cs="Times New Roman"/>
                <w:sz w:val="20"/>
                <w:szCs w:val="20"/>
              </w:rPr>
            </w:pPr>
            <w:r w:rsidRPr="004C0241">
              <w:rPr>
                <w:rFonts w:cs="Times New Roman"/>
                <w:sz w:val="20"/>
                <w:szCs w:val="20"/>
              </w:rPr>
              <w:t>Rate of inhalation (m</w:t>
            </w:r>
            <w:r w:rsidRPr="004C0241">
              <w:rPr>
                <w:rFonts w:cs="Times New Roman"/>
                <w:sz w:val="20"/>
                <w:szCs w:val="20"/>
                <w:vertAlign w:val="superscript"/>
              </w:rPr>
              <w:t>3</w:t>
            </w:r>
            <w:r w:rsidRPr="004C0241">
              <w:rPr>
                <w:rFonts w:cs="Times New Roman"/>
                <w:sz w:val="20"/>
                <w:szCs w:val="20"/>
              </w:rPr>
              <w:t xml:space="preserve"> day</w:t>
            </w:r>
            <w:r w:rsidRPr="004C0241">
              <w:rPr>
                <w:rFonts w:cs="Times New Roman"/>
                <w:sz w:val="20"/>
                <w:szCs w:val="20"/>
                <w:vertAlign w:val="superscript"/>
              </w:rPr>
              <w:t>-1</w:t>
            </w:r>
            <w:r w:rsidRPr="004C0241">
              <w:rPr>
                <w:rFonts w:cs="Times New Roman"/>
                <w:sz w:val="20"/>
                <w:szCs w:val="20"/>
              </w:rPr>
              <w:t>)</w:t>
            </w:r>
          </w:p>
        </w:tc>
        <w:tc>
          <w:tcPr>
            <w:tcW w:w="1426" w:type="dxa"/>
          </w:tcPr>
          <w:p w14:paraId="370277AB" w14:textId="77777777" w:rsidR="0000592E" w:rsidRPr="004C0241" w:rsidRDefault="0000592E" w:rsidP="002B0E80">
            <w:pPr>
              <w:spacing w:line="360" w:lineRule="auto"/>
              <w:rPr>
                <w:rFonts w:cs="Times New Roman"/>
                <w:sz w:val="20"/>
                <w:szCs w:val="20"/>
              </w:rPr>
            </w:pPr>
            <w:r w:rsidRPr="004C0241">
              <w:rPr>
                <w:rFonts w:cs="Times New Roman"/>
                <w:sz w:val="20"/>
                <w:szCs w:val="20"/>
              </w:rPr>
              <w:t>10</w:t>
            </w:r>
          </w:p>
        </w:tc>
        <w:tc>
          <w:tcPr>
            <w:tcW w:w="0" w:type="auto"/>
          </w:tcPr>
          <w:p w14:paraId="74B59FFA" w14:textId="77777777" w:rsidR="0000592E" w:rsidRPr="004C0241" w:rsidRDefault="0000592E" w:rsidP="002B0E80">
            <w:pPr>
              <w:spacing w:line="360" w:lineRule="auto"/>
              <w:rPr>
                <w:rFonts w:cs="Times New Roman"/>
                <w:sz w:val="20"/>
                <w:szCs w:val="20"/>
              </w:rPr>
            </w:pPr>
            <w:r w:rsidRPr="004C0241">
              <w:rPr>
                <w:rFonts w:cs="Times New Roman"/>
                <w:sz w:val="20"/>
                <w:szCs w:val="20"/>
              </w:rPr>
              <w:t>20</w:t>
            </w:r>
          </w:p>
        </w:tc>
        <w:tc>
          <w:tcPr>
            <w:tcW w:w="0" w:type="auto"/>
          </w:tcPr>
          <w:p w14:paraId="76C7373F"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{"citationItems":[{"id":"ITEM-1","itemData":{"DOI":"10.1016/j.ecoenv.2021.111972","ISSN":"10902414","PMID":"33513479","abstract":"Dust emitted from mining, ore processing, and tailing dumps have direct effects on miners who work close to these operations. The Gol-E-Gohar (GEG) mining and industrial company is one of the most important iron concentrate producers in the Middle East. The objective of the present study was to estimate the distribution, fractionation, and oral bioaccessibility of potentially toxic elements (PTEs) in dust generated by the GEG mining and industrial company. Total PTE content including Al, As, Cd, Co, Cr, Cu, Fe, Hg, Mn, Mo, Ni, Pb, V, and Zn was quantified for suspended particulate matter (PM) in PM2.5, PM10, and total suspended particulate matter (TSP). As, Cd, Co, Cu, Fe, Ni, and Pb were quantified in fallout dust samples for oral bioaccessibility using in vitro Unified BARGE (UBM) Method and modified BCR fractionation analysis. Enrichment factors (EF) were calculated for the studied elements in PM; Cu, Fe, and As were found to be extremely enriched. Oral bioaccessibility of selected PTEs in fallout dust samples ranged from 0.35% to 41.55% and 0.06–37.58% in the gastric and intestinal phases, respectively. Regression modeling revealed that the bioaccessibilities of the PTEs could mostly be explained by total concentrations in dust particles. Average daily intake (ADI) calculations revealed that the intake of PTEs did not exceed the tolerable daily intake (TDI) values and as such was not considered a significant risk to workers. Additionally, the hazard quotients (HQ) and carcinogenic risk (CR) values were lower than the acceptable level. This study can provide further risk assessment and management of PTE pollution in occupational environments.","author":[{"dropping-particle":"","family":"Soltani","given":"Naghmeh","non-dropping-particle":"","parse-names":false,"suffix":""},{"dropping-particle":"","family":"Keshavarzi","given":"Behnam","non-dropping-particle":"","parse-names":false,"suffix":""},{"dropping-particle":"","family":"Moore","given":"Farid","non-dropping-particle":"","parse-names":false,"suffix":""},{"dropping-particle":"","family":"Cave","given":"Mark","non-dropping-particle":"","parse-names":false,"suffix":""},{"dropping-particle":"","family":"Sorooshian","given":"Armin","non-dropping-particle":"","parse-names":false,"suffix":""},{"dropping-particle":"","family":"Mahmoudi","given":"Mohammad Reza","non-dropping-particle":"","parse-names":false,"suffix":""},{"dropping-particle":"","family":"Ahmadi","given":"Mohammad Reza","non-dropping-particle":"","parse-names":false,"suffix":""},{"dropping-particle":"","family":"Golshani","given":"Reza","non-dropping-particle":"","parse-names":false,"suffix":""}],"container-title":"Ecotoxicology and Environmental Safety","id":"ITEM-1","issued":{"date-parts":[["2021"]]},"page":"111972","publisher":"Elsevier Inc.","title":"In vitro bioaccessibility, phase partitioning, and health risk of potentially toxic elements in dust of an iron mining and industrial complex","type":"article-journal","volume":"212"},"uris":["http://www.mendeley.com/documents/?uuid=962b5d87-44ad-46ea-b0db-096bd7ad5a6f"]}],"mendeley":{"formattedCitation":"(Soltani et al., 2021)","plainTextFormattedCitation":"(Soltani et al., 2021)","previouslyFormattedCitation":"(Soltani et al., 2021)"},"properties":{"noteIndex":0},"schema":"https://github.com/citation-style-language/schema/raw/master/csl-citation.json"}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(Soltani et al., 2021)</w:t>
            </w:r>
            <w:r w:rsidRPr="004C0241">
              <w:rPr>
                <w:rFonts w:cs="Times New Roman"/>
                <w:sz w:val="20"/>
                <w:szCs w:val="20"/>
              </w:rPr>
              <w:fldChar w:fldCharType="end"/>
            </w:r>
          </w:p>
        </w:tc>
      </w:tr>
      <w:tr w:rsidR="004C0241" w:rsidRPr="004C0241" w14:paraId="717B8EF5" w14:textId="77777777" w:rsidTr="002B0E80">
        <w:tc>
          <w:tcPr>
            <w:tcW w:w="0" w:type="auto"/>
          </w:tcPr>
          <w:p w14:paraId="2669FB73"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T</w:t>
            </w:r>
            <w:r w:rsidRPr="004C0241">
              <w:rPr>
                <w:rFonts w:cs="Times New Roman"/>
                <w:sz w:val="20"/>
                <w:szCs w:val="20"/>
                <w:vertAlign w:val="subscript"/>
              </w:rPr>
              <w:t>exp</w:t>
            </w:r>
            <w:proofErr w:type="spellEnd"/>
          </w:p>
        </w:tc>
        <w:tc>
          <w:tcPr>
            <w:tcW w:w="2872" w:type="dxa"/>
          </w:tcPr>
          <w:p w14:paraId="4AE029DE" w14:textId="77777777" w:rsidR="0000592E" w:rsidRPr="004C0241" w:rsidRDefault="0000592E" w:rsidP="002B0E80">
            <w:pPr>
              <w:spacing w:line="360" w:lineRule="auto"/>
              <w:rPr>
                <w:rFonts w:cs="Times New Roman"/>
                <w:sz w:val="20"/>
                <w:szCs w:val="20"/>
              </w:rPr>
            </w:pPr>
            <w:r w:rsidRPr="004C0241">
              <w:rPr>
                <w:rFonts w:cs="Times New Roman"/>
                <w:sz w:val="20"/>
                <w:szCs w:val="20"/>
              </w:rPr>
              <w:t>Exposure time (year)</w:t>
            </w:r>
          </w:p>
        </w:tc>
        <w:tc>
          <w:tcPr>
            <w:tcW w:w="1426" w:type="dxa"/>
          </w:tcPr>
          <w:p w14:paraId="14B3013E" w14:textId="77777777" w:rsidR="0000592E" w:rsidRPr="004C0241" w:rsidRDefault="0000592E" w:rsidP="002B0E80">
            <w:pPr>
              <w:spacing w:line="360" w:lineRule="auto"/>
              <w:rPr>
                <w:rFonts w:cs="Times New Roman"/>
                <w:sz w:val="20"/>
                <w:szCs w:val="20"/>
              </w:rPr>
            </w:pPr>
            <w:r w:rsidRPr="004C0241">
              <w:rPr>
                <w:rFonts w:cs="Times New Roman"/>
                <w:sz w:val="20"/>
                <w:szCs w:val="20"/>
              </w:rPr>
              <w:t>6</w:t>
            </w:r>
          </w:p>
        </w:tc>
        <w:tc>
          <w:tcPr>
            <w:tcW w:w="0" w:type="auto"/>
          </w:tcPr>
          <w:p w14:paraId="324367F7" w14:textId="77777777" w:rsidR="0000592E" w:rsidRPr="004C0241" w:rsidRDefault="0000592E" w:rsidP="002B0E80">
            <w:pPr>
              <w:spacing w:line="360" w:lineRule="auto"/>
              <w:rPr>
                <w:rFonts w:cs="Times New Roman"/>
                <w:sz w:val="20"/>
                <w:szCs w:val="20"/>
              </w:rPr>
            </w:pPr>
            <w:r w:rsidRPr="004C0241">
              <w:rPr>
                <w:rFonts w:cs="Times New Roman"/>
                <w:sz w:val="20"/>
                <w:szCs w:val="20"/>
              </w:rPr>
              <w:t>24</w:t>
            </w:r>
          </w:p>
        </w:tc>
        <w:tc>
          <w:tcPr>
            <w:tcW w:w="0" w:type="auto"/>
          </w:tcPr>
          <w:p w14:paraId="5EF82A4C"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{"citationItems":[{"id":"ITEM-1","itemData":{"DOI":"https://doi.org/10.1016/j.ecoenv.2018.02.042","ISSN":"0147-6513","abstract":"Street dust samples from Durgapur, the steel city of eastern India, were collected from five different land use patterns, i.e., national highways, urban residential area, sensitive area, industrial area and busy traffic zone during summer, monsoon, and winter to analyze the pollution characteristics, chemical fractionation, source apportionment and health risk of heavy metals (HMs). The samples were fractionated into ≤ 53 µm and analyzed for potentially harmful elements (PHEs) viz. Cd, Cr, Cu, Fe, Mn, Ni, Pb, and Zn. Summer season indicated higher concentrations of PHEs when compared to the other two seasons. Mean enrichment factor (EF), geo-accumulation index (Igeo), and contamination factor (CF) were high for Cd followed by Pb during all the three season in Durgapur. Chemical fractionation was executed in order to obtain distribution patterns of PHEs and to evaluate their bioavailable fractions in street dust samples. Mn was found to be highly bioavailable and bioavailability of the PHEs were in the order of Mn &gt; Zn &gt; Pb &gt; Ni &gt; Cd &gt; Cu &gt; Fe &gt; Cr. Principal Component Analysis (PCA), cluster analysis, correlation analysis indicated the main sources of PHEs could be industrial, especially coal powered thermal plant, iron and steel industries and cement industries and vehicular. Multivariate analysis of variance (MANOVA) indicated that sites, seasons and their interaction were significantly affected by different PHEs as a whole. The health risk was calculated with total metal as well as mobile fraction of PHEs, which indicated that the actual non-carcinogenic risk due to bioavailable PHEs was less (HI &lt; 1) when compared to total concentrations of PHEs. Carcinogenic risk was observed for total Cr in street dust (Child: 4.6E-06; Adult: 3.6E-06).","author":[{"dropping-particle":"","family":"Gope","given":"Manash","non-dropping-particle":"","parse-names":false,"suffix":""},{"dropping-particle":"","family":"Masto","given":"Reginald Ebhin","non-dropping-particle":"","parse-names":false,"suffix":""},{"dropping-particle":"","family":"George","given":"Joshy","non-dropping-particle":"","parse-names":false,"suffix":""},{"dropping-particle":"","family":"Balachandran","given":"Srinivasan","non-dropping-particle":"","parse-names":false,"suffix":""}],"container-title":"Ecotoxicology and Environmental Safety","id":"ITEM-1","issue":"November 2017","issued":{"date-parts":[["2018"]]},"page":"280-293","publisher":"Elsevier Inc.","title":"Tracing source, distribution and health risk of potentially harmful elements (PHEs) in street dust of Durgapur, India","type":"article-journal","volume":"154"},"uris":["http://www.mendeley.com/documents/?uuid=2d0b1fe5-f623-4c68-83a3-3b0e591e086f"]}],"mendeley":{"formattedCitation":"(Gope et al., 2018b)","plainTextFormattedCitation":"(Gope et al., 2018b)","previouslyFormattedCitation":"(Gope et al., 2018b)"},"properties":{"noteIndex":0},"schema":"https://github.com/citation-style-language/schema/raw/master/csl-citation.json"}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(Gope et al., 2018b)</w:t>
            </w:r>
            <w:r w:rsidRPr="004C0241">
              <w:rPr>
                <w:rFonts w:cs="Times New Roman"/>
                <w:sz w:val="20"/>
                <w:szCs w:val="20"/>
              </w:rPr>
              <w:fldChar w:fldCharType="end"/>
            </w:r>
          </w:p>
        </w:tc>
      </w:tr>
      <w:tr w:rsidR="004C0241" w:rsidRPr="004C0241" w14:paraId="7F9721D0" w14:textId="77777777" w:rsidTr="002B0E80">
        <w:tc>
          <w:tcPr>
            <w:tcW w:w="0" w:type="auto"/>
          </w:tcPr>
          <w:p w14:paraId="2C2835AE"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F</w:t>
            </w:r>
            <w:r w:rsidRPr="004C0241">
              <w:rPr>
                <w:rFonts w:cs="Times New Roman"/>
                <w:sz w:val="20"/>
                <w:szCs w:val="20"/>
                <w:vertAlign w:val="subscript"/>
              </w:rPr>
              <w:t>exp</w:t>
            </w:r>
            <w:proofErr w:type="spellEnd"/>
          </w:p>
        </w:tc>
        <w:tc>
          <w:tcPr>
            <w:tcW w:w="2872" w:type="dxa"/>
          </w:tcPr>
          <w:p w14:paraId="1DA0249D" w14:textId="77777777" w:rsidR="0000592E" w:rsidRPr="004C0241" w:rsidRDefault="0000592E" w:rsidP="002B0E80">
            <w:pPr>
              <w:spacing w:line="360" w:lineRule="auto"/>
              <w:rPr>
                <w:rFonts w:cs="Times New Roman"/>
                <w:sz w:val="20"/>
                <w:szCs w:val="20"/>
              </w:rPr>
            </w:pPr>
            <w:r w:rsidRPr="004C0241">
              <w:rPr>
                <w:rFonts w:cs="Times New Roman"/>
                <w:sz w:val="20"/>
                <w:szCs w:val="20"/>
              </w:rPr>
              <w:t>Exposure frequency (day year</w:t>
            </w:r>
            <w:r w:rsidRPr="004C0241">
              <w:rPr>
                <w:rFonts w:cs="Times New Roman"/>
                <w:sz w:val="20"/>
                <w:szCs w:val="20"/>
                <w:vertAlign w:val="superscript"/>
              </w:rPr>
              <w:t>-1</w:t>
            </w:r>
            <w:r w:rsidRPr="004C0241">
              <w:rPr>
                <w:rFonts w:cs="Times New Roman"/>
                <w:sz w:val="20"/>
                <w:szCs w:val="20"/>
              </w:rPr>
              <w:t>)</w:t>
            </w:r>
          </w:p>
        </w:tc>
        <w:tc>
          <w:tcPr>
            <w:tcW w:w="1426" w:type="dxa"/>
          </w:tcPr>
          <w:p w14:paraId="23A94AB1" w14:textId="77777777" w:rsidR="0000592E" w:rsidRPr="004C0241" w:rsidRDefault="0000592E" w:rsidP="002B0E80">
            <w:pPr>
              <w:spacing w:line="360" w:lineRule="auto"/>
              <w:rPr>
                <w:rFonts w:cs="Times New Roman"/>
                <w:sz w:val="20"/>
                <w:szCs w:val="20"/>
              </w:rPr>
            </w:pPr>
            <w:r w:rsidRPr="004C0241">
              <w:rPr>
                <w:rFonts w:cs="Times New Roman"/>
                <w:sz w:val="20"/>
                <w:szCs w:val="20"/>
              </w:rPr>
              <w:t>365</w:t>
            </w:r>
          </w:p>
        </w:tc>
        <w:tc>
          <w:tcPr>
            <w:tcW w:w="0" w:type="auto"/>
          </w:tcPr>
          <w:p w14:paraId="30A32FDC" w14:textId="77777777" w:rsidR="0000592E" w:rsidRPr="004C0241" w:rsidRDefault="0000592E" w:rsidP="002B0E80">
            <w:pPr>
              <w:spacing w:line="360" w:lineRule="auto"/>
              <w:rPr>
                <w:rFonts w:cs="Times New Roman"/>
                <w:sz w:val="20"/>
                <w:szCs w:val="20"/>
              </w:rPr>
            </w:pPr>
            <w:r w:rsidRPr="004C0241">
              <w:rPr>
                <w:rFonts w:cs="Times New Roman"/>
                <w:sz w:val="20"/>
                <w:szCs w:val="20"/>
              </w:rPr>
              <w:t>365</w:t>
            </w:r>
          </w:p>
        </w:tc>
        <w:tc>
          <w:tcPr>
            <w:tcW w:w="0" w:type="auto"/>
          </w:tcPr>
          <w:p w14:paraId="7F6FD04D"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{"citationItems":[{"id":"ITEM-1","itemData":{"DOI":"10.1007/s10653-020-00785-y","ISBN":"0123456789","ISSN":"15732983","PMID":"33389370","abstract":"Dust samples were collected from roads of five distinct types of land use zones (National Highway, residential areas, sensitive areas, mining areas, and busy traffic areas) of Dhanbad to determine the pollution characteristics, health risk, and identifying the source of trace elements. The dust samples were segregated into ≤ 60 µm and trace elements like Cd, Cr, Cu, Fe, Mn, Ni, Pb, and Zn were analysed. Concentrations of Cd, Cr, Cu, Fe, and Mn were observed highest in the mining areas, whereas Ni, Pb, and Zn presented higher concentration values at National Highway and busy traffic zones. Cd showed highest geo-accumulation index (Igeo), contamination factor (Cf), and ecological risk (ER) among all the trace elements. The health risk assessment model was performed to assess the health effects of carcinogenic and non-carcinogenic pollutants caused due to multi-elemental exposure on adults and children. The significantly higher HQ (Hazard Quotient) and HI (Hazard Index) values posed by Cr, Fe, and Mn indicated potential non-carcinogenic risks to the people of Dhanbad. Similarly, values of CR (Cancer Risk) for Cd, Cr and Ni were within the range of 10–6–10–4, which indicated to cause carcinogenic risk to the population by the exposure of road dust. Principal Component Analysis (PCA) and Pearson correlation showed that coal mining activities in Jharia coalfield, coal-based industries like coke-oven plants, coal washeries and heavy vehicular load in the roads of Dhanbad were the major causes of emission of these trace elements. Graphic abstract: [Figure not available: see fulltext.]","author":[{"dropping-particle":"","family":"Mondal","given":"Shilpi","non-dropping-particle":"","parse-names":false,"suffix":""},{"dropping-particle":"","family":"Singh","given":"Gurdeep","non-dropping-particle":"","parse-names":false,"suffix":""}],"container-title":"Environmental Geochemistry and Health","id":"ITEM-1","issue":"5","issued":{"date-parts":[["2021"]]},"page":"2081-2103","publisher":"Springer Netherlands","title":"Pollution evaluation, human health effect and tracing source of trace elements on road dust of Dhanbad, a highly polluted industrial coal belt of India","type":"article-journal","volume":"43"},"uris":["http://www.mendeley.com/documents/?uuid=1c314299-3fbd-4c2b-9be3-d0f672d8a110"]}],"mendeley":{"formattedCitation":"(Mondal and Singh, 2021b)","plainTextFormattedCitation":"(Mondal and Singh, 2021b)","previouslyFormattedCitation":"(Mondal and Singh, 2021b)"},"properties":{"noteIndex":0},"schema":"https://github.com/citation-style-language/schema/raw/master/csl-citation.json"}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(Mondal and Singh, 2021b)</w:t>
            </w:r>
            <w:r w:rsidRPr="004C0241">
              <w:rPr>
                <w:rFonts w:cs="Times New Roman"/>
                <w:sz w:val="20"/>
                <w:szCs w:val="20"/>
              </w:rPr>
              <w:fldChar w:fldCharType="end"/>
            </w:r>
          </w:p>
        </w:tc>
      </w:tr>
      <w:tr w:rsidR="004C0241" w:rsidRPr="004C0241" w14:paraId="3585D0AC" w14:textId="77777777" w:rsidTr="002B0E80">
        <w:tc>
          <w:tcPr>
            <w:tcW w:w="0" w:type="auto"/>
          </w:tcPr>
          <w:p w14:paraId="63F934E7" w14:textId="77777777" w:rsidR="0000592E" w:rsidRPr="004C0241" w:rsidRDefault="0000592E" w:rsidP="002B0E80">
            <w:pPr>
              <w:spacing w:line="360" w:lineRule="auto"/>
              <w:rPr>
                <w:rFonts w:cs="Times New Roman"/>
                <w:sz w:val="20"/>
                <w:szCs w:val="20"/>
              </w:rPr>
            </w:pPr>
            <w:r w:rsidRPr="004C0241">
              <w:rPr>
                <w:rFonts w:cs="Times New Roman"/>
                <w:sz w:val="20"/>
                <w:szCs w:val="20"/>
              </w:rPr>
              <w:t>DAF</w:t>
            </w:r>
          </w:p>
        </w:tc>
        <w:tc>
          <w:tcPr>
            <w:tcW w:w="2872" w:type="dxa"/>
          </w:tcPr>
          <w:p w14:paraId="6A6F63FF" w14:textId="77777777" w:rsidR="0000592E" w:rsidRPr="004C0241" w:rsidRDefault="0000592E" w:rsidP="002B0E80">
            <w:pPr>
              <w:spacing w:line="360" w:lineRule="auto"/>
              <w:rPr>
                <w:rFonts w:cs="Times New Roman"/>
                <w:sz w:val="20"/>
                <w:szCs w:val="20"/>
              </w:rPr>
            </w:pPr>
            <w:r w:rsidRPr="004C0241">
              <w:rPr>
                <w:rFonts w:cs="Times New Roman"/>
                <w:sz w:val="20"/>
                <w:szCs w:val="20"/>
              </w:rPr>
              <w:t>Dermal absorbance factor (unitless)</w:t>
            </w:r>
          </w:p>
        </w:tc>
        <w:tc>
          <w:tcPr>
            <w:tcW w:w="1426" w:type="dxa"/>
          </w:tcPr>
          <w:p w14:paraId="4E5C24EC" w14:textId="77777777" w:rsidR="0000592E" w:rsidRPr="004C0241" w:rsidRDefault="0000592E" w:rsidP="002B0E80">
            <w:pPr>
              <w:spacing w:line="360" w:lineRule="auto"/>
              <w:rPr>
                <w:rFonts w:cs="Times New Roman"/>
                <w:sz w:val="20"/>
                <w:szCs w:val="20"/>
              </w:rPr>
            </w:pPr>
            <w:r w:rsidRPr="004C0241">
              <w:rPr>
                <w:rFonts w:cs="Times New Roman"/>
                <w:sz w:val="20"/>
                <w:szCs w:val="20"/>
              </w:rPr>
              <w:t>0.001</w:t>
            </w:r>
          </w:p>
        </w:tc>
        <w:tc>
          <w:tcPr>
            <w:tcW w:w="0" w:type="auto"/>
          </w:tcPr>
          <w:p w14:paraId="4001522B" w14:textId="77777777" w:rsidR="0000592E" w:rsidRPr="004C0241" w:rsidRDefault="0000592E" w:rsidP="002B0E80">
            <w:pPr>
              <w:spacing w:line="360" w:lineRule="auto"/>
              <w:rPr>
                <w:rFonts w:cs="Times New Roman"/>
                <w:sz w:val="20"/>
                <w:szCs w:val="20"/>
              </w:rPr>
            </w:pPr>
            <w:r w:rsidRPr="004C0241">
              <w:rPr>
                <w:rFonts w:cs="Times New Roman"/>
                <w:sz w:val="20"/>
                <w:szCs w:val="20"/>
              </w:rPr>
              <w:t>0.001</w:t>
            </w:r>
          </w:p>
        </w:tc>
        <w:tc>
          <w:tcPr>
            <w:tcW w:w="0" w:type="auto"/>
          </w:tcPr>
          <w:p w14:paraId="0DBA0CB2"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{"citationItems":[{"id":"ITEM-1","itemData":{"DOI":"10.1016/j.scs.2018.01.006","ISSN":"22106707","abstract":"The sources, distribution and total concentration of 16 polycyclic aromatic hydrocarbons (PAHs) in 15 urban street dust samples (each for summer, winter and monsoon season) from Asansol, an industrial city were investigated to evaluate and understand the carcinogenic risk of urban inhabitants exposed to street dust. The results showed that the total PAHs (∑PAHs) in urban street dust at Asansol ranged from 1708 ± 1345 ng/g to 9688 ± 3257 ng/g with an average value of 4532 ± 2031 ng/g. The 2-ring to 3-ring PAHs dominated in winter; whereas 5-ring to 6-ring PAHs contributed maximum in summer. Principal component analysis (PCA) and ratio determination were performed to identify the potential sources of PAHs. Anth/(Phe + Anth), BaP/BghiP, Fla/(Pyr + Fla), IP/(IP + BghiP), Flt/Pyr, Phen/Anth, and BaA/Chry ratios indicated mixed sources of PAHs. Our result concluded that at Asansol, biomass combustion, coal combustion, traffic emission (gasoline and diesel powered vehicles), thrash burning and domestic coal utilization activity, along with temperature and meteorological dependent played an important role in controlling the distribution of PAHs in street dust. According to the Incremental Lifetime Cancer Risk (ILCR) model, the total cancer risk for children and adults were maximum at industrial sites, i e., 1.4E-05 and 1.5E-05 respectively.","author":[{"dropping-particle":"","family":"Gope","given":"Manash","non-dropping-particle":"","parse-names":false,"suffix":""},{"dropping-particle":"","family":"Masto","given":"Reginald Ebhin","non-dropping-particle":"","parse-names":false,"suffix":""},{"dropping-particle":"","family":"George","given":"Joshy","non-dropping-particle":"","parse-names":false,"suffix":""},{"dropping-particle":"","family":"Balachandran","given":"Srinivasan","non-dropping-particle":"","parse-names":false,"suffix":""}],"container-title":"Sustainable Cities and Society","id":"ITEM-1","issued":{"date-parts":[["2018"]]},"page":"616-626","publisher":"Elsevier B.V.","title":"Exposure and cancer risk assessment of polycyclic aromatic hydrocarbons (PAHs) in the street dust of Asansol city, India","type":"article-journal","volume":"38"},"uris":["http://www.mendeley.com/documents/?uuid=839b5a54-6a32-4715-b4c4-32fc68543f46"]}],"mendeley":{"formattedCitation":"(Gope et al., 2018a)","plainTextFormattedCitation":"(Gope et al., 2018a)","previouslyFormattedCitation":"(Gope et al., 2018a)"},"properties":{"noteIndex":0},"schema":"https://github.com/citation-style-language/schema/raw/master/csl-citation.json"}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(Gope et al., 2018a)</w:t>
            </w:r>
            <w:r w:rsidRPr="004C0241">
              <w:rPr>
                <w:rFonts w:cs="Times New Roman"/>
                <w:sz w:val="20"/>
                <w:szCs w:val="20"/>
              </w:rPr>
              <w:fldChar w:fldCharType="end"/>
            </w:r>
          </w:p>
        </w:tc>
      </w:tr>
      <w:tr w:rsidR="004C0241" w:rsidRPr="004C0241" w14:paraId="39A95215" w14:textId="77777777" w:rsidTr="002B0E80">
        <w:tc>
          <w:tcPr>
            <w:tcW w:w="0" w:type="auto"/>
          </w:tcPr>
          <w:p w14:paraId="69A31F50" w14:textId="77777777" w:rsidR="0000592E" w:rsidRPr="004C0241" w:rsidRDefault="0000592E" w:rsidP="002B0E80">
            <w:pPr>
              <w:spacing w:line="360" w:lineRule="auto"/>
              <w:rPr>
                <w:rFonts w:cs="Times New Roman"/>
                <w:sz w:val="20"/>
                <w:szCs w:val="20"/>
              </w:rPr>
            </w:pPr>
            <w:r w:rsidRPr="004C0241">
              <w:rPr>
                <w:rFonts w:cs="Times New Roman"/>
                <w:sz w:val="20"/>
                <w:szCs w:val="20"/>
              </w:rPr>
              <w:t>SAF</w:t>
            </w:r>
          </w:p>
        </w:tc>
        <w:tc>
          <w:tcPr>
            <w:tcW w:w="2872" w:type="dxa"/>
          </w:tcPr>
          <w:p w14:paraId="31F52F2F" w14:textId="77777777" w:rsidR="0000592E" w:rsidRPr="004C0241" w:rsidRDefault="0000592E" w:rsidP="002B0E80">
            <w:pPr>
              <w:spacing w:line="360" w:lineRule="auto"/>
              <w:rPr>
                <w:rFonts w:cs="Times New Roman"/>
                <w:sz w:val="20"/>
                <w:szCs w:val="20"/>
              </w:rPr>
            </w:pPr>
            <w:r w:rsidRPr="004C0241">
              <w:rPr>
                <w:rFonts w:cs="Times New Roman"/>
                <w:sz w:val="20"/>
                <w:szCs w:val="20"/>
              </w:rPr>
              <w:t>Skin adherence factor (mg cm</w:t>
            </w:r>
            <w:r w:rsidRPr="004C0241">
              <w:rPr>
                <w:rFonts w:cs="Times New Roman"/>
                <w:sz w:val="20"/>
                <w:szCs w:val="20"/>
                <w:vertAlign w:val="superscript"/>
              </w:rPr>
              <w:t>-2</w:t>
            </w:r>
            <w:r w:rsidRPr="004C0241">
              <w:rPr>
                <w:rFonts w:cs="Times New Roman"/>
                <w:sz w:val="20"/>
                <w:szCs w:val="20"/>
              </w:rPr>
              <w:t xml:space="preserve"> h</w:t>
            </w:r>
            <w:r w:rsidRPr="004C0241">
              <w:rPr>
                <w:rFonts w:cs="Times New Roman"/>
                <w:sz w:val="20"/>
                <w:szCs w:val="20"/>
                <w:vertAlign w:val="superscript"/>
              </w:rPr>
              <w:t>-1</w:t>
            </w:r>
            <w:r w:rsidRPr="004C0241">
              <w:rPr>
                <w:rFonts w:cs="Times New Roman"/>
                <w:sz w:val="20"/>
                <w:szCs w:val="20"/>
              </w:rPr>
              <w:t>)</w:t>
            </w:r>
          </w:p>
        </w:tc>
        <w:tc>
          <w:tcPr>
            <w:tcW w:w="1426" w:type="dxa"/>
          </w:tcPr>
          <w:p w14:paraId="261FDFDD" w14:textId="77777777" w:rsidR="0000592E" w:rsidRPr="004C0241" w:rsidRDefault="0000592E" w:rsidP="002B0E80">
            <w:pPr>
              <w:spacing w:line="360" w:lineRule="auto"/>
              <w:rPr>
                <w:rFonts w:cs="Times New Roman"/>
                <w:sz w:val="20"/>
                <w:szCs w:val="20"/>
              </w:rPr>
            </w:pPr>
            <w:r w:rsidRPr="004C0241">
              <w:rPr>
                <w:rFonts w:cs="Times New Roman"/>
                <w:sz w:val="20"/>
                <w:szCs w:val="20"/>
              </w:rPr>
              <w:t>0.2</w:t>
            </w:r>
          </w:p>
        </w:tc>
        <w:tc>
          <w:tcPr>
            <w:tcW w:w="0" w:type="auto"/>
          </w:tcPr>
          <w:p w14:paraId="2FDBE732" w14:textId="77777777" w:rsidR="0000592E" w:rsidRPr="004C0241" w:rsidRDefault="0000592E" w:rsidP="002B0E80">
            <w:pPr>
              <w:spacing w:line="360" w:lineRule="auto"/>
              <w:rPr>
                <w:rFonts w:cs="Times New Roman"/>
                <w:sz w:val="20"/>
                <w:szCs w:val="20"/>
              </w:rPr>
            </w:pPr>
            <w:r w:rsidRPr="004C0241">
              <w:rPr>
                <w:rFonts w:cs="Times New Roman"/>
                <w:sz w:val="20"/>
                <w:szCs w:val="20"/>
              </w:rPr>
              <w:t>0.07</w:t>
            </w:r>
          </w:p>
        </w:tc>
        <w:tc>
          <w:tcPr>
            <w:tcW w:w="0" w:type="auto"/>
          </w:tcPr>
          <w:p w14:paraId="22412EB3"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{"citationItems":[{"id":"ITEM-1","itemData":{"DOI":"EPA/600/R-090/052F","ISBN":"EPA/600/R-090/052F","ISSN":"00062952","abstract":"FOREWORD The U.S. Environmental Protection Agency (U.S. EPA), Office of Research and Development (ORD), National Center for Environmental Assessment's (NCEA) mission is to provide guidance and risk assessments aimed at protecting human health and the environment. To accomplish this mission, NCEA works to develop and improve the models, databases, tools, assumptions, and extrapolations used in risk assessments. NCEA established the Exposure Factors Program to develop tools and databases that improve the scientific basis of exposure and risk assessment by (1) identifying exposure factors needs in consultation with clients, and exploring ways for filling data gaps; (2) compiling existing data on exposure factors needed for assessing exposures/risks; and (3) assisting clients in the use of exposure factors data. The Exposure Factors Handbook and the Child-Specific Exposure Factors Handbook, as well as other companion documents such as Example Exposure Scenarios, are products of the Exposure Factors Program.","author":[{"dropping-particle":"","family":"US Environmental Protection Agency","given":"","non-dropping-particle":"","parse-names":false,"suffix":""}],"container-title":"U.S. Environmental Protection Agency","id":"ITEM-1","issue":"September","issued":{"date-parts":[["2011"]]},"page":"1-1466","title":"Exposure Factors Handbook: 2011 Edition","type":"article-journal","volume":"EPA/600/R-"},"uris":["http://www.mendeley.com/documents/?uuid=a36c2ac8-7441-451b-9c15-c350909d18fe"]}],"mendeley":{"formattedCitation":"(US Environmental Protection Agency, 2011)","manualFormatting":"(USEPA, 2011)","plainTextFormattedCitation":"(US Environmental Protection Agency, 2011)","previouslyFormattedCitation":"(US Environmental Protection Agency, 2011)"},"properties":{"noteIndex":0},"schema":"https://github.com/citation-style-language/schema/raw/master/csl-citation.json"}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(USEPA, 2011)</w:t>
            </w:r>
            <w:r w:rsidRPr="004C0241">
              <w:rPr>
                <w:rFonts w:cs="Times New Roman"/>
                <w:sz w:val="20"/>
                <w:szCs w:val="20"/>
              </w:rPr>
              <w:fldChar w:fldCharType="end"/>
            </w:r>
          </w:p>
        </w:tc>
      </w:tr>
      <w:tr w:rsidR="004C0241" w:rsidRPr="004C0241" w14:paraId="00DFED55" w14:textId="77777777" w:rsidTr="002B0E80">
        <w:tc>
          <w:tcPr>
            <w:tcW w:w="0" w:type="auto"/>
          </w:tcPr>
          <w:p w14:paraId="2FBECD4A" w14:textId="77777777" w:rsidR="0000592E" w:rsidRPr="004C0241" w:rsidRDefault="0000592E" w:rsidP="002B0E80">
            <w:pPr>
              <w:spacing w:line="360" w:lineRule="auto"/>
              <w:rPr>
                <w:rFonts w:cs="Times New Roman"/>
                <w:sz w:val="20"/>
                <w:szCs w:val="20"/>
              </w:rPr>
            </w:pPr>
            <w:r w:rsidRPr="004C0241">
              <w:rPr>
                <w:rFonts w:cs="Times New Roman"/>
                <w:sz w:val="20"/>
                <w:szCs w:val="20"/>
              </w:rPr>
              <w:t>A</w:t>
            </w:r>
            <w:r w:rsidRPr="004C0241">
              <w:rPr>
                <w:rFonts w:cs="Times New Roman"/>
                <w:sz w:val="20"/>
                <w:szCs w:val="20"/>
                <w:vertAlign w:val="subscript"/>
              </w:rPr>
              <w:t>skin</w:t>
            </w:r>
          </w:p>
        </w:tc>
        <w:tc>
          <w:tcPr>
            <w:tcW w:w="2872" w:type="dxa"/>
          </w:tcPr>
          <w:p w14:paraId="45D66BAC" w14:textId="77777777" w:rsidR="0000592E" w:rsidRPr="004C0241" w:rsidRDefault="0000592E" w:rsidP="002B0E80">
            <w:pPr>
              <w:spacing w:line="360" w:lineRule="auto"/>
              <w:rPr>
                <w:rFonts w:cs="Times New Roman"/>
                <w:sz w:val="20"/>
                <w:szCs w:val="20"/>
              </w:rPr>
            </w:pPr>
            <w:r w:rsidRPr="004C0241">
              <w:rPr>
                <w:rFonts w:cs="Times New Roman"/>
                <w:sz w:val="20"/>
                <w:szCs w:val="20"/>
              </w:rPr>
              <w:t>Area of Skin (cm</w:t>
            </w:r>
            <w:r w:rsidRPr="004C0241">
              <w:rPr>
                <w:rFonts w:cs="Times New Roman"/>
                <w:sz w:val="20"/>
                <w:szCs w:val="20"/>
                <w:vertAlign w:val="superscript"/>
              </w:rPr>
              <w:t>2</w:t>
            </w:r>
            <w:r w:rsidRPr="004C0241">
              <w:rPr>
                <w:rFonts w:cs="Times New Roman"/>
                <w:sz w:val="20"/>
                <w:szCs w:val="20"/>
              </w:rPr>
              <w:t>)</w:t>
            </w:r>
          </w:p>
        </w:tc>
        <w:tc>
          <w:tcPr>
            <w:tcW w:w="1426" w:type="dxa"/>
          </w:tcPr>
          <w:p w14:paraId="4DED6C84" w14:textId="77777777" w:rsidR="0000592E" w:rsidRPr="004C0241" w:rsidRDefault="0000592E" w:rsidP="002B0E80">
            <w:pPr>
              <w:spacing w:line="360" w:lineRule="auto"/>
              <w:rPr>
                <w:rFonts w:cs="Times New Roman"/>
                <w:sz w:val="20"/>
                <w:szCs w:val="20"/>
              </w:rPr>
            </w:pPr>
            <w:r w:rsidRPr="004C0241">
              <w:rPr>
                <w:rFonts w:cs="Times New Roman"/>
                <w:sz w:val="20"/>
                <w:szCs w:val="20"/>
              </w:rPr>
              <w:t>2800</w:t>
            </w:r>
          </w:p>
        </w:tc>
        <w:tc>
          <w:tcPr>
            <w:tcW w:w="0" w:type="auto"/>
          </w:tcPr>
          <w:p w14:paraId="2868E549" w14:textId="77777777" w:rsidR="0000592E" w:rsidRPr="004C0241" w:rsidRDefault="0000592E" w:rsidP="002B0E80">
            <w:pPr>
              <w:spacing w:line="360" w:lineRule="auto"/>
              <w:rPr>
                <w:rFonts w:cs="Times New Roman"/>
                <w:sz w:val="20"/>
                <w:szCs w:val="20"/>
              </w:rPr>
            </w:pPr>
            <w:r w:rsidRPr="004C0241">
              <w:rPr>
                <w:rFonts w:cs="Times New Roman"/>
                <w:sz w:val="20"/>
                <w:szCs w:val="20"/>
              </w:rPr>
              <w:t>5700</w:t>
            </w:r>
          </w:p>
        </w:tc>
        <w:tc>
          <w:tcPr>
            <w:tcW w:w="0" w:type="auto"/>
          </w:tcPr>
          <w:p w14:paraId="5B30F97C"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{"citationItems":[{"id":"ITEM-1","itemData":{"DOI":"10.1016/j.ecoenv.2020.110617","ISSN":"10902414","PMID":"32320900","abstract":"In order to investigate pollution level, chemical speciation and health risk of exposure to heavy metals in street dust from smelting district, we carried the following studies: (a). the differences in the morphology of street dust in smelting and non-smelting districts using a scanning electron microscope; (b). the chemical speciation and bioavailability of heavy metals in &lt;100 μm and &lt;63 μm particles near a smelting district using a modified three-stage BCR sequential extraction procedure and in vitro digestion test, respectively; (c). the evaluation of the non-carcinogenic risk of children and adults exposure to dust based on bioaccessibility. The results showed that most of the dust particles near Huludao Zinc Plant (HZP) were relatively solid with less porosity, which might originate from incompletely burned mineral particles from the smelting process. The concentrations of Pb, Cd and Cu were much higher than the background levels: 1560, 178.5 and 917.9 mg kg−1 in &lt;100 μm dust samples, and 2099, 198.4, 1038 mg kg−1 in &lt;63 μm dust samples, respectively. Pb was mostly present in the reducible fraction and the acid exchangeable fraction, while Cd and Cu were the most common heavy metals in the acid exchangeable fraction and oxidizable fraction, respectively. The rank order of bioaccessibility for the gastric and intestinal phase was Cd (58.13%) &gt; Pb (50.00%) &gt; Cu (19.19%) and Cd (20.36%) &gt; Cu (15.67%) &gt; Pb (5.08%), respectively. Hand-to-mouth ingestion poses the greatest non-carcinogenic exposure risk compared with other exposure pathways. When bioavailability is taken into account, children experienced higher non-carcinogenic and carcinogenic risks of dust exposure compared with adults, and the &lt;63 μm particles posed greater risks than &lt;100 μm particles.","author":[{"dropping-particle":"","family":"Zheng","given":"Na","non-dropping-particle":"","parse-names":false,"suffix":""},{"dropping-particle":"","family":"Hou","given":"Shengnan","non-dropping-particle":"","parse-names":false,"suffix":""},{"dropping-particle":"","family":"Wang","given":"Sujing","non-dropping-particle":"","parse-names":false,"suffix":""},{"dropping-particle":"","family":"Sun","given":"Siyu","non-dropping-particle":"","parse-names":false,"suffix":""},{"dropping-particle":"","family":"An","given":"Qirui","non-dropping-particle":"","parse-names":false,"suffix":""},{"dropping-particle":"","family":"Li","given":"Pengyang","non-dropping-particle":"","parse-names":false,"suffix":""},{"dropping-particle":"","family":"Li","given":"Xiaoqian","non-dropping-particle":"","parse-names":false,"suffix":""}],"container-title":"Ecotoxicology and Environmental Safety","id":"ITEM-1","issued":{"date-parts":[["2020"]]},"title":"Health risk assessment of heavy metals in street dust around a zinc smelting plant in China based on bioavailability and bioaccessibility","type":"article-journal","volume":"197"},"uris":["http://www.mendeley.com/documents/?uuid=2b895277-3679-41ea-8a03-2bcdbdf86734"]}],"mendeley":{"formattedCitation":"(Zheng et al., 2020b)","manualFormatting":"(Zheng et al., 2020)","plainTextFormattedCitation":"(Zheng et al., 2020b)","previouslyFormattedCitation":"(Zheng et al., 2020b)"},"properties":{"noteIndex":0},"schema":"https://github.com/citation-style-language/schema/raw/master/csl-citation.json"}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(Zheng et al., 2020)</w:t>
            </w:r>
            <w:r w:rsidRPr="004C0241">
              <w:rPr>
                <w:rFonts w:cs="Times New Roman"/>
                <w:sz w:val="20"/>
                <w:szCs w:val="20"/>
              </w:rPr>
              <w:fldChar w:fldCharType="end"/>
            </w:r>
          </w:p>
        </w:tc>
      </w:tr>
      <w:tr w:rsidR="004C0241" w:rsidRPr="004C0241" w14:paraId="4241D3EF" w14:textId="77777777" w:rsidTr="002B0E80">
        <w:tc>
          <w:tcPr>
            <w:tcW w:w="0" w:type="auto"/>
          </w:tcPr>
          <w:p w14:paraId="29A07CD8"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T</w:t>
            </w:r>
            <w:r w:rsidRPr="004C0241">
              <w:rPr>
                <w:rFonts w:cs="Times New Roman"/>
                <w:sz w:val="20"/>
                <w:szCs w:val="20"/>
                <w:vertAlign w:val="subscript"/>
              </w:rPr>
              <w:t>avg</w:t>
            </w:r>
            <w:proofErr w:type="spellEnd"/>
          </w:p>
        </w:tc>
        <w:tc>
          <w:tcPr>
            <w:tcW w:w="2872" w:type="dxa"/>
          </w:tcPr>
          <w:p w14:paraId="0CE22F55" w14:textId="77777777" w:rsidR="0000592E" w:rsidRPr="004C0241" w:rsidRDefault="0000592E" w:rsidP="002B0E80">
            <w:pPr>
              <w:spacing w:line="360" w:lineRule="auto"/>
              <w:rPr>
                <w:rFonts w:cs="Times New Roman"/>
                <w:sz w:val="20"/>
                <w:szCs w:val="20"/>
              </w:rPr>
            </w:pPr>
            <w:r w:rsidRPr="004C0241">
              <w:rPr>
                <w:rFonts w:cs="Times New Roman"/>
                <w:sz w:val="20"/>
                <w:szCs w:val="20"/>
              </w:rPr>
              <w:t>Average duration of non-carcinogens</w:t>
            </w:r>
          </w:p>
        </w:tc>
        <w:tc>
          <w:tcPr>
            <w:tcW w:w="1426" w:type="dxa"/>
          </w:tcPr>
          <w:p w14:paraId="5C3E8C15"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Texp</w:t>
            </w:r>
            <w:proofErr w:type="spellEnd"/>
            <w:r w:rsidRPr="004C0241">
              <w:rPr>
                <w:rFonts w:cs="Times New Roman"/>
                <w:sz w:val="20"/>
                <w:szCs w:val="20"/>
              </w:rPr>
              <w:t>*365=2190</w:t>
            </w:r>
          </w:p>
        </w:tc>
        <w:tc>
          <w:tcPr>
            <w:tcW w:w="0" w:type="auto"/>
          </w:tcPr>
          <w:p w14:paraId="6690ECA9" w14:textId="77777777" w:rsidR="0000592E" w:rsidRPr="004C0241" w:rsidRDefault="0000592E" w:rsidP="002B0E80">
            <w:pPr>
              <w:spacing w:line="360" w:lineRule="auto"/>
              <w:rPr>
                <w:rFonts w:cs="Times New Roman"/>
                <w:sz w:val="20"/>
                <w:szCs w:val="20"/>
              </w:rPr>
            </w:pPr>
            <w:proofErr w:type="spellStart"/>
            <w:r w:rsidRPr="004C0241">
              <w:rPr>
                <w:rFonts w:cs="Times New Roman"/>
                <w:sz w:val="20"/>
                <w:szCs w:val="20"/>
              </w:rPr>
              <w:t>Texp</w:t>
            </w:r>
            <w:proofErr w:type="spellEnd"/>
            <w:r w:rsidRPr="004C0241">
              <w:rPr>
                <w:rFonts w:cs="Times New Roman"/>
                <w:sz w:val="20"/>
                <w:szCs w:val="20"/>
              </w:rPr>
              <w:t>*365=8760</w:t>
            </w:r>
          </w:p>
        </w:tc>
        <w:tc>
          <w:tcPr>
            <w:tcW w:w="0" w:type="auto"/>
          </w:tcPr>
          <w:p w14:paraId="60D40E9F"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{"citationItems":[{"id":"ITEM-1","itemData":{"DOI":"10.1007/s10653-020-00785-y","ISBN":"0123456789","ISSN":"15732983","PMID":"33389370","abstract":"Dust samples were collected from roads of five distinct types of land use zones (National Highway, residential areas, sensitive areas, mining areas, and busy traffic areas) of Dhanbad to determine the pollution characteristics, health risk, and identifying the source of trace elements. The dust samples were segregated into ≤ 60 µm and trace elements like Cd, Cr, Cu, Fe, Mn, Ni, Pb, and Zn were analysed. Concentrations of Cd, Cr, Cu, Fe, and Mn were observed highest in the mining areas, whereas Ni, Pb, and Zn presented higher concentration values at National Highway and busy traffic zones. Cd showed highest geo-accumulation index (Igeo), contamination factor (Cf), and ecological risk (ER) among all the trace elements. The health risk assessment model was performed to assess the health effects of carcinogenic and non-carcinogenic pollutants caused due to multi-elemental exposure on adults and children. The significantly higher HQ (Hazard Quotient) and HI (Hazard Index) values posed by Cr, Fe, and Mn indicated potential non-carcinogenic risks to the people of Dhanbad. Similarly, values of CR (Cancer Risk) for Cd, Cr and Ni were within the range of 10–6–10–4, which indicated to cause carcinogenic risk to the population by the exposure of road dust. Principal Component Analysis (PCA) and Pearson correlation showed that coal mining activities in Jharia coalfield, coal-based industries like coke-oven plants, coal washeries and heavy vehicular load in the roads of Dhanbad were the major causes of emission of these trace elements. Graphic abstract: [Figure not available: see fulltext.]","author":[{"dropping-particle":"","family":"Mondal","given":"Shilpi","non-dropping-particle":"","parse-names":false,"suffix":""},{"dropping-particle":"","family":"Singh","given":"Gurdeep","non-dropping-particle":"","parse-names":false,"suffix":""}],"container-title":"Environmental Geochemistry and Health","id":"ITEM-1","issue":"5","issued":{"date-parts":[["2021"]]},"page":"2081-2103","publisher":"Springer Netherlands","title":"Pollution evaluation, human health effect and tracing source of trace elements on road dust of Dhanbad, a highly polluted industrial coal belt of India","type":"article-journal","volume":"43"},"uris":["http://www.mendeley.com/documents/?uuid=1c314299-3fbd-4c2b-9be3-d0f672d8a110"]}],"mendeley":{"formattedCitation":"(Mondal and Singh, 2021b)","plainTextFormattedCitation":"(Mondal and Singh, 2021b)","previouslyFormattedCitation":"(Mondal and Singh, 2021b)"},"properties":{"noteIndex":0},"schema":"https://github.com/citation-style-language/schema/raw/master/csl-citation.json"}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(Mondal and Singh, 2021b)</w:t>
            </w:r>
            <w:r w:rsidRPr="004C0241">
              <w:rPr>
                <w:rFonts w:cs="Times New Roman"/>
                <w:sz w:val="20"/>
                <w:szCs w:val="20"/>
              </w:rPr>
              <w:fldChar w:fldCharType="end"/>
            </w:r>
          </w:p>
        </w:tc>
      </w:tr>
      <w:tr w:rsidR="004C0241" w:rsidRPr="004C0241" w14:paraId="3D263429" w14:textId="77777777" w:rsidTr="002B0E80">
        <w:tc>
          <w:tcPr>
            <w:tcW w:w="0" w:type="auto"/>
          </w:tcPr>
          <w:p w14:paraId="726C606C" w14:textId="77777777" w:rsidR="0000592E" w:rsidRPr="004C0241" w:rsidRDefault="0000592E" w:rsidP="002B0E80">
            <w:pPr>
              <w:spacing w:line="360" w:lineRule="auto"/>
              <w:rPr>
                <w:rFonts w:cs="Times New Roman"/>
                <w:sz w:val="20"/>
                <w:szCs w:val="20"/>
              </w:rPr>
            </w:pPr>
            <w:r w:rsidRPr="004C0241">
              <w:rPr>
                <w:rFonts w:cs="Times New Roman"/>
                <w:sz w:val="20"/>
                <w:szCs w:val="20"/>
              </w:rPr>
              <w:t>ABW</w:t>
            </w:r>
          </w:p>
        </w:tc>
        <w:tc>
          <w:tcPr>
            <w:tcW w:w="2872" w:type="dxa"/>
          </w:tcPr>
          <w:p w14:paraId="42BBFEF4" w14:textId="77777777" w:rsidR="0000592E" w:rsidRPr="004C0241" w:rsidRDefault="0000592E" w:rsidP="002B0E80">
            <w:pPr>
              <w:spacing w:line="360" w:lineRule="auto"/>
              <w:rPr>
                <w:rFonts w:cs="Times New Roman"/>
                <w:sz w:val="20"/>
                <w:szCs w:val="20"/>
              </w:rPr>
            </w:pPr>
            <w:r w:rsidRPr="004C0241">
              <w:rPr>
                <w:rFonts w:cs="Times New Roman"/>
                <w:sz w:val="20"/>
                <w:szCs w:val="20"/>
              </w:rPr>
              <w:t>Average body weight (kg)</w:t>
            </w:r>
          </w:p>
        </w:tc>
        <w:tc>
          <w:tcPr>
            <w:tcW w:w="1426" w:type="dxa"/>
          </w:tcPr>
          <w:p w14:paraId="4130A9E3" w14:textId="77777777" w:rsidR="0000592E" w:rsidRPr="004C0241" w:rsidRDefault="0000592E" w:rsidP="002B0E80">
            <w:pPr>
              <w:spacing w:line="360" w:lineRule="auto"/>
              <w:rPr>
                <w:rFonts w:cs="Times New Roman"/>
                <w:sz w:val="20"/>
                <w:szCs w:val="20"/>
              </w:rPr>
            </w:pPr>
            <w:r w:rsidRPr="004C0241">
              <w:rPr>
                <w:rFonts w:cs="Times New Roman"/>
                <w:sz w:val="20"/>
                <w:szCs w:val="20"/>
              </w:rPr>
              <w:t>18</w:t>
            </w:r>
          </w:p>
        </w:tc>
        <w:tc>
          <w:tcPr>
            <w:tcW w:w="0" w:type="auto"/>
          </w:tcPr>
          <w:p w14:paraId="02F23BBD" w14:textId="77777777" w:rsidR="0000592E" w:rsidRPr="004C0241" w:rsidRDefault="0000592E" w:rsidP="002B0E80">
            <w:pPr>
              <w:spacing w:line="360" w:lineRule="auto"/>
              <w:rPr>
                <w:rFonts w:cs="Times New Roman"/>
                <w:sz w:val="20"/>
                <w:szCs w:val="20"/>
              </w:rPr>
            </w:pPr>
            <w:r w:rsidRPr="004C0241">
              <w:rPr>
                <w:rFonts w:cs="Times New Roman"/>
                <w:sz w:val="20"/>
                <w:szCs w:val="20"/>
              </w:rPr>
              <w:t>60</w:t>
            </w:r>
          </w:p>
        </w:tc>
        <w:tc>
          <w:tcPr>
            <w:tcW w:w="0" w:type="auto"/>
          </w:tcPr>
          <w:p w14:paraId="21EA8612"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{"citationItems":[{"id":"ITEM-1","itemData":{"author":[{"dropping-particle":"","family":"ICMR","given":"","non-dropping-particle":"","parse-names":false,"suffix":""}],"id":"ITEM-1","issued":{"date-parts":[["2009"]]},"title":"Nutrient Requirements and Recommended Dietary Allowances for Indians. Hyderabad: National Institute of Nutrition; 1990. Indian Council of Medical Research; p. 126","type":"article-journal"},"uris":["http://www.mendeley.com/documents/?uuid=5bf60840-9ea2-4965-88fe-1b3092eab2bb","http://www.mendeley.com/documents/?uuid=280fd06b-606a-4b5f-bc7b-7bc2697bb234"]}],"mendeley":{"formattedCitation":"(ICMR, 2009)","plainTextFormattedCitation":"(ICMR, 2009)","previouslyFormattedCitation":"(ICMR, 2009)"},"properties":{"noteIndex":0},"schema":"https://github.com/citation-style-language/schema/raw/master/csl-citation.json"}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(ICMR, 2009)</w:t>
            </w:r>
            <w:r w:rsidRPr="004C0241">
              <w:rPr>
                <w:rFonts w:cs="Times New Roman"/>
                <w:sz w:val="20"/>
                <w:szCs w:val="20"/>
              </w:rPr>
              <w:fldChar w:fldCharType="end"/>
            </w:r>
          </w:p>
        </w:tc>
      </w:tr>
      <w:tr w:rsidR="0000592E" w:rsidRPr="004C0241" w14:paraId="4296CB61" w14:textId="77777777" w:rsidTr="002B0E80">
        <w:tc>
          <w:tcPr>
            <w:tcW w:w="0" w:type="auto"/>
          </w:tcPr>
          <w:p w14:paraId="7DABEEA5" w14:textId="77777777" w:rsidR="0000592E" w:rsidRPr="004C0241" w:rsidRDefault="0000592E" w:rsidP="002B0E80">
            <w:pPr>
              <w:spacing w:line="360" w:lineRule="auto"/>
              <w:rPr>
                <w:rFonts w:cs="Times New Roman"/>
                <w:sz w:val="20"/>
                <w:szCs w:val="20"/>
              </w:rPr>
            </w:pPr>
            <w:r w:rsidRPr="004C0241">
              <w:rPr>
                <w:rFonts w:cs="Times New Roman"/>
                <w:sz w:val="20"/>
                <w:szCs w:val="20"/>
              </w:rPr>
              <w:t>PEF</w:t>
            </w:r>
          </w:p>
        </w:tc>
        <w:tc>
          <w:tcPr>
            <w:tcW w:w="2872" w:type="dxa"/>
          </w:tcPr>
          <w:p w14:paraId="47EF2368" w14:textId="77777777" w:rsidR="0000592E" w:rsidRPr="004C0241" w:rsidRDefault="0000592E" w:rsidP="002B0E80">
            <w:pPr>
              <w:spacing w:line="360" w:lineRule="auto"/>
              <w:rPr>
                <w:rFonts w:cs="Times New Roman"/>
                <w:sz w:val="20"/>
                <w:szCs w:val="20"/>
              </w:rPr>
            </w:pPr>
            <w:r w:rsidRPr="004C0241">
              <w:rPr>
                <w:rFonts w:cs="Times New Roman"/>
                <w:sz w:val="20"/>
                <w:szCs w:val="20"/>
              </w:rPr>
              <w:t>Particle emission factor (m</w:t>
            </w:r>
            <w:r w:rsidRPr="004C0241">
              <w:rPr>
                <w:rFonts w:cs="Times New Roman"/>
                <w:sz w:val="20"/>
                <w:szCs w:val="20"/>
                <w:vertAlign w:val="superscript"/>
              </w:rPr>
              <w:t>3</w:t>
            </w:r>
            <w:r w:rsidRPr="004C0241">
              <w:rPr>
                <w:rFonts w:cs="Times New Roman"/>
                <w:sz w:val="20"/>
                <w:szCs w:val="20"/>
              </w:rPr>
              <w:t xml:space="preserve"> kg</w:t>
            </w:r>
            <w:r w:rsidRPr="004C0241">
              <w:rPr>
                <w:rFonts w:cs="Times New Roman"/>
                <w:sz w:val="20"/>
                <w:szCs w:val="20"/>
                <w:vertAlign w:val="superscript"/>
              </w:rPr>
              <w:t>-1</w:t>
            </w:r>
            <w:r w:rsidRPr="004C0241">
              <w:rPr>
                <w:rFonts w:cs="Times New Roman"/>
                <w:sz w:val="20"/>
                <w:szCs w:val="20"/>
              </w:rPr>
              <w:t>)</w:t>
            </w:r>
          </w:p>
        </w:tc>
        <w:tc>
          <w:tcPr>
            <w:tcW w:w="1426" w:type="dxa"/>
          </w:tcPr>
          <w:p w14:paraId="3C2E232D" w14:textId="77777777" w:rsidR="0000592E" w:rsidRPr="004C0241" w:rsidRDefault="0000592E" w:rsidP="002B0E80">
            <w:pPr>
              <w:spacing w:line="360" w:lineRule="auto"/>
              <w:rPr>
                <w:rFonts w:cs="Times New Roman"/>
                <w:sz w:val="20"/>
                <w:szCs w:val="20"/>
              </w:rPr>
            </w:pPr>
            <w:r w:rsidRPr="004C0241">
              <w:rPr>
                <w:rFonts w:cs="Times New Roman"/>
                <w:sz w:val="20"/>
                <w:szCs w:val="20"/>
              </w:rPr>
              <w:t>1.36*10</w:t>
            </w:r>
            <w:r w:rsidRPr="004C0241">
              <w:rPr>
                <w:rFonts w:cs="Times New Roman"/>
                <w:sz w:val="20"/>
                <w:szCs w:val="20"/>
                <w:vertAlign w:val="superscript"/>
              </w:rPr>
              <w:t>9</w:t>
            </w:r>
          </w:p>
        </w:tc>
        <w:tc>
          <w:tcPr>
            <w:tcW w:w="0" w:type="auto"/>
          </w:tcPr>
          <w:p w14:paraId="51083962" w14:textId="77777777" w:rsidR="0000592E" w:rsidRPr="004C0241" w:rsidRDefault="0000592E" w:rsidP="002B0E80">
            <w:pPr>
              <w:spacing w:line="360" w:lineRule="auto"/>
              <w:rPr>
                <w:rFonts w:cs="Times New Roman"/>
                <w:sz w:val="20"/>
                <w:szCs w:val="20"/>
              </w:rPr>
            </w:pPr>
            <w:r w:rsidRPr="004C0241">
              <w:rPr>
                <w:rFonts w:cs="Times New Roman"/>
                <w:sz w:val="20"/>
                <w:szCs w:val="20"/>
              </w:rPr>
              <w:t>1.36 *10</w:t>
            </w:r>
            <w:r w:rsidRPr="004C0241">
              <w:rPr>
                <w:rFonts w:cs="Times New Roman"/>
                <w:sz w:val="20"/>
                <w:szCs w:val="20"/>
                <w:vertAlign w:val="superscript"/>
              </w:rPr>
              <w:t>9</w:t>
            </w:r>
          </w:p>
        </w:tc>
        <w:tc>
          <w:tcPr>
            <w:tcW w:w="0" w:type="auto"/>
          </w:tcPr>
          <w:p w14:paraId="438E3BBE" w14:textId="77777777" w:rsidR="0000592E" w:rsidRPr="004C0241" w:rsidRDefault="0000592E" w:rsidP="002B0E80">
            <w:pPr>
              <w:spacing w:line="360" w:lineRule="auto"/>
              <w:rPr>
                <w:rFonts w:cs="Times New Roman"/>
                <w:sz w:val="20"/>
                <w:szCs w:val="20"/>
              </w:rPr>
            </w:pPr>
            <w:r w:rsidRPr="004C0241">
              <w:rPr>
                <w:rFonts w:cs="Times New Roman"/>
                <w:sz w:val="20"/>
                <w:szCs w:val="20"/>
              </w:rPr>
              <w:fldChar w:fldCharType="begin" w:fldLock="1"/>
            </w:r>
            <w:r w:rsidRPr="004C0241">
              <w:rPr>
                <w:rFonts w:cs="Times New Roman"/>
                <w:sz w:val="20"/>
                <w:szCs w:val="20"/>
              </w:rPr>
              <w:instrText>ADDIN CSL_CITATION {"citationItems":[{"id":"ITEM-1","itemData":{"author":[{"dropping-particle":"","family":"USEPA","given":"","non-dropping-particle":"","parse-names":false,"suffix":""}],"id":"ITEM-1","issued":{"date-parts":[["2001"]]},"title":"Child-Specic Exposure Factors Handbook. National Center for Environmental Assessmen","type":"book"},"uris":["http://www.mendeley.com/documents/?uuid=30d69576-d7c2-4ee1-8881-bfcdfd2d7c0c","http://www.mendeley.com/documents/?uuid=bd397907-0d97-4266-9a43-3638fa896bd6"]}],"mendeley":{"formattedCitation":"(USEPA, 2001)","plainTextFormattedCitation":"(USEPA, 2001)","previouslyFormattedCitation":"(USEPA, 2001)"},"properties":{"noteIndex":0},"schema":"https://github.com/citation-style-language/schema/raw/master/csl-citation.json"}</w:instrText>
            </w:r>
            <w:r w:rsidRPr="004C0241">
              <w:rPr>
                <w:rFonts w:cs="Times New Roman"/>
                <w:sz w:val="20"/>
                <w:szCs w:val="20"/>
              </w:rPr>
              <w:fldChar w:fldCharType="separate"/>
            </w:r>
            <w:r w:rsidRPr="004C0241">
              <w:rPr>
                <w:rFonts w:cs="Times New Roman"/>
                <w:noProof/>
                <w:sz w:val="20"/>
                <w:szCs w:val="20"/>
              </w:rPr>
              <w:t>(USEPA, 2001)</w:t>
            </w:r>
            <w:r w:rsidRPr="004C0241">
              <w:rPr>
                <w:rFonts w:cs="Times New Roman"/>
                <w:sz w:val="20"/>
                <w:szCs w:val="20"/>
              </w:rPr>
              <w:fldChar w:fldCharType="end"/>
            </w:r>
          </w:p>
        </w:tc>
      </w:tr>
    </w:tbl>
    <w:p w14:paraId="2E051C89" w14:textId="77777777" w:rsidR="0000592E" w:rsidRPr="004C0241" w:rsidRDefault="0000592E" w:rsidP="0000592E">
      <w:pPr>
        <w:spacing w:line="360" w:lineRule="auto"/>
        <w:jc w:val="both"/>
        <w:rPr>
          <w:rFonts w:cs="Times New Roman"/>
          <w:b/>
          <w:bCs/>
          <w:szCs w:val="24"/>
        </w:rPr>
      </w:pPr>
    </w:p>
    <w:p w14:paraId="68B22AAF" w14:textId="77777777" w:rsidR="004C0241" w:rsidRDefault="004C0241" w:rsidP="0000592E">
      <w:pPr>
        <w:spacing w:line="360" w:lineRule="auto"/>
        <w:jc w:val="both"/>
        <w:rPr>
          <w:rFonts w:cs="Times New Roman"/>
          <w:b/>
          <w:bCs/>
          <w:szCs w:val="24"/>
        </w:rPr>
      </w:pPr>
    </w:p>
    <w:p w14:paraId="5BA8EB47" w14:textId="77777777" w:rsidR="004C0241" w:rsidRDefault="004C0241" w:rsidP="0000592E">
      <w:pPr>
        <w:spacing w:line="360" w:lineRule="auto"/>
        <w:jc w:val="both"/>
        <w:rPr>
          <w:rFonts w:cs="Times New Roman"/>
          <w:b/>
          <w:bCs/>
          <w:szCs w:val="24"/>
        </w:rPr>
      </w:pPr>
    </w:p>
    <w:p w14:paraId="7269385D" w14:textId="77777777" w:rsidR="004C0241" w:rsidRDefault="004C0241" w:rsidP="0000592E">
      <w:pPr>
        <w:spacing w:line="360" w:lineRule="auto"/>
        <w:jc w:val="both"/>
        <w:rPr>
          <w:rFonts w:cs="Times New Roman"/>
          <w:b/>
          <w:bCs/>
          <w:szCs w:val="24"/>
        </w:rPr>
      </w:pPr>
    </w:p>
    <w:p w14:paraId="3DC98DE6" w14:textId="77777777" w:rsidR="004C0241" w:rsidRDefault="004C0241" w:rsidP="0000592E">
      <w:pPr>
        <w:spacing w:line="360" w:lineRule="auto"/>
        <w:jc w:val="both"/>
        <w:rPr>
          <w:rFonts w:cs="Times New Roman"/>
          <w:b/>
          <w:bCs/>
          <w:szCs w:val="24"/>
        </w:rPr>
      </w:pPr>
    </w:p>
    <w:p w14:paraId="05BC2A15" w14:textId="77777777" w:rsidR="004C0241" w:rsidRDefault="004C0241" w:rsidP="0000592E">
      <w:pPr>
        <w:spacing w:line="360" w:lineRule="auto"/>
        <w:jc w:val="both"/>
        <w:rPr>
          <w:rFonts w:cs="Times New Roman"/>
          <w:b/>
          <w:bCs/>
          <w:szCs w:val="24"/>
        </w:rPr>
      </w:pPr>
    </w:p>
    <w:p w14:paraId="0A8B7AB6" w14:textId="77777777" w:rsidR="004C0241" w:rsidRDefault="004C0241" w:rsidP="0000592E">
      <w:pPr>
        <w:spacing w:line="360" w:lineRule="auto"/>
        <w:jc w:val="both"/>
        <w:rPr>
          <w:rFonts w:cs="Times New Roman"/>
          <w:b/>
          <w:bCs/>
          <w:szCs w:val="24"/>
        </w:rPr>
      </w:pPr>
    </w:p>
    <w:p w14:paraId="2D1464D3" w14:textId="77777777" w:rsidR="004C0241" w:rsidRDefault="004C0241" w:rsidP="0000592E">
      <w:pPr>
        <w:spacing w:line="360" w:lineRule="auto"/>
        <w:jc w:val="both"/>
        <w:rPr>
          <w:rFonts w:cs="Times New Roman"/>
          <w:b/>
          <w:bCs/>
          <w:szCs w:val="24"/>
        </w:rPr>
      </w:pPr>
    </w:p>
    <w:p w14:paraId="2161214B" w14:textId="77777777" w:rsidR="004C0241" w:rsidRDefault="004C0241" w:rsidP="0000592E">
      <w:pPr>
        <w:spacing w:line="360" w:lineRule="auto"/>
        <w:jc w:val="both"/>
        <w:rPr>
          <w:rFonts w:cs="Times New Roman"/>
          <w:b/>
          <w:bCs/>
          <w:szCs w:val="24"/>
        </w:rPr>
      </w:pPr>
    </w:p>
    <w:p w14:paraId="0EC68516" w14:textId="77777777" w:rsidR="004C0241" w:rsidRDefault="004C0241" w:rsidP="0000592E">
      <w:pPr>
        <w:spacing w:line="360" w:lineRule="auto"/>
        <w:jc w:val="both"/>
        <w:rPr>
          <w:rFonts w:cs="Times New Roman"/>
          <w:b/>
          <w:bCs/>
          <w:szCs w:val="24"/>
        </w:rPr>
      </w:pPr>
    </w:p>
    <w:p w14:paraId="15247483" w14:textId="26470CE5" w:rsidR="0000592E" w:rsidRPr="004C0241" w:rsidRDefault="0000592E" w:rsidP="0000592E">
      <w:pPr>
        <w:spacing w:line="360" w:lineRule="auto"/>
        <w:jc w:val="both"/>
        <w:rPr>
          <w:rFonts w:cs="Times New Roman"/>
          <w:b/>
          <w:bCs/>
          <w:szCs w:val="24"/>
        </w:rPr>
      </w:pPr>
      <w:r w:rsidRPr="004C0241">
        <w:rPr>
          <w:rFonts w:cs="Times New Roman"/>
          <w:b/>
          <w:bCs/>
          <w:szCs w:val="24"/>
        </w:rPr>
        <w:lastRenderedPageBreak/>
        <w:t xml:space="preserve">Speciation of HMs and Mobility Factors </w:t>
      </w:r>
    </w:p>
    <w:p w14:paraId="329676AB" w14:textId="77777777" w:rsidR="0000592E" w:rsidRPr="004C0241" w:rsidRDefault="0000592E" w:rsidP="0000592E">
      <w:pPr>
        <w:spacing w:line="360" w:lineRule="auto"/>
        <w:jc w:val="both"/>
        <w:rPr>
          <w:rFonts w:cs="Times New Roman"/>
          <w:b/>
          <w:bCs/>
          <w:szCs w:val="24"/>
        </w:rPr>
      </w:pPr>
      <w:r w:rsidRPr="004C0241">
        <w:rPr>
          <w:noProof/>
        </w:rPr>
        <w:drawing>
          <wp:inline distT="0" distB="0" distL="0" distR="0" wp14:anchorId="077AFAC4" wp14:editId="13F2F59E">
            <wp:extent cx="5731510" cy="5229322"/>
            <wp:effectExtent l="0" t="0" r="2540" b="9525"/>
            <wp:docPr id="1043612810" name="Picture 10" descr="A group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12810" name="Picture 10" descr="A group of different colored ba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5229322"/>
                    </a:xfrm>
                    <a:prstGeom prst="rect">
                      <a:avLst/>
                    </a:prstGeom>
                  </pic:spPr>
                </pic:pic>
              </a:graphicData>
            </a:graphic>
          </wp:inline>
        </w:drawing>
      </w:r>
    </w:p>
    <w:p w14:paraId="515356FC" w14:textId="77777777" w:rsidR="0000592E" w:rsidRPr="004C0241" w:rsidRDefault="0000592E" w:rsidP="0000592E">
      <w:pPr>
        <w:pStyle w:val="Caption"/>
        <w:spacing w:after="0"/>
        <w:jc w:val="center"/>
      </w:pPr>
      <w:r w:rsidRPr="004C0241">
        <w:t>Fig. S1: Sequential extraction of metals in street dust (a.) As, (b.) Cd, (c.) Co, (d.) Cr</w:t>
      </w:r>
    </w:p>
    <w:p w14:paraId="053CEBB9" w14:textId="77777777" w:rsidR="0000592E" w:rsidRPr="004C0241" w:rsidRDefault="0000592E" w:rsidP="0000592E">
      <w:pPr>
        <w:spacing w:line="360" w:lineRule="auto"/>
        <w:jc w:val="both"/>
        <w:rPr>
          <w:rFonts w:cs="Times New Roman"/>
          <w:b/>
          <w:bCs/>
          <w:szCs w:val="24"/>
        </w:rPr>
      </w:pPr>
    </w:p>
    <w:p w14:paraId="0D2BDA72" w14:textId="77777777" w:rsidR="0000592E" w:rsidRPr="004C0241" w:rsidRDefault="0000592E" w:rsidP="0000592E">
      <w:pPr>
        <w:spacing w:line="360" w:lineRule="auto"/>
        <w:jc w:val="both"/>
        <w:rPr>
          <w:rFonts w:cs="Times New Roman"/>
          <w:b/>
          <w:bCs/>
          <w:szCs w:val="24"/>
        </w:rPr>
      </w:pPr>
      <w:r w:rsidRPr="004C0241">
        <w:rPr>
          <w:noProof/>
        </w:rPr>
        <w:lastRenderedPageBreak/>
        <w:drawing>
          <wp:inline distT="0" distB="0" distL="0" distR="0" wp14:anchorId="6AC55BA7" wp14:editId="305A0AC8">
            <wp:extent cx="5731510" cy="5248275"/>
            <wp:effectExtent l="0" t="0" r="2540" b="9525"/>
            <wp:docPr id="217427957" name="Picture 11" descr="A group of graphs with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27957" name="Picture 11" descr="A group of graphs with different colors"/>
                    <pic:cNvPicPr/>
                  </pic:nvPicPr>
                  <pic:blipFill>
                    <a:blip r:embed="rId6">
                      <a:extLst>
                        <a:ext uri="{28A0092B-C50C-407E-A947-70E740481C1C}">
                          <a14:useLocalDpi xmlns:a14="http://schemas.microsoft.com/office/drawing/2010/main" val="0"/>
                        </a:ext>
                      </a:extLst>
                    </a:blip>
                    <a:stretch>
                      <a:fillRect/>
                    </a:stretch>
                  </pic:blipFill>
                  <pic:spPr>
                    <a:xfrm>
                      <a:off x="0" y="0"/>
                      <a:ext cx="5731510" cy="5248275"/>
                    </a:xfrm>
                    <a:prstGeom prst="rect">
                      <a:avLst/>
                    </a:prstGeom>
                  </pic:spPr>
                </pic:pic>
              </a:graphicData>
            </a:graphic>
          </wp:inline>
        </w:drawing>
      </w:r>
    </w:p>
    <w:p w14:paraId="666810C4" w14:textId="77777777" w:rsidR="0000592E" w:rsidRPr="004C0241" w:rsidRDefault="0000592E" w:rsidP="0000592E">
      <w:pPr>
        <w:pStyle w:val="Caption"/>
        <w:jc w:val="center"/>
        <w:rPr>
          <w:lang w:val="it-IT"/>
        </w:rPr>
      </w:pPr>
      <w:r w:rsidRPr="004C0241">
        <w:t xml:space="preserve">Fig. S2: Sequential extraction of metals in street dust (a.) </w:t>
      </w:r>
      <w:r w:rsidRPr="004C0241">
        <w:rPr>
          <w:lang w:val="it-IT"/>
        </w:rPr>
        <w:t>Cu, (b.) Fe, (c.) Mn, (d.) Mo</w:t>
      </w:r>
    </w:p>
    <w:p w14:paraId="415828BD" w14:textId="77777777" w:rsidR="0000592E" w:rsidRPr="004C0241" w:rsidRDefault="0000592E" w:rsidP="0000592E">
      <w:pPr>
        <w:spacing w:line="360" w:lineRule="auto"/>
        <w:jc w:val="both"/>
        <w:rPr>
          <w:rFonts w:cs="Times New Roman"/>
          <w:b/>
          <w:bCs/>
          <w:szCs w:val="24"/>
          <w:lang w:val="it-IT"/>
        </w:rPr>
      </w:pPr>
    </w:p>
    <w:p w14:paraId="6E1FA5F6" w14:textId="77777777" w:rsidR="0000592E" w:rsidRPr="004C0241" w:rsidRDefault="0000592E" w:rsidP="0000592E">
      <w:pPr>
        <w:spacing w:line="360" w:lineRule="auto"/>
        <w:jc w:val="both"/>
        <w:rPr>
          <w:rFonts w:cs="Times New Roman"/>
          <w:b/>
          <w:bCs/>
          <w:szCs w:val="24"/>
          <w:lang w:val="it-IT"/>
        </w:rPr>
      </w:pPr>
    </w:p>
    <w:p w14:paraId="4F2EBD43" w14:textId="77777777" w:rsidR="0000592E" w:rsidRPr="004C0241" w:rsidRDefault="0000592E" w:rsidP="0000592E">
      <w:pPr>
        <w:spacing w:line="360" w:lineRule="auto"/>
        <w:jc w:val="both"/>
        <w:rPr>
          <w:rFonts w:cs="Times New Roman"/>
          <w:b/>
          <w:bCs/>
          <w:szCs w:val="24"/>
        </w:rPr>
      </w:pPr>
      <w:r w:rsidRPr="004C0241">
        <w:rPr>
          <w:noProof/>
        </w:rPr>
        <w:lastRenderedPageBreak/>
        <w:drawing>
          <wp:inline distT="0" distB="0" distL="0" distR="0" wp14:anchorId="095C70E7" wp14:editId="3A640404">
            <wp:extent cx="4858627" cy="4057650"/>
            <wp:effectExtent l="0" t="0" r="0" b="0"/>
            <wp:docPr id="18360464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46493" name="Picture 1836046493"/>
                    <pic:cNvPicPr/>
                  </pic:nvPicPr>
                  <pic:blipFill>
                    <a:blip r:embed="rId7">
                      <a:extLst>
                        <a:ext uri="{28A0092B-C50C-407E-A947-70E740481C1C}">
                          <a14:useLocalDpi xmlns:a14="http://schemas.microsoft.com/office/drawing/2010/main" val="0"/>
                        </a:ext>
                      </a:extLst>
                    </a:blip>
                    <a:stretch>
                      <a:fillRect/>
                    </a:stretch>
                  </pic:blipFill>
                  <pic:spPr>
                    <a:xfrm>
                      <a:off x="0" y="0"/>
                      <a:ext cx="4858627" cy="4057650"/>
                    </a:xfrm>
                    <a:prstGeom prst="rect">
                      <a:avLst/>
                    </a:prstGeom>
                  </pic:spPr>
                </pic:pic>
              </a:graphicData>
            </a:graphic>
          </wp:inline>
        </w:drawing>
      </w:r>
    </w:p>
    <w:p w14:paraId="4F1F8696" w14:textId="77777777" w:rsidR="0000592E" w:rsidRPr="004C0241" w:rsidRDefault="0000592E" w:rsidP="0000592E">
      <w:pPr>
        <w:pStyle w:val="Caption"/>
        <w:jc w:val="center"/>
      </w:pPr>
      <w:r w:rsidRPr="004C0241">
        <w:t>Fig. S3: Sequential extraction of metals in street dust (a.) Ni, (b.) Pb, (c.) V, and (d.) Zn.</w:t>
      </w:r>
    </w:p>
    <w:p w14:paraId="18F947CA" w14:textId="77777777" w:rsidR="00D020E0" w:rsidRPr="004C0241" w:rsidRDefault="00D020E0"/>
    <w:sectPr w:rsidR="00D020E0" w:rsidRPr="004C0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1NDMyMjWxMLM0MDJR0lEKTi0uzszPAykwrAUAOOSgWCwAAAA="/>
  </w:docVars>
  <w:rsids>
    <w:rsidRoot w:val="00437BD6"/>
    <w:rsid w:val="0000592E"/>
    <w:rsid w:val="001740BE"/>
    <w:rsid w:val="00210BB3"/>
    <w:rsid w:val="00247FB1"/>
    <w:rsid w:val="002828FA"/>
    <w:rsid w:val="003D1342"/>
    <w:rsid w:val="003F7ED4"/>
    <w:rsid w:val="00435101"/>
    <w:rsid w:val="00437BD6"/>
    <w:rsid w:val="004550CC"/>
    <w:rsid w:val="004C0241"/>
    <w:rsid w:val="00505737"/>
    <w:rsid w:val="00506111"/>
    <w:rsid w:val="00535CBE"/>
    <w:rsid w:val="0076510A"/>
    <w:rsid w:val="007C6343"/>
    <w:rsid w:val="00872947"/>
    <w:rsid w:val="00A723BE"/>
    <w:rsid w:val="00CD19E6"/>
    <w:rsid w:val="00D020E0"/>
    <w:rsid w:val="00D9450F"/>
    <w:rsid w:val="00E250FB"/>
    <w:rsid w:val="00E522FF"/>
    <w:rsid w:val="00FA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57F2"/>
  <w15:chartTrackingRefBased/>
  <w15:docId w15:val="{A1A560E1-0876-4052-8994-A350AF02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92E"/>
    <w:rPr>
      <w:rFonts w:ascii="Times New Roman" w:hAnsi="Times New Roman"/>
      <w:sz w:val="24"/>
    </w:rPr>
  </w:style>
  <w:style w:type="paragraph" w:styleId="Heading1">
    <w:name w:val="heading 1"/>
    <w:basedOn w:val="Normal"/>
    <w:next w:val="Normal"/>
    <w:link w:val="Heading1Char"/>
    <w:uiPriority w:val="9"/>
    <w:qFormat/>
    <w:rsid w:val="00437BD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37BD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437BD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37BD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37BD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37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4550CC"/>
    <w:pPr>
      <w:spacing w:line="240" w:lineRule="auto"/>
    </w:pPr>
    <w:rPr>
      <w:b/>
      <w:bCs/>
      <w:kern w:val="0"/>
      <w:szCs w:val="18"/>
      <w14:ligatures w14:val="none"/>
    </w:rPr>
  </w:style>
  <w:style w:type="character" w:customStyle="1" w:styleId="Heading1Char">
    <w:name w:val="Heading 1 Char"/>
    <w:basedOn w:val="DefaultParagraphFont"/>
    <w:link w:val="Heading1"/>
    <w:uiPriority w:val="9"/>
    <w:rsid w:val="00437BD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437BD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37BD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37BD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37BD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37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BD6"/>
    <w:rPr>
      <w:rFonts w:eastAsiaTheme="majorEastAsia" w:cstheme="majorBidi"/>
      <w:color w:val="272727" w:themeColor="text1" w:themeTint="D8"/>
    </w:rPr>
  </w:style>
  <w:style w:type="paragraph" w:styleId="Title">
    <w:name w:val="Title"/>
    <w:basedOn w:val="Normal"/>
    <w:next w:val="Normal"/>
    <w:link w:val="TitleChar"/>
    <w:uiPriority w:val="10"/>
    <w:qFormat/>
    <w:rsid w:val="00437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B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B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7BD6"/>
    <w:rPr>
      <w:i/>
      <w:iCs/>
      <w:color w:val="404040" w:themeColor="text1" w:themeTint="BF"/>
    </w:rPr>
  </w:style>
  <w:style w:type="paragraph" w:styleId="ListParagraph">
    <w:name w:val="List Paragraph"/>
    <w:basedOn w:val="Normal"/>
    <w:uiPriority w:val="34"/>
    <w:qFormat/>
    <w:rsid w:val="00437BD6"/>
    <w:pPr>
      <w:ind w:left="720"/>
      <w:contextualSpacing/>
    </w:pPr>
  </w:style>
  <w:style w:type="character" w:styleId="IntenseEmphasis">
    <w:name w:val="Intense Emphasis"/>
    <w:basedOn w:val="DefaultParagraphFont"/>
    <w:uiPriority w:val="21"/>
    <w:qFormat/>
    <w:rsid w:val="00437BD6"/>
    <w:rPr>
      <w:i/>
      <w:iCs/>
      <w:color w:val="365F91" w:themeColor="accent1" w:themeShade="BF"/>
    </w:rPr>
  </w:style>
  <w:style w:type="paragraph" w:styleId="IntenseQuote">
    <w:name w:val="Intense Quote"/>
    <w:basedOn w:val="Normal"/>
    <w:next w:val="Normal"/>
    <w:link w:val="IntenseQuoteChar"/>
    <w:uiPriority w:val="30"/>
    <w:qFormat/>
    <w:rsid w:val="00437BD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37BD6"/>
    <w:rPr>
      <w:i/>
      <w:iCs/>
      <w:color w:val="365F91" w:themeColor="accent1" w:themeShade="BF"/>
    </w:rPr>
  </w:style>
  <w:style w:type="character" w:styleId="IntenseReference">
    <w:name w:val="Intense Reference"/>
    <w:basedOn w:val="DefaultParagraphFont"/>
    <w:uiPriority w:val="32"/>
    <w:qFormat/>
    <w:rsid w:val="00437BD6"/>
    <w:rPr>
      <w:b/>
      <w:bCs/>
      <w:smallCaps/>
      <w:color w:val="365F91" w:themeColor="accent1" w:themeShade="BF"/>
      <w:spacing w:val="5"/>
    </w:rPr>
  </w:style>
  <w:style w:type="table" w:styleId="TableGrid">
    <w:name w:val="Table Grid"/>
    <w:basedOn w:val="TableNormal"/>
    <w:uiPriority w:val="39"/>
    <w:rsid w:val="0000592E"/>
    <w:pPr>
      <w:spacing w:after="0" w:line="240" w:lineRule="auto"/>
    </w:pPr>
    <w:rPr>
      <w:kern w:val="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45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Relationship Id="rId5" Type="http://schemas.openxmlformats.org/officeDocument/2006/relationships/image" Target="media/image1.tif"/><Relationship Id="rId4" Type="http://schemas.openxmlformats.org/officeDocument/2006/relationships/hyperlink" Target="mailto:tbhattacharya@bitmesra.ac.i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14845</Words>
  <Characters>47210</Characters>
  <Application>Microsoft Office Word</Application>
  <DocSecurity>0</DocSecurity>
  <Lines>15736</Lines>
  <Paragraphs>15513</Paragraphs>
  <ScaleCrop>false</ScaleCrop>
  <Company/>
  <LinksUpToDate>false</LinksUpToDate>
  <CharactersWithSpaces>46542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k24044</dc:creator>
  <cp:keywords/>
  <dc:description/>
  <cp:lastModifiedBy>k24044</cp:lastModifiedBy>
  <cp:revision>6</cp:revision>
  <dcterms:created xsi:type="dcterms:W3CDTF">2026-02-02T14:30:00Z</dcterms:created>
  <dcterms:modified xsi:type="dcterms:W3CDTF">2026-03-03T16:53:00Z</dcterms:modified>
</cp:coreProperties>
</file>