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7E043" w14:textId="77777777" w:rsidR="000B0C37" w:rsidRPr="000B0C37" w:rsidRDefault="000B0C37" w:rsidP="000B0C37">
      <w:pPr>
        <w:rPr>
          <w:b/>
          <w:bCs/>
          <w:lang w:val="en"/>
        </w:rPr>
      </w:pPr>
      <w:r w:rsidRPr="000B0C37">
        <w:rPr>
          <w:b/>
          <w:bCs/>
          <w:lang w:val="en"/>
        </w:rPr>
        <w:t>SUPPLEMENTARY FIGURE LEGENDS</w:t>
      </w:r>
    </w:p>
    <w:p w14:paraId="192342E8" w14:textId="77777777" w:rsidR="000B0C37" w:rsidRPr="000B0C37" w:rsidRDefault="000B0C37" w:rsidP="000B0C37">
      <w:pPr>
        <w:rPr>
          <w:b/>
          <w:bCs/>
          <w:lang w:val="en"/>
        </w:rPr>
      </w:pPr>
      <w:bookmarkStart w:id="0" w:name="_5gc4d6v5hvrf"/>
      <w:bookmarkEnd w:id="0"/>
      <w:r w:rsidRPr="000B0C37">
        <w:rPr>
          <w:b/>
          <w:bCs/>
          <w:lang w:val="en"/>
        </w:rPr>
        <w:t>Supplementary Figure 1: Multi-Species Framework and Baseline Characterization of the Aging KG</w:t>
      </w:r>
    </w:p>
    <w:p w14:paraId="78CA8C94" w14:textId="77777777" w:rsidR="000B0C37" w:rsidRPr="000B0C37" w:rsidRDefault="000B0C37" w:rsidP="000B0C37">
      <w:pPr>
        <w:rPr>
          <w:lang w:val="en"/>
        </w:rPr>
      </w:pPr>
      <w:r w:rsidRPr="000B0C37">
        <w:rPr>
          <w:b/>
          <w:bCs/>
          <w:lang w:val="en"/>
        </w:rPr>
        <w:t>(a)</w:t>
      </w:r>
      <w:r w:rsidRPr="000B0C37">
        <w:rPr>
          <w:lang w:val="en"/>
        </w:rPr>
        <w:t xml:space="preserve"> Cumulative publication trends for aging research (1975-2023) by model organism (y-axis, log scale). </w:t>
      </w:r>
      <w:r w:rsidRPr="000B0C37">
        <w:rPr>
          <w:b/>
          <w:bCs/>
          <w:lang w:val="en"/>
        </w:rPr>
        <w:t>(b)</w:t>
      </w:r>
      <w:r w:rsidRPr="000B0C37">
        <w:rPr>
          <w:lang w:val="en"/>
        </w:rPr>
        <w:t xml:space="preserve"> Fitted Weibull survival curves comparing the lifespans of the six model organisms. The X-axis shows time in days (log scale). Shaded areas represent 95% CIs. </w:t>
      </w:r>
      <w:r w:rsidRPr="000B0C37">
        <w:rPr>
          <w:b/>
          <w:bCs/>
          <w:lang w:val="en"/>
        </w:rPr>
        <w:t>(c)</w:t>
      </w:r>
      <w:r w:rsidRPr="000B0C37">
        <w:rPr>
          <w:lang w:val="en"/>
        </w:rPr>
        <w:t xml:space="preserve"> The </w:t>
      </w:r>
      <w:proofErr w:type="spellStart"/>
      <w:r w:rsidRPr="000B0C37">
        <w:rPr>
          <w:lang w:val="en"/>
        </w:rPr>
        <w:t>EvoAge</w:t>
      </w:r>
      <w:proofErr w:type="spellEnd"/>
      <w:r w:rsidRPr="000B0C37">
        <w:rPr>
          <w:lang w:val="en"/>
        </w:rPr>
        <w:t xml:space="preserve">-KG schema, showing 15 node types and their inter-relationships. The index details the standard identifier (e.g., NCBI, </w:t>
      </w:r>
      <w:proofErr w:type="spellStart"/>
      <w:r w:rsidRPr="000B0C37">
        <w:rPr>
          <w:lang w:val="en"/>
        </w:rPr>
        <w:t>UniProt</w:t>
      </w:r>
      <w:proofErr w:type="spellEnd"/>
      <w:r w:rsidRPr="000B0C37">
        <w:rPr>
          <w:lang w:val="en"/>
        </w:rPr>
        <w:t xml:space="preserve">, DOID) used for the harmonization of each node type. </w:t>
      </w:r>
      <w:r w:rsidRPr="000B0C37">
        <w:rPr>
          <w:b/>
          <w:bCs/>
          <w:lang w:val="en"/>
        </w:rPr>
        <w:t>(d)</w:t>
      </w:r>
      <w:r w:rsidRPr="000B0C37">
        <w:rPr>
          <w:lang w:val="en"/>
        </w:rPr>
        <w:t xml:space="preserve"> Stacked bar chart of gene counts (log scale) for model organisms, showing the number of genes with ("ortho," solid) and without ("non-ortho," hatched) a mapped human ortholog. </w:t>
      </w:r>
      <w:r w:rsidRPr="000B0C37">
        <w:rPr>
          <w:b/>
          <w:bCs/>
          <w:lang w:val="en"/>
        </w:rPr>
        <w:t>(e)</w:t>
      </w:r>
      <w:r w:rsidRPr="000B0C37">
        <w:rPr>
          <w:lang w:val="en"/>
        </w:rPr>
        <w:t xml:space="preserve"> Bubble plot of absolute node counts for the 7 primary node types in the baseline 'Aging' KG. The area of a circle is proportional to the log10 count. </w:t>
      </w:r>
      <w:r w:rsidRPr="000B0C37">
        <w:rPr>
          <w:b/>
          <w:bCs/>
          <w:lang w:val="en"/>
        </w:rPr>
        <w:t>(f)</w:t>
      </w:r>
      <w:r w:rsidRPr="000B0C37">
        <w:rPr>
          <w:lang w:val="en"/>
        </w:rPr>
        <w:t xml:space="preserve"> Alluvial plot showing the distribution of nodes in the 'Aging' KG by species (left) and node type (right). </w:t>
      </w:r>
      <w:r w:rsidRPr="000B0C37">
        <w:rPr>
          <w:b/>
          <w:bCs/>
          <w:lang w:val="en"/>
        </w:rPr>
        <w:t>(g)</w:t>
      </w:r>
      <w:r w:rsidRPr="000B0C37">
        <w:rPr>
          <w:lang w:val="en"/>
        </w:rPr>
        <w:t xml:space="preserve"> Bar chart of absolute node counts for all 15 entity types in the final </w:t>
      </w:r>
      <w:proofErr w:type="spellStart"/>
      <w:r w:rsidRPr="000B0C37">
        <w:rPr>
          <w:lang w:val="en"/>
        </w:rPr>
        <w:t>EvoAge</w:t>
      </w:r>
      <w:proofErr w:type="spellEnd"/>
      <w:r w:rsidRPr="000B0C37">
        <w:rPr>
          <w:lang w:val="en"/>
        </w:rPr>
        <w:t xml:space="preserve">-KG (y-axis, log10 scale). </w:t>
      </w:r>
      <w:r w:rsidRPr="000B0C37">
        <w:rPr>
          <w:b/>
          <w:bCs/>
          <w:lang w:val="en"/>
        </w:rPr>
        <w:t>(h)</w:t>
      </w:r>
      <w:r w:rsidRPr="000B0C37">
        <w:rPr>
          <w:lang w:val="en"/>
        </w:rPr>
        <w:t xml:space="preserve"> Radar plot </w:t>
      </w:r>
      <w:proofErr w:type="gramStart"/>
      <w:r w:rsidRPr="000B0C37">
        <w:rPr>
          <w:lang w:val="en"/>
        </w:rPr>
        <w:t>illustrating</w:t>
      </w:r>
      <w:proofErr w:type="gramEnd"/>
      <w:r w:rsidRPr="000B0C37">
        <w:rPr>
          <w:lang w:val="en"/>
        </w:rPr>
        <w:t xml:space="preserve"> the node type distribution (log10 count) for each of the six model organisms in the final </w:t>
      </w:r>
      <w:proofErr w:type="spellStart"/>
      <w:r w:rsidRPr="000B0C37">
        <w:rPr>
          <w:lang w:val="en"/>
        </w:rPr>
        <w:t>EvoAge</w:t>
      </w:r>
      <w:proofErr w:type="spellEnd"/>
      <w:r w:rsidRPr="000B0C37">
        <w:rPr>
          <w:lang w:val="en"/>
        </w:rPr>
        <w:t>-KG.</w:t>
      </w:r>
    </w:p>
    <w:p w14:paraId="0D8002DA" w14:textId="77777777" w:rsidR="000B0C37" w:rsidRPr="000B0C37" w:rsidRDefault="000B0C37" w:rsidP="000B0C37">
      <w:pPr>
        <w:rPr>
          <w:b/>
          <w:bCs/>
          <w:lang w:val="en"/>
        </w:rPr>
      </w:pPr>
      <w:bookmarkStart w:id="1" w:name="_qnbrheusl1ap"/>
      <w:bookmarkEnd w:id="1"/>
      <w:r w:rsidRPr="000B0C37">
        <w:rPr>
          <w:b/>
          <w:bCs/>
          <w:lang w:val="en"/>
        </w:rPr>
        <w:t xml:space="preserve">Supplementary Figure 2. Data Source Specialization Creates Complementary Knowledge Networks. </w:t>
      </w:r>
    </w:p>
    <w:p w14:paraId="02FA2D0E" w14:textId="77777777" w:rsidR="000B0C37" w:rsidRPr="000B0C37" w:rsidRDefault="000B0C37" w:rsidP="000B0C37">
      <w:pPr>
        <w:rPr>
          <w:lang w:val="en"/>
        </w:rPr>
      </w:pPr>
      <w:r w:rsidRPr="000B0C37">
        <w:rPr>
          <w:b/>
          <w:bCs/>
          <w:lang w:val="en"/>
        </w:rPr>
        <w:t xml:space="preserve">(a) </w:t>
      </w:r>
      <w:proofErr w:type="spellStart"/>
      <w:r w:rsidRPr="000B0C37">
        <w:rPr>
          <w:lang w:val="en"/>
        </w:rPr>
        <w:t>EvoAge</w:t>
      </w:r>
      <w:proofErr w:type="spellEnd"/>
      <w:r w:rsidRPr="000B0C37">
        <w:rPr>
          <w:lang w:val="en"/>
        </w:rPr>
        <w:t xml:space="preserve">-KG heatmap shows specialized databases provide focused contributions. </w:t>
      </w:r>
      <w:r w:rsidRPr="000B0C37">
        <w:rPr>
          <w:b/>
          <w:bCs/>
          <w:lang w:val="en"/>
        </w:rPr>
        <w:t xml:space="preserve">(b) </w:t>
      </w:r>
      <w:r w:rsidRPr="000B0C37">
        <w:rPr>
          <w:lang w:val="en"/>
        </w:rPr>
        <w:t>Aging KG heatmap reveals sparse coverage of relation types. Notably, relation types are defined by their 'head' (bottom square) and 'tail' (top square) node types. Cell color intensity corresponds to the Log10 count of triples contributed by that source for that specific relation.</w:t>
      </w:r>
    </w:p>
    <w:p w14:paraId="529F2CFB" w14:textId="77777777" w:rsidR="000B0C37" w:rsidRPr="000B0C37" w:rsidRDefault="000B0C37" w:rsidP="000B0C37">
      <w:pPr>
        <w:rPr>
          <w:b/>
          <w:bCs/>
          <w:lang w:val="en"/>
        </w:rPr>
      </w:pPr>
      <w:bookmarkStart w:id="2" w:name="_eqhw78vb7eqh"/>
      <w:bookmarkEnd w:id="2"/>
      <w:r w:rsidRPr="000B0C37">
        <w:rPr>
          <w:b/>
          <w:bCs/>
          <w:lang w:val="en"/>
        </w:rPr>
        <w:t>Supplementary Figure 3. Model Organism Databases Anchor Species-Specific Knowledge</w:t>
      </w:r>
    </w:p>
    <w:p w14:paraId="3F8D6A2F" w14:textId="77777777" w:rsidR="000B0C37" w:rsidRPr="000B0C37" w:rsidRDefault="000B0C37" w:rsidP="000B0C37">
      <w:pPr>
        <w:rPr>
          <w:lang w:val="en"/>
        </w:rPr>
      </w:pPr>
      <w:r w:rsidRPr="000B0C37">
        <w:rPr>
          <w:b/>
          <w:bCs/>
          <w:lang w:val="en"/>
        </w:rPr>
        <w:t xml:space="preserve">(a-f) </w:t>
      </w:r>
      <w:r w:rsidRPr="000B0C37">
        <w:rPr>
          <w:lang w:val="en"/>
        </w:rPr>
        <w:t xml:space="preserve">Heatmaps </w:t>
      </w:r>
      <w:proofErr w:type="gramStart"/>
      <w:r w:rsidRPr="000B0C37">
        <w:rPr>
          <w:lang w:val="en"/>
        </w:rPr>
        <w:t>illustrating</w:t>
      </w:r>
      <w:proofErr w:type="gramEnd"/>
      <w:r w:rsidRPr="000B0C37">
        <w:rPr>
          <w:lang w:val="en"/>
        </w:rPr>
        <w:t xml:space="preserve"> data source contributions for each of the six model organisms. Each panel corresponds to a species: </w:t>
      </w:r>
      <w:r w:rsidRPr="000B0C37">
        <w:rPr>
          <w:i/>
          <w:iCs/>
          <w:lang w:val="en"/>
        </w:rPr>
        <w:t>M. musculus</w:t>
      </w:r>
      <w:r w:rsidRPr="000B0C37">
        <w:rPr>
          <w:lang w:val="en"/>
        </w:rPr>
        <w:t xml:space="preserve">, </w:t>
      </w:r>
      <w:r w:rsidRPr="000B0C37">
        <w:rPr>
          <w:i/>
          <w:iCs/>
          <w:lang w:val="en"/>
        </w:rPr>
        <w:t>D. melanogaster</w:t>
      </w:r>
      <w:r w:rsidRPr="000B0C37">
        <w:rPr>
          <w:lang w:val="en"/>
        </w:rPr>
        <w:t xml:space="preserve">, </w:t>
      </w:r>
      <w:r w:rsidRPr="000B0C37">
        <w:rPr>
          <w:i/>
          <w:iCs/>
          <w:lang w:val="en"/>
        </w:rPr>
        <w:t>S. cerevisiae</w:t>
      </w:r>
      <w:r w:rsidRPr="000B0C37">
        <w:rPr>
          <w:lang w:val="en"/>
        </w:rPr>
        <w:t xml:space="preserve">, </w:t>
      </w:r>
      <w:r w:rsidRPr="000B0C37">
        <w:rPr>
          <w:i/>
          <w:iCs/>
          <w:lang w:val="en"/>
        </w:rPr>
        <w:t>C. elegans</w:t>
      </w:r>
      <w:r w:rsidRPr="000B0C37">
        <w:rPr>
          <w:lang w:val="en"/>
        </w:rPr>
        <w:t xml:space="preserve">, </w:t>
      </w:r>
      <w:r w:rsidRPr="000B0C37">
        <w:rPr>
          <w:i/>
          <w:iCs/>
          <w:lang w:val="en"/>
        </w:rPr>
        <w:t>D. rerio</w:t>
      </w:r>
      <w:r w:rsidRPr="000B0C37">
        <w:rPr>
          <w:lang w:val="en"/>
        </w:rPr>
        <w:t>, and</w:t>
      </w:r>
      <w:r w:rsidRPr="000B0C37">
        <w:rPr>
          <w:b/>
          <w:bCs/>
          <w:lang w:val="en"/>
        </w:rPr>
        <w:t xml:space="preserve"> </w:t>
      </w:r>
      <w:r w:rsidRPr="000B0C37">
        <w:rPr>
          <w:i/>
          <w:iCs/>
          <w:lang w:val="en"/>
        </w:rPr>
        <w:t>H. sapiens</w:t>
      </w:r>
      <w:r w:rsidRPr="000B0C37">
        <w:rPr>
          <w:lang w:val="en"/>
        </w:rPr>
        <w:t>. In each heatmap, y-axis lists the data sources, and x-axis shows the relation types. Cell color intensity corresponds to Log</w:t>
      </w:r>
      <w:r w:rsidRPr="000B0C37">
        <w:rPr>
          <w:vertAlign w:val="subscript"/>
          <w:lang w:val="en"/>
        </w:rPr>
        <w:t>10</w:t>
      </w:r>
      <w:r w:rsidRPr="000B0C37">
        <w:rPr>
          <w:lang w:val="en"/>
        </w:rPr>
        <w:t xml:space="preserve"> count of triples.</w:t>
      </w:r>
    </w:p>
    <w:p w14:paraId="2F2F651E" w14:textId="77777777" w:rsidR="000B0C37" w:rsidRPr="000B0C37" w:rsidRDefault="000B0C37" w:rsidP="000B0C37">
      <w:pPr>
        <w:rPr>
          <w:b/>
          <w:bCs/>
          <w:lang w:val="en"/>
        </w:rPr>
      </w:pPr>
      <w:bookmarkStart w:id="3" w:name="_g11ajfsd6dy1"/>
      <w:bookmarkEnd w:id="3"/>
      <w:r w:rsidRPr="000B0C37">
        <w:rPr>
          <w:b/>
          <w:bCs/>
          <w:lang w:val="en"/>
        </w:rPr>
        <w:t>Supplementary Figure 4. Network Hubs Shift from Conceptual to Structural Organization</w:t>
      </w:r>
    </w:p>
    <w:p w14:paraId="4846F3C9" w14:textId="77777777" w:rsidR="000B0C37" w:rsidRPr="000B0C37" w:rsidRDefault="000B0C37" w:rsidP="000B0C37">
      <w:pPr>
        <w:rPr>
          <w:lang w:val="en"/>
        </w:rPr>
      </w:pPr>
      <w:r w:rsidRPr="000B0C37">
        <w:rPr>
          <w:lang w:val="en"/>
        </w:rPr>
        <w:t xml:space="preserve">Bar charts showing node degree (x-axis, log scale) for the top 5 most-connected nodes within each entity type. </w:t>
      </w:r>
      <w:r w:rsidRPr="000B0C37">
        <w:rPr>
          <w:b/>
          <w:bCs/>
          <w:lang w:val="en"/>
        </w:rPr>
        <w:t>(a)</w:t>
      </w:r>
      <w:r w:rsidRPr="000B0C37">
        <w:rPr>
          <w:lang w:val="en"/>
        </w:rPr>
        <w:t xml:space="preserve"> Top hubs in baseline 'Aging' KG. </w:t>
      </w:r>
      <w:r w:rsidRPr="000B0C37">
        <w:rPr>
          <w:b/>
          <w:bCs/>
          <w:lang w:val="en"/>
        </w:rPr>
        <w:t>(b)</w:t>
      </w:r>
      <w:r w:rsidRPr="000B0C37">
        <w:rPr>
          <w:lang w:val="en"/>
        </w:rPr>
        <w:t xml:space="preserve"> Top hubs in final </w:t>
      </w:r>
      <w:proofErr w:type="spellStart"/>
      <w:r w:rsidRPr="000B0C37">
        <w:rPr>
          <w:lang w:val="en"/>
        </w:rPr>
        <w:t>EvoAge</w:t>
      </w:r>
      <w:proofErr w:type="spellEnd"/>
      <w:r w:rsidRPr="000B0C37">
        <w:rPr>
          <w:lang w:val="en"/>
        </w:rPr>
        <w:t>-KG.</w:t>
      </w:r>
    </w:p>
    <w:p w14:paraId="65032F39" w14:textId="77777777" w:rsidR="000B0C37" w:rsidRPr="000B0C37" w:rsidRDefault="000B0C37" w:rsidP="000B0C37">
      <w:pPr>
        <w:rPr>
          <w:b/>
          <w:bCs/>
          <w:lang w:val="en"/>
        </w:rPr>
      </w:pPr>
      <w:bookmarkStart w:id="4" w:name="_66phz170xeya"/>
      <w:bookmarkEnd w:id="4"/>
      <w:r w:rsidRPr="000B0C37">
        <w:rPr>
          <w:b/>
          <w:bCs/>
          <w:lang w:val="en"/>
        </w:rPr>
        <w:t>Supplementary Figure 5. Relational Complexity and Model Evaluation Framework</w:t>
      </w:r>
    </w:p>
    <w:p w14:paraId="4637894E" w14:textId="77777777" w:rsidR="000B0C37" w:rsidRPr="000B0C37" w:rsidRDefault="000B0C37" w:rsidP="000B0C37">
      <w:pPr>
        <w:rPr>
          <w:lang w:val="en"/>
        </w:rPr>
      </w:pPr>
      <w:r w:rsidRPr="000B0C37">
        <w:rPr>
          <w:b/>
          <w:bCs/>
          <w:lang w:val="en"/>
        </w:rPr>
        <w:lastRenderedPageBreak/>
        <w:t>(a)</w:t>
      </w:r>
      <w:r w:rsidRPr="000B0C37">
        <w:rPr>
          <w:lang w:val="en"/>
        </w:rPr>
        <w:t xml:space="preserve"> Circular bar plot </w:t>
      </w:r>
      <w:proofErr w:type="gramStart"/>
      <w:r w:rsidRPr="000B0C37">
        <w:rPr>
          <w:lang w:val="en"/>
        </w:rPr>
        <w:t>of  66</w:t>
      </w:r>
      <w:proofErr w:type="gramEnd"/>
      <w:r w:rsidRPr="000B0C37">
        <w:rPr>
          <w:lang w:val="en"/>
        </w:rPr>
        <w:t xml:space="preserve"> unique relation types in </w:t>
      </w:r>
      <w:proofErr w:type="spellStart"/>
      <w:r w:rsidRPr="000B0C37">
        <w:rPr>
          <w:lang w:val="en"/>
        </w:rPr>
        <w:t>EvoAge</w:t>
      </w:r>
      <w:proofErr w:type="spellEnd"/>
      <w:r w:rsidRPr="000B0C37">
        <w:rPr>
          <w:lang w:val="en"/>
        </w:rPr>
        <w:t xml:space="preserve">-KG. Bar length indicates triple count (log10 scale), with the outer bar as 'head' type and the inner circle as 'tail' type. </w:t>
      </w:r>
      <w:r w:rsidRPr="000B0C37">
        <w:rPr>
          <w:b/>
          <w:bCs/>
          <w:lang w:val="en"/>
        </w:rPr>
        <w:t>(b)</w:t>
      </w:r>
      <w:r w:rsidRPr="000B0C37">
        <w:rPr>
          <w:lang w:val="en"/>
        </w:rPr>
        <w:t xml:space="preserve"> Chord diagram illustrating relation types and triple counts in the baseline 'Aging' KG. </w:t>
      </w:r>
      <w:r w:rsidRPr="000B0C37">
        <w:rPr>
          <w:b/>
          <w:bCs/>
          <w:lang w:val="en"/>
        </w:rPr>
        <w:t>(c)</w:t>
      </w:r>
      <w:r w:rsidRPr="000B0C37">
        <w:rPr>
          <w:lang w:val="en"/>
        </w:rPr>
        <w:t xml:space="preserve"> Heatmap of relation co-occurrence, indicating existing 'head-tail' node type pairs in the </w:t>
      </w:r>
      <w:proofErr w:type="spellStart"/>
      <w:r w:rsidRPr="000B0C37">
        <w:rPr>
          <w:lang w:val="en"/>
        </w:rPr>
        <w:t>EvoAge</w:t>
      </w:r>
      <w:proofErr w:type="spellEnd"/>
      <w:r w:rsidRPr="000B0C37">
        <w:rPr>
          <w:lang w:val="en"/>
        </w:rPr>
        <w:t xml:space="preserve">-KG. </w:t>
      </w:r>
      <w:r w:rsidRPr="000B0C37">
        <w:rPr>
          <w:b/>
          <w:bCs/>
          <w:lang w:val="en"/>
        </w:rPr>
        <w:t>(d)</w:t>
      </w:r>
      <w:r w:rsidRPr="000B0C37">
        <w:rPr>
          <w:lang w:val="en"/>
        </w:rPr>
        <w:t xml:space="preserve"> Donut charts of 80/10/10 train/validation/test split for the 'Aging' KG (left) and '</w:t>
      </w:r>
      <w:proofErr w:type="spellStart"/>
      <w:r w:rsidRPr="000B0C37">
        <w:rPr>
          <w:lang w:val="en"/>
        </w:rPr>
        <w:t>EvoAge</w:t>
      </w:r>
      <w:proofErr w:type="spellEnd"/>
      <w:r w:rsidRPr="000B0C37">
        <w:rPr>
          <w:lang w:val="en"/>
        </w:rPr>
        <w:t xml:space="preserve">' KG (right), with absolute triple counts. </w:t>
      </w:r>
      <w:r w:rsidRPr="000B0C37">
        <w:rPr>
          <w:b/>
          <w:bCs/>
          <w:lang w:val="en"/>
        </w:rPr>
        <w:t>(e)</w:t>
      </w:r>
      <w:r w:rsidRPr="000B0C37">
        <w:rPr>
          <w:lang w:val="en"/>
        </w:rPr>
        <w:t xml:space="preserve"> Bar chart confirming the stratified distribution (log10 count) of all 27 relation types across the 'Aging' KG data splits. </w:t>
      </w:r>
      <w:r w:rsidRPr="000B0C37">
        <w:rPr>
          <w:b/>
          <w:bCs/>
          <w:lang w:val="en"/>
        </w:rPr>
        <w:t>(f)</w:t>
      </w:r>
      <w:r w:rsidRPr="000B0C37">
        <w:rPr>
          <w:lang w:val="en"/>
        </w:rPr>
        <w:t xml:space="preserve"> Bar chart confirming the stratified distribution (log10 count) of all 66 relation types across the '</w:t>
      </w:r>
      <w:proofErr w:type="spellStart"/>
      <w:r w:rsidRPr="000B0C37">
        <w:rPr>
          <w:lang w:val="en"/>
        </w:rPr>
        <w:t>EvoAge</w:t>
      </w:r>
      <w:proofErr w:type="spellEnd"/>
      <w:r w:rsidRPr="000B0C37">
        <w:rPr>
          <w:lang w:val="en"/>
        </w:rPr>
        <w:t xml:space="preserve">' KG data splits. </w:t>
      </w:r>
      <w:r w:rsidRPr="000B0C37">
        <w:rPr>
          <w:b/>
          <w:bCs/>
          <w:lang w:val="en"/>
        </w:rPr>
        <w:t>(g)</w:t>
      </w:r>
      <w:r w:rsidRPr="000B0C37">
        <w:rPr>
          <w:lang w:val="en"/>
        </w:rPr>
        <w:t xml:space="preserve"> Formula for calculating maximum training steps. </w:t>
      </w:r>
      <w:r w:rsidRPr="000B0C37">
        <w:rPr>
          <w:b/>
          <w:bCs/>
          <w:lang w:val="en"/>
        </w:rPr>
        <w:t>(h)</w:t>
      </w:r>
      <w:r w:rsidRPr="000B0C37">
        <w:rPr>
          <w:lang w:val="en"/>
        </w:rPr>
        <w:t xml:space="preserve"> Table of KGE model training and evaluation parameters. </w:t>
      </w:r>
      <w:r w:rsidRPr="000B0C37">
        <w:rPr>
          <w:b/>
          <w:bCs/>
          <w:lang w:val="en"/>
        </w:rPr>
        <w:t>(</w:t>
      </w:r>
      <w:proofErr w:type="spellStart"/>
      <w:r w:rsidRPr="000B0C37">
        <w:rPr>
          <w:b/>
          <w:bCs/>
          <w:lang w:val="en"/>
        </w:rPr>
        <w:t>i</w:t>
      </w:r>
      <w:proofErr w:type="spellEnd"/>
      <w:r w:rsidRPr="000B0C37">
        <w:rPr>
          <w:b/>
          <w:bCs/>
          <w:lang w:val="en"/>
        </w:rPr>
        <w:t>)</w:t>
      </w:r>
      <w:r w:rsidRPr="000B0C37">
        <w:rPr>
          <w:lang w:val="en"/>
        </w:rPr>
        <w:t xml:space="preserve"> Formulas for the KGE evaluation metrics: Mean Rank (MR), Mean Reciprocal Rank (MRR), and </w:t>
      </w:r>
      <w:proofErr w:type="spellStart"/>
      <w:r w:rsidRPr="000B0C37">
        <w:rPr>
          <w:lang w:val="en"/>
        </w:rPr>
        <w:t>hit@k</w:t>
      </w:r>
      <w:proofErr w:type="spellEnd"/>
      <w:r w:rsidRPr="000B0C37">
        <w:rPr>
          <w:lang w:val="en"/>
        </w:rPr>
        <w:t xml:space="preserve">. </w:t>
      </w:r>
      <w:r w:rsidRPr="000B0C37">
        <w:rPr>
          <w:b/>
          <w:bCs/>
          <w:lang w:val="en"/>
        </w:rPr>
        <w:t>(j)</w:t>
      </w:r>
      <w:r w:rsidRPr="000B0C37">
        <w:rPr>
          <w:lang w:val="en"/>
        </w:rPr>
        <w:t xml:space="preserve"> Bar chart of Mean Rank (MR) performance for the six initial KGE models on 'Aging' (pink) and '</w:t>
      </w:r>
      <w:proofErr w:type="spellStart"/>
      <w:r w:rsidRPr="000B0C37">
        <w:rPr>
          <w:lang w:val="en"/>
        </w:rPr>
        <w:t>EvoAge</w:t>
      </w:r>
      <w:proofErr w:type="spellEnd"/>
      <w:r w:rsidRPr="000B0C37">
        <w:rPr>
          <w:lang w:val="en"/>
        </w:rPr>
        <w:t xml:space="preserve">' (blue) </w:t>
      </w:r>
      <w:proofErr w:type="spellStart"/>
      <w:r w:rsidRPr="000B0C37">
        <w:rPr>
          <w:lang w:val="en"/>
        </w:rPr>
        <w:t>KGs.</w:t>
      </w:r>
      <w:proofErr w:type="spellEnd"/>
      <w:r w:rsidRPr="000B0C37">
        <w:rPr>
          <w:lang w:val="en"/>
        </w:rPr>
        <w:t xml:space="preserve"> </w:t>
      </w:r>
      <w:r w:rsidRPr="000B0C37">
        <w:rPr>
          <w:b/>
          <w:bCs/>
          <w:lang w:val="en"/>
        </w:rPr>
        <w:t>(k, l)</w:t>
      </w:r>
      <w:r w:rsidRPr="000B0C37">
        <w:rPr>
          <w:lang w:val="en"/>
        </w:rPr>
        <w:t xml:space="preserve"> Training loss curves for the selected models at different embedding sizes (64-512): </w:t>
      </w:r>
      <w:r w:rsidRPr="000B0C37">
        <w:rPr>
          <w:b/>
          <w:bCs/>
          <w:lang w:val="en"/>
        </w:rPr>
        <w:t>(k)</w:t>
      </w:r>
      <w:r w:rsidRPr="000B0C37">
        <w:rPr>
          <w:lang w:val="en"/>
        </w:rPr>
        <w:t xml:space="preserve"> 'Aging'-RESCAL and </w:t>
      </w:r>
      <w:r w:rsidRPr="000B0C37">
        <w:rPr>
          <w:b/>
          <w:bCs/>
          <w:lang w:val="en"/>
        </w:rPr>
        <w:t>(l)</w:t>
      </w:r>
      <w:r w:rsidRPr="000B0C37">
        <w:rPr>
          <w:lang w:val="en"/>
        </w:rPr>
        <w:t xml:space="preserve"> '</w:t>
      </w:r>
      <w:proofErr w:type="spellStart"/>
      <w:r w:rsidRPr="000B0C37">
        <w:rPr>
          <w:lang w:val="en"/>
        </w:rPr>
        <w:t>EvoAge</w:t>
      </w:r>
      <w:proofErr w:type="spellEnd"/>
      <w:r w:rsidRPr="000B0C37">
        <w:rPr>
          <w:lang w:val="en"/>
        </w:rPr>
        <w:t>'-</w:t>
      </w:r>
      <w:proofErr w:type="spellStart"/>
      <w:r w:rsidRPr="000B0C37">
        <w:rPr>
          <w:lang w:val="en"/>
        </w:rPr>
        <w:t>RotatE</w:t>
      </w:r>
      <w:proofErr w:type="spellEnd"/>
      <w:r w:rsidRPr="000B0C37">
        <w:rPr>
          <w:lang w:val="en"/>
        </w:rPr>
        <w:t>.</w:t>
      </w:r>
    </w:p>
    <w:p w14:paraId="5B9B48E1" w14:textId="77777777" w:rsidR="000B0C37" w:rsidRPr="000B0C37" w:rsidRDefault="000B0C37" w:rsidP="000B0C37">
      <w:pPr>
        <w:rPr>
          <w:b/>
          <w:bCs/>
          <w:lang w:val="en"/>
        </w:rPr>
      </w:pPr>
      <w:bookmarkStart w:id="5" w:name="_72n1qex57o76"/>
      <w:bookmarkEnd w:id="5"/>
      <w:r w:rsidRPr="000B0C37">
        <w:rPr>
          <w:b/>
          <w:bCs/>
          <w:lang w:val="en"/>
        </w:rPr>
        <w:t xml:space="preserve">Supplementary Figure 6. </w:t>
      </w:r>
      <w:proofErr w:type="spellStart"/>
      <w:r w:rsidRPr="000B0C37">
        <w:rPr>
          <w:b/>
          <w:bCs/>
          <w:lang w:val="en"/>
        </w:rPr>
        <w:t>EvoAge</w:t>
      </w:r>
      <w:proofErr w:type="spellEnd"/>
      <w:r w:rsidRPr="000B0C37">
        <w:rPr>
          <w:b/>
          <w:bCs/>
          <w:lang w:val="en"/>
        </w:rPr>
        <w:t xml:space="preserve"> Platform Architecture Enables Robust Hypothesis Validation</w:t>
      </w:r>
    </w:p>
    <w:p w14:paraId="6F47CDE1" w14:textId="77777777" w:rsidR="000B0C37" w:rsidRPr="000B0C37" w:rsidRDefault="000B0C37" w:rsidP="000B0C37">
      <w:pPr>
        <w:rPr>
          <w:lang w:val="en"/>
        </w:rPr>
      </w:pPr>
      <w:r w:rsidRPr="000B0C37">
        <w:rPr>
          <w:b/>
          <w:bCs/>
          <w:lang w:val="en"/>
        </w:rPr>
        <w:t>(a)</w:t>
      </w:r>
      <w:r w:rsidRPr="000B0C37">
        <w:rPr>
          <w:lang w:val="en"/>
        </w:rPr>
        <w:t xml:space="preserve"> Detailed technical blueprint of the </w:t>
      </w:r>
      <w:proofErr w:type="spellStart"/>
      <w:r w:rsidRPr="000B0C37">
        <w:rPr>
          <w:lang w:val="en"/>
        </w:rPr>
        <w:t>EvoAge</w:t>
      </w:r>
      <w:proofErr w:type="spellEnd"/>
      <w:r w:rsidRPr="000B0C37">
        <w:rPr>
          <w:lang w:val="en"/>
        </w:rPr>
        <w:t xml:space="preserve"> backend. A </w:t>
      </w:r>
      <w:proofErr w:type="spellStart"/>
      <w:r w:rsidRPr="000B0C37">
        <w:rPr>
          <w:lang w:val="en"/>
        </w:rPr>
        <w:t>FastAPI</w:t>
      </w:r>
      <w:proofErr w:type="spellEnd"/>
      <w:r w:rsidRPr="000B0C37">
        <w:rPr>
          <w:lang w:val="en"/>
        </w:rPr>
        <w:t xml:space="preserve"> server routes client </w:t>
      </w:r>
      <w:proofErr w:type="gramStart"/>
      <w:r w:rsidRPr="000B0C37">
        <w:rPr>
          <w:lang w:val="en"/>
        </w:rPr>
        <w:t>requests</w:t>
      </w:r>
      <w:proofErr w:type="gramEnd"/>
      <w:r w:rsidRPr="000B0C37">
        <w:rPr>
          <w:lang w:val="en"/>
        </w:rPr>
        <w:t xml:space="preserve"> to five main "tool" endpoints (e.g., auth, KG query, model inference), orchestrating a core logic pipeline that uses Neo4j for KG queries, DGL-KE for model scoring, and external APIs (Gemini) for interpretation. </w:t>
      </w:r>
      <w:r w:rsidRPr="000B0C37">
        <w:rPr>
          <w:b/>
          <w:bCs/>
          <w:lang w:val="en"/>
        </w:rPr>
        <w:t>(b)</w:t>
      </w:r>
      <w:r w:rsidRPr="000B0C37">
        <w:rPr>
          <w:lang w:val="en"/>
        </w:rPr>
        <w:t xml:space="preserve"> Workflow for determining optimal hypothesis testing cutoffs. Scores for 1,000 'Ground Truth' (purple) and 1,000 'Random Negative' (green) triples are plotted. The Youden's J statistic is applied to find the optimal relation-specific threshold (red line) for validating new triples. </w:t>
      </w:r>
      <w:r w:rsidRPr="000B0C37">
        <w:rPr>
          <w:b/>
          <w:bCs/>
          <w:lang w:val="en"/>
        </w:rPr>
        <w:t>(c)</w:t>
      </w:r>
      <w:r w:rsidRPr="000B0C37">
        <w:rPr>
          <w:lang w:val="en"/>
        </w:rPr>
        <w:t xml:space="preserve"> Circular plot of the optimal Youden's J cutoff scores for all 66 relation types. The score for each relation (green bars) shows that optimal thresholds vary significantly across different biological contexts. </w:t>
      </w:r>
      <w:r w:rsidRPr="000B0C37">
        <w:rPr>
          <w:b/>
          <w:bCs/>
          <w:lang w:val="en"/>
        </w:rPr>
        <w:t>(d)</w:t>
      </w:r>
      <w:r w:rsidRPr="000B0C37">
        <w:rPr>
          <w:lang w:val="en"/>
        </w:rPr>
        <w:t xml:space="preserve"> Sequence diagram for the 'Search Biological Entity' function, showing the API request flow from the client to the </w:t>
      </w:r>
      <w:proofErr w:type="spellStart"/>
      <w:r w:rsidRPr="000B0C37">
        <w:rPr>
          <w:lang w:val="en"/>
        </w:rPr>
        <w:t>FastAPI</w:t>
      </w:r>
      <w:proofErr w:type="spellEnd"/>
      <w:r w:rsidRPr="000B0C37">
        <w:rPr>
          <w:lang w:val="en"/>
        </w:rPr>
        <w:t xml:space="preserve"> service, which executes a Cypher query against the Neo4j DB using a Lucene Index. </w:t>
      </w:r>
      <w:r w:rsidRPr="000B0C37">
        <w:rPr>
          <w:b/>
          <w:bCs/>
          <w:lang w:val="en"/>
        </w:rPr>
        <w:t>(e)</w:t>
      </w:r>
      <w:r w:rsidRPr="000B0C37">
        <w:rPr>
          <w:lang w:val="en"/>
        </w:rPr>
        <w:t xml:space="preserve"> Sequence diagram for the 'KGE Scoring' service, detailing the workflow for validating a triple and using the DGL-KE engine (with </w:t>
      </w:r>
      <w:proofErr w:type="spellStart"/>
      <w:r w:rsidRPr="000B0C37">
        <w:rPr>
          <w:lang w:val="en"/>
        </w:rPr>
        <w:t>RotatE</w:t>
      </w:r>
      <w:proofErr w:type="spellEnd"/>
      <w:r w:rsidRPr="000B0C37">
        <w:rPr>
          <w:lang w:val="en"/>
        </w:rPr>
        <w:t xml:space="preserve"> artifacts) to return a quantitative score. </w:t>
      </w:r>
      <w:r w:rsidRPr="000B0C37">
        <w:rPr>
          <w:b/>
          <w:bCs/>
          <w:lang w:val="en"/>
        </w:rPr>
        <w:t xml:space="preserve">(f) </w:t>
      </w:r>
      <w:r w:rsidRPr="000B0C37">
        <w:rPr>
          <w:lang w:val="en"/>
        </w:rPr>
        <w:t>Example of a 'Link Prediction' response for a FOXO3-'Disease' query, showing the ranked list of predictions, scores, and model identifiers as presented in the chat interface.</w:t>
      </w:r>
    </w:p>
    <w:p w14:paraId="30B23164" w14:textId="77777777" w:rsidR="000B0C37" w:rsidRPr="000B0C37" w:rsidRDefault="000B0C37" w:rsidP="000B0C37">
      <w:pPr>
        <w:rPr>
          <w:b/>
          <w:bCs/>
          <w:lang w:val="en"/>
        </w:rPr>
      </w:pPr>
      <w:bookmarkStart w:id="6" w:name="_bndev66qp7wg"/>
      <w:bookmarkEnd w:id="6"/>
      <w:r w:rsidRPr="000B0C37">
        <w:rPr>
          <w:b/>
          <w:bCs/>
          <w:lang w:val="en"/>
        </w:rPr>
        <w:t>Supplementary Figure 7: Nanoscale BACE1 Remodeling and Conservation</w:t>
      </w:r>
    </w:p>
    <w:p w14:paraId="3F1D9E86" w14:textId="77777777" w:rsidR="000B0C37" w:rsidRPr="000B0C37" w:rsidRDefault="000B0C37" w:rsidP="000B0C37">
      <w:pPr>
        <w:rPr>
          <w:lang w:val="en"/>
        </w:rPr>
      </w:pPr>
      <w:r w:rsidRPr="000B0C37">
        <w:rPr>
          <w:b/>
          <w:bCs/>
          <w:lang w:val="en"/>
        </w:rPr>
        <w:t xml:space="preserve">(e, f, g) </w:t>
      </w:r>
      <w:r w:rsidRPr="000B0C37">
        <w:rPr>
          <w:lang w:val="en"/>
        </w:rPr>
        <w:t>The violin plots illustrate the normalized cross-species comparison of BACE1 nanodomain traits (Intensity, Length, and Area) across Human, iPSC, and Mouse models. The normalization was performed to the median Postsynaptic Control value for each species, confirming the statistically significant enrichment in the EZ (</w:t>
      </w:r>
      <w:proofErr w:type="spellStart"/>
      <w:r w:rsidRPr="000B0C37">
        <w:rPr>
          <w:lang w:val="en"/>
        </w:rPr>
        <w:t>perisynaptic</w:t>
      </w:r>
      <w:proofErr w:type="spellEnd"/>
      <w:r w:rsidRPr="000B0C37">
        <w:rPr>
          <w:lang w:val="en"/>
        </w:rPr>
        <w:t>) and depletion in the PSD (postsynaptic) for the AD genotype across all tested systems.</w:t>
      </w:r>
    </w:p>
    <w:p w14:paraId="6E57424F" w14:textId="77777777" w:rsidR="000B0C37" w:rsidRPr="000B0C37" w:rsidRDefault="000B0C37" w:rsidP="000B0C37">
      <w:pPr>
        <w:rPr>
          <w:b/>
          <w:bCs/>
          <w:lang w:val="en"/>
        </w:rPr>
      </w:pPr>
      <w:bookmarkStart w:id="7" w:name="_jpdt0qgz8hvg"/>
      <w:bookmarkEnd w:id="7"/>
      <w:r w:rsidRPr="000B0C37">
        <w:rPr>
          <w:b/>
          <w:bCs/>
          <w:lang w:val="en"/>
        </w:rPr>
        <w:lastRenderedPageBreak/>
        <w:t xml:space="preserve">Supplementary Figure 8: </w:t>
      </w:r>
      <w:proofErr w:type="spellStart"/>
      <w:r w:rsidRPr="000B0C37">
        <w:rPr>
          <w:b/>
          <w:bCs/>
          <w:lang w:val="en"/>
        </w:rPr>
        <w:t>EvoAge</w:t>
      </w:r>
      <w:proofErr w:type="spellEnd"/>
      <w:r w:rsidRPr="000B0C37">
        <w:rPr>
          <w:b/>
          <w:bCs/>
          <w:lang w:val="en"/>
        </w:rPr>
        <w:t xml:space="preserve"> hypothesis generated for the asked questions.</w:t>
      </w:r>
    </w:p>
    <w:p w14:paraId="2497C36B" w14:textId="77777777" w:rsidR="000B0C37" w:rsidRPr="000B0C37" w:rsidRDefault="000B0C37" w:rsidP="000B0C37">
      <w:pPr>
        <w:rPr>
          <w:lang w:val="en"/>
        </w:rPr>
      </w:pPr>
      <w:r w:rsidRPr="000B0C37">
        <w:rPr>
          <w:b/>
          <w:bCs/>
          <w:lang w:val="en"/>
        </w:rPr>
        <w:t>(a)</w:t>
      </w:r>
      <w:r w:rsidRPr="000B0C37">
        <w:rPr>
          <w:lang w:val="en"/>
        </w:rPr>
        <w:t xml:space="preserve"> </w:t>
      </w:r>
      <w:proofErr w:type="spellStart"/>
      <w:r w:rsidRPr="000B0C37">
        <w:rPr>
          <w:lang w:val="en"/>
        </w:rPr>
        <w:t>EvoAge</w:t>
      </w:r>
      <w:proofErr w:type="spellEnd"/>
      <w:r w:rsidRPr="000B0C37">
        <w:rPr>
          <w:lang w:val="en"/>
        </w:rPr>
        <w:t xml:space="preserve"> response to the hypothesis of BACE1 relocation from postsynaptic to </w:t>
      </w:r>
      <w:proofErr w:type="spellStart"/>
      <w:r w:rsidRPr="000B0C37">
        <w:rPr>
          <w:lang w:val="en"/>
        </w:rPr>
        <w:t>perisynaptic</w:t>
      </w:r>
      <w:proofErr w:type="spellEnd"/>
      <w:r w:rsidRPr="000B0C37">
        <w:rPr>
          <w:lang w:val="en"/>
        </w:rPr>
        <w:t xml:space="preserve"> region. </w:t>
      </w:r>
      <w:r w:rsidRPr="000B0C37">
        <w:rPr>
          <w:b/>
          <w:bCs/>
          <w:lang w:val="en"/>
        </w:rPr>
        <w:t>(b)</w:t>
      </w:r>
      <w:r w:rsidRPr="000B0C37">
        <w:rPr>
          <w:lang w:val="en"/>
        </w:rPr>
        <w:t xml:space="preserve"> </w:t>
      </w:r>
      <w:proofErr w:type="spellStart"/>
      <w:r w:rsidRPr="000B0C37">
        <w:rPr>
          <w:lang w:val="en"/>
        </w:rPr>
        <w:t>EvoAge</w:t>
      </w:r>
      <w:proofErr w:type="spellEnd"/>
      <w:r w:rsidRPr="000B0C37">
        <w:rPr>
          <w:lang w:val="en"/>
        </w:rPr>
        <w:t xml:space="preserve"> response to the hypothesis of BACE1 distribution in </w:t>
      </w:r>
      <w:proofErr w:type="gramStart"/>
      <w:r w:rsidRPr="000B0C37">
        <w:rPr>
          <w:lang w:val="en"/>
        </w:rPr>
        <w:t>mouse</w:t>
      </w:r>
      <w:proofErr w:type="gramEnd"/>
      <w:r w:rsidRPr="000B0C37">
        <w:rPr>
          <w:lang w:val="en"/>
        </w:rPr>
        <w:t xml:space="preserve"> and human models.</w:t>
      </w:r>
    </w:p>
    <w:p w14:paraId="6D3096F1" w14:textId="77777777" w:rsidR="000B0C37" w:rsidRPr="000B0C37" w:rsidRDefault="000B0C37" w:rsidP="000B0C37">
      <w:pPr>
        <w:rPr>
          <w:b/>
          <w:bCs/>
          <w:lang w:val="en"/>
        </w:rPr>
      </w:pPr>
      <w:r w:rsidRPr="000B0C37">
        <w:rPr>
          <w:lang w:val="en"/>
        </w:rPr>
        <w:br w:type="page"/>
      </w:r>
      <w:bookmarkStart w:id="8" w:name="_he4g527b1edd"/>
      <w:bookmarkEnd w:id="8"/>
    </w:p>
    <w:p w14:paraId="7C1B88CB" w14:textId="77777777" w:rsidR="000B0C37" w:rsidRPr="000B0C37" w:rsidRDefault="000B0C37" w:rsidP="000B0C37">
      <w:pPr>
        <w:rPr>
          <w:b/>
          <w:bCs/>
          <w:lang w:val="en"/>
        </w:rPr>
      </w:pPr>
      <w:bookmarkStart w:id="9" w:name="_p3ahn9kz2ldo"/>
      <w:bookmarkEnd w:id="9"/>
    </w:p>
    <w:p w14:paraId="475BCDA8" w14:textId="77777777" w:rsidR="000B0C37" w:rsidRPr="000B0C37" w:rsidRDefault="000B0C37" w:rsidP="000B0C37">
      <w:pPr>
        <w:rPr>
          <w:b/>
          <w:bCs/>
          <w:lang w:val="en"/>
        </w:rPr>
      </w:pPr>
      <w:bookmarkStart w:id="10" w:name="_46r0co2"/>
      <w:bookmarkEnd w:id="10"/>
      <w:r w:rsidRPr="000B0C37">
        <w:rPr>
          <w:b/>
          <w:bCs/>
          <w:lang w:val="en"/>
        </w:rPr>
        <w:t xml:space="preserve">SUPPLEMENTARY DATA </w:t>
      </w:r>
    </w:p>
    <w:p w14:paraId="27ED6DE4" w14:textId="77777777" w:rsidR="000B0C37" w:rsidRPr="000B0C37" w:rsidRDefault="000B0C37" w:rsidP="000B0C37">
      <w:pPr>
        <w:rPr>
          <w:b/>
          <w:bCs/>
          <w:lang w:val="en"/>
        </w:rPr>
      </w:pPr>
    </w:p>
    <w:p w14:paraId="5A9D7EB8" w14:textId="77777777" w:rsidR="000B0C37" w:rsidRPr="000B0C37" w:rsidRDefault="000B0C37" w:rsidP="000B0C37">
      <w:pPr>
        <w:rPr>
          <w:lang w:val="en"/>
        </w:rPr>
      </w:pPr>
      <w:r w:rsidRPr="000B0C37">
        <w:rPr>
          <w:b/>
          <w:bCs/>
          <w:lang w:val="en"/>
        </w:rPr>
        <w:t xml:space="preserve">Supplementary Table 1: </w:t>
      </w:r>
      <w:r w:rsidRPr="000B0C37">
        <w:rPr>
          <w:lang w:val="en"/>
        </w:rPr>
        <w:t>The table provides the underlying data for the historical publication trend analysis, detailing the annual and cumulative counts of aging-related publications (1975-2023) sourced from PubMed, stratified by the six model organisms.</w:t>
      </w:r>
    </w:p>
    <w:p w14:paraId="67135034" w14:textId="77777777" w:rsidR="000B0C37" w:rsidRPr="000B0C37" w:rsidRDefault="000B0C37" w:rsidP="000B0C37">
      <w:pPr>
        <w:rPr>
          <w:b/>
          <w:bCs/>
          <w:lang w:val="en"/>
        </w:rPr>
      </w:pPr>
    </w:p>
    <w:p w14:paraId="6AF8C24A" w14:textId="77777777" w:rsidR="000B0C37" w:rsidRPr="000B0C37" w:rsidRDefault="000B0C37" w:rsidP="000B0C37">
      <w:pPr>
        <w:rPr>
          <w:lang w:val="en"/>
        </w:rPr>
      </w:pPr>
      <w:r w:rsidRPr="000B0C37">
        <w:rPr>
          <w:b/>
          <w:bCs/>
          <w:lang w:val="en"/>
        </w:rPr>
        <w:t xml:space="preserve">Supplementary Table 2: </w:t>
      </w:r>
      <w:r w:rsidRPr="000B0C37">
        <w:rPr>
          <w:lang w:val="en"/>
        </w:rPr>
        <w:t xml:space="preserve">The table catalogs the 48 data sources integrated into the </w:t>
      </w:r>
      <w:proofErr w:type="spellStart"/>
      <w:r w:rsidRPr="000B0C37">
        <w:rPr>
          <w:lang w:val="en"/>
        </w:rPr>
        <w:t>EvoAge</w:t>
      </w:r>
      <w:proofErr w:type="spellEnd"/>
      <w:r w:rsidRPr="000B0C37">
        <w:rPr>
          <w:lang w:val="en"/>
        </w:rPr>
        <w:t>-KG, classifying each as 'Aging' or 'General' and providing its name and the URL or primary citation for data provenance.</w:t>
      </w:r>
    </w:p>
    <w:p w14:paraId="64428432" w14:textId="77777777" w:rsidR="000B0C37" w:rsidRPr="000B0C37" w:rsidRDefault="000B0C37" w:rsidP="000B0C37">
      <w:pPr>
        <w:rPr>
          <w:b/>
          <w:bCs/>
          <w:lang w:val="en"/>
        </w:rPr>
      </w:pPr>
    </w:p>
    <w:p w14:paraId="66D660FB" w14:textId="77777777" w:rsidR="000B0C37" w:rsidRPr="000B0C37" w:rsidRDefault="000B0C37" w:rsidP="000B0C37">
      <w:pPr>
        <w:rPr>
          <w:lang w:val="en"/>
        </w:rPr>
      </w:pPr>
      <w:r w:rsidRPr="000B0C37">
        <w:rPr>
          <w:b/>
          <w:bCs/>
          <w:lang w:val="en"/>
        </w:rPr>
        <w:t xml:space="preserve">Supplementary Table 3: </w:t>
      </w:r>
      <w:r w:rsidRPr="000B0C37">
        <w:rPr>
          <w:lang w:val="en"/>
        </w:rPr>
        <w:t xml:space="preserve">The table presents a detailed breakdown of the triple contribution from each of the 48 integrated data sources, listing the exact number of triples each source provided to the final 1.04 billion triple </w:t>
      </w:r>
      <w:proofErr w:type="spellStart"/>
      <w:r w:rsidRPr="000B0C37">
        <w:rPr>
          <w:lang w:val="en"/>
        </w:rPr>
        <w:t>EvoAge</w:t>
      </w:r>
      <w:proofErr w:type="spellEnd"/>
      <w:r w:rsidRPr="000B0C37">
        <w:rPr>
          <w:lang w:val="en"/>
        </w:rPr>
        <w:t>-KG.</w:t>
      </w:r>
    </w:p>
    <w:p w14:paraId="49536FD3" w14:textId="77777777" w:rsidR="000B0C37" w:rsidRPr="000B0C37" w:rsidRDefault="000B0C37" w:rsidP="000B0C37">
      <w:pPr>
        <w:rPr>
          <w:b/>
          <w:bCs/>
          <w:lang w:val="en"/>
        </w:rPr>
      </w:pPr>
    </w:p>
    <w:p w14:paraId="20F5C80C" w14:textId="77777777" w:rsidR="000B0C37" w:rsidRPr="000B0C37" w:rsidRDefault="000B0C37" w:rsidP="000B0C37">
      <w:pPr>
        <w:rPr>
          <w:lang w:val="en"/>
        </w:rPr>
      </w:pPr>
      <w:r w:rsidRPr="000B0C37">
        <w:rPr>
          <w:b/>
          <w:bCs/>
          <w:lang w:val="en"/>
        </w:rPr>
        <w:t xml:space="preserve">Supplementary Table 4: </w:t>
      </w:r>
      <w:r w:rsidRPr="000B0C37">
        <w:rPr>
          <w:lang w:val="en"/>
        </w:rPr>
        <w:t xml:space="preserve">The table details the triple count distribution for all 66 unique relation types in the </w:t>
      </w:r>
      <w:proofErr w:type="spellStart"/>
      <w:r w:rsidRPr="000B0C37">
        <w:rPr>
          <w:lang w:val="en"/>
        </w:rPr>
        <w:t>EvoAge</w:t>
      </w:r>
      <w:proofErr w:type="spellEnd"/>
      <w:r w:rsidRPr="000B0C37">
        <w:rPr>
          <w:lang w:val="en"/>
        </w:rPr>
        <w:t>-KG, with counts stratified by the species of origin for each relation, providing a comprehensive view of the graph's cross-species composition.</w:t>
      </w:r>
    </w:p>
    <w:p w14:paraId="10083866" w14:textId="77777777" w:rsidR="000B0C37" w:rsidRPr="000B0C37" w:rsidRDefault="000B0C37" w:rsidP="000B0C37">
      <w:pPr>
        <w:rPr>
          <w:b/>
          <w:bCs/>
          <w:lang w:val="en"/>
        </w:rPr>
      </w:pPr>
    </w:p>
    <w:p w14:paraId="266851D6" w14:textId="77777777" w:rsidR="000B0C37" w:rsidRPr="000B0C37" w:rsidRDefault="000B0C37" w:rsidP="000B0C37">
      <w:pPr>
        <w:rPr>
          <w:lang w:val="en"/>
        </w:rPr>
      </w:pPr>
      <w:r w:rsidRPr="000B0C37">
        <w:rPr>
          <w:b/>
          <w:bCs/>
          <w:lang w:val="en"/>
        </w:rPr>
        <w:t xml:space="preserve">Supplementary Table 5: </w:t>
      </w:r>
      <w:r w:rsidRPr="000B0C37">
        <w:rPr>
          <w:lang w:val="en"/>
        </w:rPr>
        <w:t>The table lists the top 100 most-connected 'hub' nodes within the baseline 'Aging' KG, ranked by node degree, revealing the graph's conceptual hubs.</w:t>
      </w:r>
    </w:p>
    <w:p w14:paraId="0B183BBD" w14:textId="77777777" w:rsidR="000B0C37" w:rsidRPr="000B0C37" w:rsidRDefault="000B0C37" w:rsidP="000B0C37">
      <w:pPr>
        <w:rPr>
          <w:b/>
          <w:bCs/>
          <w:lang w:val="en"/>
        </w:rPr>
      </w:pPr>
    </w:p>
    <w:p w14:paraId="3BB86F97" w14:textId="77777777" w:rsidR="000B0C37" w:rsidRPr="000B0C37" w:rsidRDefault="000B0C37" w:rsidP="000B0C37">
      <w:pPr>
        <w:rPr>
          <w:lang w:val="en"/>
        </w:rPr>
      </w:pPr>
      <w:r w:rsidRPr="000B0C37">
        <w:rPr>
          <w:b/>
          <w:bCs/>
          <w:lang w:val="en"/>
        </w:rPr>
        <w:t xml:space="preserve">Supplementary Table 6: </w:t>
      </w:r>
      <w:r w:rsidRPr="000B0C37">
        <w:rPr>
          <w:lang w:val="en"/>
        </w:rPr>
        <w:t>The table lists the top 100 most-connected 'hub' nodes within the final '</w:t>
      </w:r>
      <w:proofErr w:type="spellStart"/>
      <w:r w:rsidRPr="000B0C37">
        <w:rPr>
          <w:lang w:val="en"/>
        </w:rPr>
        <w:t>EvoAge</w:t>
      </w:r>
      <w:proofErr w:type="spellEnd"/>
      <w:r w:rsidRPr="000B0C37">
        <w:rPr>
          <w:lang w:val="en"/>
        </w:rPr>
        <w:t>' KG, ranked by node degree, highlighting the structural and functional anchors of the integrated graph.</w:t>
      </w:r>
    </w:p>
    <w:p w14:paraId="2D9DDAF5" w14:textId="77777777" w:rsidR="000B0C37" w:rsidRPr="000B0C37" w:rsidRDefault="000B0C37" w:rsidP="000B0C37">
      <w:pPr>
        <w:rPr>
          <w:b/>
          <w:bCs/>
          <w:lang w:val="en"/>
        </w:rPr>
      </w:pPr>
    </w:p>
    <w:p w14:paraId="1BE5C073" w14:textId="77777777" w:rsidR="000B0C37" w:rsidRPr="000B0C37" w:rsidRDefault="000B0C37" w:rsidP="000B0C37">
      <w:pPr>
        <w:rPr>
          <w:lang w:val="en"/>
        </w:rPr>
      </w:pPr>
      <w:r w:rsidRPr="000B0C37">
        <w:rPr>
          <w:b/>
          <w:bCs/>
          <w:lang w:val="en"/>
        </w:rPr>
        <w:t xml:space="preserve">Supplementary Table 7: </w:t>
      </w:r>
      <w:r w:rsidRPr="000B0C37">
        <w:rPr>
          <w:lang w:val="en"/>
        </w:rPr>
        <w:t xml:space="preserve">The table presents the comprehensive KGE model evaluation metrics, including Mean Reciprocal Rank (MRR), Mean Rank (MR), and Hits@1, @3, and @10 scores for all tested models on the training, validation, and test sets for both </w:t>
      </w:r>
      <w:proofErr w:type="spellStart"/>
      <w:r w:rsidRPr="000B0C37">
        <w:rPr>
          <w:lang w:val="en"/>
        </w:rPr>
        <w:t>KGs.</w:t>
      </w:r>
      <w:proofErr w:type="spellEnd"/>
    </w:p>
    <w:p w14:paraId="5814AE47" w14:textId="77777777" w:rsidR="000B0C37" w:rsidRPr="000B0C37" w:rsidRDefault="000B0C37" w:rsidP="000B0C37">
      <w:pPr>
        <w:rPr>
          <w:b/>
          <w:bCs/>
          <w:lang w:val="en"/>
        </w:rPr>
      </w:pPr>
    </w:p>
    <w:p w14:paraId="2C6EC3F8" w14:textId="77777777" w:rsidR="000B0C37" w:rsidRPr="000B0C37" w:rsidRDefault="000B0C37" w:rsidP="000B0C37">
      <w:pPr>
        <w:rPr>
          <w:lang w:val="en"/>
        </w:rPr>
      </w:pPr>
      <w:r w:rsidRPr="000B0C37">
        <w:rPr>
          <w:b/>
          <w:bCs/>
          <w:lang w:val="en"/>
        </w:rPr>
        <w:t xml:space="preserve">Supplementary Table 8: </w:t>
      </w:r>
      <w:r w:rsidRPr="000B0C37">
        <w:rPr>
          <w:lang w:val="en"/>
        </w:rPr>
        <w:t xml:space="preserve">The table lists all critical software packages, libraries, and their specific versions used for the frontend, backend, and model training of the </w:t>
      </w:r>
      <w:proofErr w:type="spellStart"/>
      <w:r w:rsidRPr="000B0C37">
        <w:rPr>
          <w:lang w:val="en"/>
        </w:rPr>
        <w:t>EvoAge</w:t>
      </w:r>
      <w:proofErr w:type="spellEnd"/>
      <w:r w:rsidRPr="000B0C37">
        <w:rPr>
          <w:lang w:val="en"/>
        </w:rPr>
        <w:t xml:space="preserve"> platform to ensure computational reproducibility.</w:t>
      </w:r>
    </w:p>
    <w:p w14:paraId="3060C355" w14:textId="77777777" w:rsidR="000B0C37" w:rsidRPr="000B0C37" w:rsidRDefault="000B0C37" w:rsidP="000B0C37">
      <w:pPr>
        <w:rPr>
          <w:b/>
          <w:bCs/>
          <w:lang w:val="en"/>
        </w:rPr>
      </w:pPr>
    </w:p>
    <w:p w14:paraId="0B325D3D" w14:textId="77777777" w:rsidR="000B0C37" w:rsidRPr="000B0C37" w:rsidRDefault="000B0C37" w:rsidP="000B0C37">
      <w:pPr>
        <w:rPr>
          <w:lang w:val="en"/>
        </w:rPr>
      </w:pPr>
      <w:r w:rsidRPr="000B0C37">
        <w:rPr>
          <w:b/>
          <w:bCs/>
          <w:lang w:val="en"/>
        </w:rPr>
        <w:t xml:space="preserve">Supplementary Table 9: </w:t>
      </w:r>
      <w:r w:rsidRPr="000B0C37">
        <w:rPr>
          <w:lang w:val="en"/>
        </w:rPr>
        <w:t>The table details the optimal Youden's J cutoffs for the hypothesis testing function, providing the relation-specific threshold, True Positive Rate (TPR), and False Positive Rate (FPR) for each of the 66 relation types.</w:t>
      </w:r>
    </w:p>
    <w:p w14:paraId="262F99F8" w14:textId="77777777" w:rsidR="000B0C37" w:rsidRPr="000B0C37" w:rsidRDefault="000B0C37" w:rsidP="000B0C37">
      <w:pPr>
        <w:rPr>
          <w:b/>
          <w:bCs/>
          <w:lang w:val="en"/>
        </w:rPr>
      </w:pPr>
    </w:p>
    <w:p w14:paraId="0B328A66" w14:textId="77777777" w:rsidR="000B0C37" w:rsidRPr="000B0C37" w:rsidRDefault="000B0C37" w:rsidP="000B0C37">
      <w:pPr>
        <w:rPr>
          <w:lang w:val="en"/>
        </w:rPr>
      </w:pPr>
      <w:r w:rsidRPr="000B0C37">
        <w:rPr>
          <w:b/>
          <w:bCs/>
          <w:lang w:val="en"/>
        </w:rPr>
        <w:t xml:space="preserve">Supplementary Table 10: </w:t>
      </w:r>
      <w:r w:rsidRPr="000B0C37">
        <w:rPr>
          <w:lang w:val="en"/>
        </w:rPr>
        <w:t xml:space="preserve">The table describes the hypothesis testing benchmark dataset, listing the 980 curated </w:t>
      </w:r>
      <w:proofErr w:type="spellStart"/>
      <w:r w:rsidRPr="000B0C37">
        <w:rPr>
          <w:lang w:val="en"/>
        </w:rPr>
        <w:t>BioRxiv</w:t>
      </w:r>
      <w:proofErr w:type="spellEnd"/>
      <w:r w:rsidRPr="000B0C37">
        <w:rPr>
          <w:lang w:val="en"/>
        </w:rPr>
        <w:t xml:space="preserve"> preprints and the 5,700 positive and negative hypothesis questions generated from their abstracts.</w:t>
      </w:r>
    </w:p>
    <w:p w14:paraId="2CF43396" w14:textId="77777777" w:rsidR="000B0C37" w:rsidRPr="000B0C37" w:rsidRDefault="000B0C37" w:rsidP="000B0C37">
      <w:pPr>
        <w:rPr>
          <w:b/>
          <w:bCs/>
          <w:lang w:val="en"/>
        </w:rPr>
      </w:pPr>
    </w:p>
    <w:p w14:paraId="2F6BD4BD" w14:textId="77777777" w:rsidR="000B0C37" w:rsidRPr="000B0C37" w:rsidRDefault="000B0C37" w:rsidP="000B0C37">
      <w:pPr>
        <w:rPr>
          <w:lang w:val="en"/>
        </w:rPr>
      </w:pPr>
      <w:r w:rsidRPr="000B0C37">
        <w:rPr>
          <w:b/>
          <w:bCs/>
          <w:lang w:val="en"/>
        </w:rPr>
        <w:t xml:space="preserve">Supplementary Table 11: </w:t>
      </w:r>
      <w:r w:rsidRPr="000B0C37">
        <w:rPr>
          <w:lang w:val="en"/>
        </w:rPr>
        <w:t>The table provides the response from all four tested models (</w:t>
      </w:r>
      <w:proofErr w:type="spellStart"/>
      <w:r w:rsidRPr="000B0C37">
        <w:rPr>
          <w:lang w:val="en"/>
        </w:rPr>
        <w:t>EvoAge</w:t>
      </w:r>
      <w:proofErr w:type="spellEnd"/>
      <w:r w:rsidRPr="000B0C37">
        <w:rPr>
          <w:lang w:val="en"/>
        </w:rPr>
        <w:t>, Llama, Gemma, Qwen) of positive and negative hypothesis.</w:t>
      </w:r>
    </w:p>
    <w:p w14:paraId="56CD28EE" w14:textId="77777777" w:rsidR="000B0C37" w:rsidRPr="000B0C37" w:rsidRDefault="000B0C37" w:rsidP="000B0C37">
      <w:pPr>
        <w:rPr>
          <w:b/>
          <w:bCs/>
          <w:lang w:val="en"/>
        </w:rPr>
      </w:pPr>
    </w:p>
    <w:p w14:paraId="17A81D3D" w14:textId="77777777" w:rsidR="000B0C37" w:rsidRPr="000B0C37" w:rsidRDefault="000B0C37" w:rsidP="000B0C37">
      <w:pPr>
        <w:rPr>
          <w:lang w:val="en"/>
        </w:rPr>
      </w:pPr>
      <w:r w:rsidRPr="000B0C37">
        <w:rPr>
          <w:b/>
          <w:bCs/>
          <w:lang w:val="en"/>
        </w:rPr>
        <w:t xml:space="preserve">Supplementary Table 12: </w:t>
      </w:r>
      <w:r w:rsidRPr="000B0C37">
        <w:rPr>
          <w:lang w:val="en"/>
        </w:rPr>
        <w:t xml:space="preserve">The table provides </w:t>
      </w:r>
      <w:proofErr w:type="gramStart"/>
      <w:r w:rsidRPr="000B0C37">
        <w:rPr>
          <w:lang w:val="en"/>
        </w:rPr>
        <w:t>the complete</w:t>
      </w:r>
      <w:proofErr w:type="gramEnd"/>
      <w:r w:rsidRPr="000B0C37">
        <w:rPr>
          <w:lang w:val="en"/>
        </w:rPr>
        <w:t xml:space="preserve"> raw data and graded scores from the hypothesis testing benchmark, showing the 1-10 grade for every response from all four tested models (</w:t>
      </w:r>
      <w:proofErr w:type="spellStart"/>
      <w:r w:rsidRPr="000B0C37">
        <w:rPr>
          <w:lang w:val="en"/>
        </w:rPr>
        <w:t>EvoAge</w:t>
      </w:r>
      <w:proofErr w:type="spellEnd"/>
      <w:r w:rsidRPr="000B0C37">
        <w:rPr>
          <w:lang w:val="en"/>
        </w:rPr>
        <w:t>, Llama, Gemma, Qwen).</w:t>
      </w:r>
    </w:p>
    <w:p w14:paraId="27765A6B" w14:textId="77777777" w:rsidR="000B0C37" w:rsidRPr="000B0C37" w:rsidRDefault="000B0C37" w:rsidP="000B0C37">
      <w:pPr>
        <w:rPr>
          <w:lang w:val="en"/>
        </w:rPr>
      </w:pPr>
    </w:p>
    <w:p w14:paraId="027789A0" w14:textId="77777777" w:rsidR="000B0C37" w:rsidRPr="000B0C37" w:rsidRDefault="000B0C37" w:rsidP="000B0C37">
      <w:pPr>
        <w:rPr>
          <w:lang w:val="en"/>
        </w:rPr>
      </w:pPr>
      <w:r w:rsidRPr="000B0C37">
        <w:rPr>
          <w:b/>
          <w:bCs/>
          <w:lang w:val="en"/>
        </w:rPr>
        <w:t xml:space="preserve">Supplementary Table 13: </w:t>
      </w:r>
      <w:r w:rsidRPr="000B0C37">
        <w:rPr>
          <w:lang w:val="en"/>
        </w:rPr>
        <w:t xml:space="preserve">This table presents the Shapiro-Wilk test results for BACE1 nanodomain Intensity and Area across all species and groups. The consistently low P-values (p &lt;= 0.05) confirm that all BACE1 nanodomain metrics are </w:t>
      </w:r>
      <w:proofErr w:type="gramStart"/>
      <w:r w:rsidRPr="000B0C37">
        <w:rPr>
          <w:lang w:val="en"/>
        </w:rPr>
        <w:t>Non-Gaussian</w:t>
      </w:r>
      <w:proofErr w:type="gramEnd"/>
      <w:r w:rsidRPr="000B0C37">
        <w:rPr>
          <w:lang w:val="en"/>
        </w:rPr>
        <w:t xml:space="preserve">, mandating the use of non-parametric statistics (Mann-Whitney U test) for all subsequent analyses. </w:t>
      </w:r>
    </w:p>
    <w:p w14:paraId="3EE76EEE" w14:textId="77777777" w:rsidR="000B0C37" w:rsidRPr="000B0C37" w:rsidRDefault="000B0C37" w:rsidP="000B0C37">
      <w:pPr>
        <w:rPr>
          <w:lang w:val="en"/>
        </w:rPr>
      </w:pPr>
    </w:p>
    <w:p w14:paraId="4F9775F5" w14:textId="77777777" w:rsidR="000B0C37" w:rsidRPr="000B0C37" w:rsidRDefault="000B0C37" w:rsidP="000B0C37">
      <w:pPr>
        <w:rPr>
          <w:b/>
          <w:bCs/>
          <w:lang w:val="en"/>
        </w:rPr>
      </w:pPr>
      <w:r w:rsidRPr="000B0C37">
        <w:rPr>
          <w:b/>
          <w:bCs/>
          <w:lang w:val="en"/>
        </w:rPr>
        <w:t xml:space="preserve">Supplementary Table 14: </w:t>
      </w:r>
      <w:r w:rsidRPr="000B0C37">
        <w:rPr>
          <w:lang w:val="en"/>
        </w:rPr>
        <w:t>This table presents the Bayesian Information Criterion (BIC) results from the Gaussian Mixture Model (GMM) analysis comparing 1- and 2-component models for BACE1 nanodomain Intensity and Length across all species and groups.</w:t>
      </w:r>
    </w:p>
    <w:p w14:paraId="00950C27" w14:textId="77777777" w:rsidR="000B0C37" w:rsidRPr="000B0C37" w:rsidRDefault="000B0C37" w:rsidP="000B0C37">
      <w:pPr>
        <w:rPr>
          <w:b/>
          <w:bCs/>
          <w:lang w:val="en"/>
        </w:rPr>
      </w:pPr>
    </w:p>
    <w:p w14:paraId="70FFE6F7" w14:textId="77777777" w:rsidR="000B0C37" w:rsidRPr="000B0C37" w:rsidRDefault="000B0C37" w:rsidP="000B0C37">
      <w:pPr>
        <w:rPr>
          <w:lang w:val="en"/>
        </w:rPr>
      </w:pPr>
      <w:r w:rsidRPr="000B0C37">
        <w:rPr>
          <w:b/>
          <w:bCs/>
          <w:lang w:val="en"/>
        </w:rPr>
        <w:t xml:space="preserve">Supplementary Table 15: </w:t>
      </w:r>
      <w:r w:rsidRPr="000B0C37">
        <w:rPr>
          <w:lang w:val="en"/>
        </w:rPr>
        <w:t>This table presents the full Mann-Whitney U test results (including p-values and Fold Changes) corresponding to Figures 4k, 4l, and 4m.</w:t>
      </w:r>
    </w:p>
    <w:p w14:paraId="244C97C8" w14:textId="77777777" w:rsidR="000B0C37" w:rsidRPr="000B0C37" w:rsidRDefault="000B0C37" w:rsidP="000B0C37">
      <w:pPr>
        <w:rPr>
          <w:lang w:val="en"/>
        </w:rPr>
      </w:pPr>
    </w:p>
    <w:p w14:paraId="29679106" w14:textId="77777777" w:rsidR="000B0C37" w:rsidRPr="000B0C37" w:rsidRDefault="000B0C37" w:rsidP="000B0C37">
      <w:pPr>
        <w:rPr>
          <w:lang w:val="en"/>
        </w:rPr>
      </w:pPr>
      <w:r w:rsidRPr="000B0C37">
        <w:rPr>
          <w:b/>
          <w:bCs/>
          <w:lang w:val="en"/>
        </w:rPr>
        <w:t xml:space="preserve">Supplementary Table 16: </w:t>
      </w:r>
      <w:r w:rsidRPr="000B0C37">
        <w:rPr>
          <w:lang w:val="en"/>
        </w:rPr>
        <w:t>Tabular representation of the list of materials used for iPSC cultures.</w:t>
      </w:r>
    </w:p>
    <w:p w14:paraId="053363F5" w14:textId="77777777" w:rsidR="000B0C37" w:rsidRPr="000B0C37" w:rsidRDefault="000B0C37" w:rsidP="000B0C37">
      <w:pPr>
        <w:rPr>
          <w:lang w:val="en"/>
        </w:rPr>
      </w:pPr>
      <w:r w:rsidRPr="000B0C37">
        <w:rPr>
          <w:lang w:val="en"/>
        </w:rPr>
        <w:br w:type="page"/>
      </w:r>
    </w:p>
    <w:p w14:paraId="6A1277B7"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C37"/>
    <w:rsid w:val="000B0C37"/>
    <w:rsid w:val="00767E38"/>
    <w:rsid w:val="007E30C5"/>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114BF"/>
  <w15:chartTrackingRefBased/>
  <w15:docId w15:val="{2F2919B4-91DF-4412-A811-B6D5CD809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0C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0C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0C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0C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0C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0C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0C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0C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0C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0C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0C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0C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0C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0C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0C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0C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0C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0C37"/>
    <w:rPr>
      <w:rFonts w:eastAsiaTheme="majorEastAsia" w:cstheme="majorBidi"/>
      <w:color w:val="272727" w:themeColor="text1" w:themeTint="D8"/>
    </w:rPr>
  </w:style>
  <w:style w:type="paragraph" w:styleId="Title">
    <w:name w:val="Title"/>
    <w:basedOn w:val="Normal"/>
    <w:next w:val="Normal"/>
    <w:link w:val="TitleChar"/>
    <w:uiPriority w:val="10"/>
    <w:qFormat/>
    <w:rsid w:val="000B0C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0C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0C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0C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0C37"/>
    <w:pPr>
      <w:spacing w:before="160"/>
      <w:jc w:val="center"/>
    </w:pPr>
    <w:rPr>
      <w:i/>
      <w:iCs/>
      <w:color w:val="404040" w:themeColor="text1" w:themeTint="BF"/>
    </w:rPr>
  </w:style>
  <w:style w:type="character" w:customStyle="1" w:styleId="QuoteChar">
    <w:name w:val="Quote Char"/>
    <w:basedOn w:val="DefaultParagraphFont"/>
    <w:link w:val="Quote"/>
    <w:uiPriority w:val="29"/>
    <w:rsid w:val="000B0C37"/>
    <w:rPr>
      <w:i/>
      <w:iCs/>
      <w:color w:val="404040" w:themeColor="text1" w:themeTint="BF"/>
    </w:rPr>
  </w:style>
  <w:style w:type="paragraph" w:styleId="ListParagraph">
    <w:name w:val="List Paragraph"/>
    <w:basedOn w:val="Normal"/>
    <w:uiPriority w:val="34"/>
    <w:qFormat/>
    <w:rsid w:val="000B0C37"/>
    <w:pPr>
      <w:ind w:left="720"/>
      <w:contextualSpacing/>
    </w:pPr>
  </w:style>
  <w:style w:type="character" w:styleId="IntenseEmphasis">
    <w:name w:val="Intense Emphasis"/>
    <w:basedOn w:val="DefaultParagraphFont"/>
    <w:uiPriority w:val="21"/>
    <w:qFormat/>
    <w:rsid w:val="000B0C37"/>
    <w:rPr>
      <w:i/>
      <w:iCs/>
      <w:color w:val="0F4761" w:themeColor="accent1" w:themeShade="BF"/>
    </w:rPr>
  </w:style>
  <w:style w:type="paragraph" w:styleId="IntenseQuote">
    <w:name w:val="Intense Quote"/>
    <w:basedOn w:val="Normal"/>
    <w:next w:val="Normal"/>
    <w:link w:val="IntenseQuoteChar"/>
    <w:uiPriority w:val="30"/>
    <w:qFormat/>
    <w:rsid w:val="000B0C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0C37"/>
    <w:rPr>
      <w:i/>
      <w:iCs/>
      <w:color w:val="0F4761" w:themeColor="accent1" w:themeShade="BF"/>
    </w:rPr>
  </w:style>
  <w:style w:type="character" w:styleId="IntenseReference">
    <w:name w:val="Intense Reference"/>
    <w:basedOn w:val="DefaultParagraphFont"/>
    <w:uiPriority w:val="32"/>
    <w:qFormat/>
    <w:rsid w:val="000B0C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1420</Words>
  <Characters>8100</Characters>
  <Application>Microsoft Office Word</Application>
  <DocSecurity>0</DocSecurity>
  <Lines>67</Lines>
  <Paragraphs>19</Paragraphs>
  <ScaleCrop>false</ScaleCrop>
  <Company/>
  <LinksUpToDate>false</LinksUpToDate>
  <CharactersWithSpaces>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2026-03-13T09:37:00Z</dcterms:created>
  <dcterms:modified xsi:type="dcterms:W3CDTF">2026-03-13T09:37:00Z</dcterms:modified>
</cp:coreProperties>
</file>