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6D1D1" w14:textId="463B3C41" w:rsidR="00CA59C0" w:rsidRDefault="00BF018F">
      <w:pPr>
        <w:rPr>
          <w:lang w:val="en-US"/>
        </w:rPr>
      </w:pPr>
      <w:r>
        <w:rPr>
          <w:lang w:val="en-US"/>
        </w:rPr>
        <w:t xml:space="preserve">Table: Primer and Probes for Real-time PCR </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35"/>
        <w:gridCol w:w="1495"/>
        <w:gridCol w:w="5529"/>
        <w:gridCol w:w="1275"/>
        <w:gridCol w:w="1560"/>
        <w:gridCol w:w="2381"/>
      </w:tblGrid>
      <w:tr w:rsidR="00BF018F" w:rsidRPr="00437BC9" w14:paraId="2E3D26E3" w14:textId="77777777" w:rsidTr="00BF018F">
        <w:trPr>
          <w:trHeight w:val="1055"/>
        </w:trPr>
        <w:tc>
          <w:tcPr>
            <w:tcW w:w="1335" w:type="dxa"/>
            <w:tcMar>
              <w:top w:w="15" w:type="dxa"/>
              <w:left w:w="65" w:type="dxa"/>
              <w:bottom w:w="0" w:type="dxa"/>
              <w:right w:w="65" w:type="dxa"/>
            </w:tcMar>
          </w:tcPr>
          <w:p w14:paraId="488D5A96"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b/>
                <w:bCs/>
                <w:sz w:val="24"/>
                <w:szCs w:val="24"/>
              </w:rPr>
              <w:t>Gene</w:t>
            </w:r>
          </w:p>
        </w:tc>
        <w:tc>
          <w:tcPr>
            <w:tcW w:w="1495" w:type="dxa"/>
            <w:tcMar>
              <w:top w:w="15" w:type="dxa"/>
              <w:left w:w="65" w:type="dxa"/>
              <w:bottom w:w="0" w:type="dxa"/>
              <w:right w:w="65" w:type="dxa"/>
            </w:tcMar>
          </w:tcPr>
          <w:p w14:paraId="71D906A1"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b/>
                <w:bCs/>
                <w:sz w:val="24"/>
                <w:szCs w:val="24"/>
              </w:rPr>
              <w:t>Primers/</w:t>
            </w:r>
          </w:p>
          <w:p w14:paraId="2DE03C09"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b/>
                <w:bCs/>
                <w:sz w:val="24"/>
                <w:szCs w:val="24"/>
              </w:rPr>
              <w:t>Probes</w:t>
            </w:r>
          </w:p>
        </w:tc>
        <w:tc>
          <w:tcPr>
            <w:tcW w:w="5529" w:type="dxa"/>
            <w:tcMar>
              <w:top w:w="15" w:type="dxa"/>
              <w:left w:w="65" w:type="dxa"/>
              <w:bottom w:w="0" w:type="dxa"/>
              <w:right w:w="65" w:type="dxa"/>
            </w:tcMar>
          </w:tcPr>
          <w:p w14:paraId="0E6BEE54"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b/>
                <w:bCs/>
                <w:sz w:val="24"/>
                <w:szCs w:val="24"/>
              </w:rPr>
              <w:t xml:space="preserve">                            Sequence</w:t>
            </w:r>
          </w:p>
        </w:tc>
        <w:tc>
          <w:tcPr>
            <w:tcW w:w="1275" w:type="dxa"/>
            <w:tcMar>
              <w:top w:w="15" w:type="dxa"/>
              <w:left w:w="65" w:type="dxa"/>
              <w:bottom w:w="0" w:type="dxa"/>
              <w:right w:w="65" w:type="dxa"/>
            </w:tcMar>
          </w:tcPr>
          <w:p w14:paraId="5DA2C3D0"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b/>
                <w:bCs/>
                <w:sz w:val="24"/>
                <w:szCs w:val="24"/>
              </w:rPr>
              <w:t xml:space="preserve">Amplicon </w:t>
            </w:r>
          </w:p>
          <w:p w14:paraId="483EDE59"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b/>
                <w:bCs/>
                <w:sz w:val="24"/>
                <w:szCs w:val="24"/>
              </w:rPr>
              <w:t>Size (bp)</w:t>
            </w:r>
          </w:p>
        </w:tc>
        <w:tc>
          <w:tcPr>
            <w:tcW w:w="1560" w:type="dxa"/>
            <w:tcMar>
              <w:top w:w="15" w:type="dxa"/>
              <w:left w:w="65" w:type="dxa"/>
              <w:bottom w:w="0" w:type="dxa"/>
              <w:right w:w="65" w:type="dxa"/>
            </w:tcMar>
          </w:tcPr>
          <w:p w14:paraId="7DFC1964" w14:textId="77777777" w:rsidR="00BF018F" w:rsidRDefault="00BF018F" w:rsidP="00B72270">
            <w:pPr>
              <w:tabs>
                <w:tab w:val="left" w:pos="3897"/>
              </w:tabs>
              <w:rPr>
                <w:rFonts w:ascii="Times New Roman" w:hAnsi="Times New Roman" w:cs="Times New Roman"/>
                <w:b/>
                <w:bCs/>
                <w:sz w:val="24"/>
                <w:szCs w:val="24"/>
              </w:rPr>
            </w:pPr>
            <w:r w:rsidRPr="00437BC9">
              <w:rPr>
                <w:rFonts w:ascii="Times New Roman" w:hAnsi="Times New Roman" w:cs="Times New Roman"/>
                <w:b/>
                <w:bCs/>
                <w:sz w:val="24"/>
                <w:szCs w:val="24"/>
              </w:rPr>
              <w:t xml:space="preserve">Annealing </w:t>
            </w:r>
          </w:p>
          <w:p w14:paraId="2EE4E9BB" w14:textId="056B3C7C"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b/>
                <w:bCs/>
                <w:sz w:val="24"/>
                <w:szCs w:val="24"/>
              </w:rPr>
              <w:t>Tempt</w:t>
            </w:r>
          </w:p>
        </w:tc>
        <w:tc>
          <w:tcPr>
            <w:tcW w:w="2381" w:type="dxa"/>
            <w:tcMar>
              <w:top w:w="15" w:type="dxa"/>
              <w:left w:w="65" w:type="dxa"/>
              <w:bottom w:w="0" w:type="dxa"/>
              <w:right w:w="65" w:type="dxa"/>
            </w:tcMar>
          </w:tcPr>
          <w:p w14:paraId="1EE765E8" w14:textId="70149559" w:rsidR="00BF018F" w:rsidRPr="00BF018F" w:rsidRDefault="00BF018F" w:rsidP="00B72270">
            <w:pPr>
              <w:tabs>
                <w:tab w:val="left" w:pos="3897"/>
              </w:tabs>
              <w:rPr>
                <w:rFonts w:ascii="Times New Roman" w:hAnsi="Times New Roman" w:cs="Times New Roman"/>
                <w:b/>
                <w:bCs/>
                <w:sz w:val="24"/>
                <w:szCs w:val="24"/>
              </w:rPr>
            </w:pPr>
            <w:r w:rsidRPr="00437BC9">
              <w:rPr>
                <w:rFonts w:ascii="Times New Roman" w:hAnsi="Times New Roman" w:cs="Times New Roman"/>
                <w:b/>
                <w:bCs/>
                <w:sz w:val="24"/>
                <w:szCs w:val="24"/>
              </w:rPr>
              <w:t>      References</w:t>
            </w:r>
          </w:p>
        </w:tc>
      </w:tr>
      <w:tr w:rsidR="00BF018F" w:rsidRPr="00437BC9" w14:paraId="78829ED2" w14:textId="77777777" w:rsidTr="00BF018F">
        <w:trPr>
          <w:trHeight w:val="304"/>
        </w:trPr>
        <w:tc>
          <w:tcPr>
            <w:tcW w:w="1335" w:type="dxa"/>
            <w:vMerge w:val="restart"/>
            <w:tcMar>
              <w:top w:w="15" w:type="dxa"/>
              <w:left w:w="65" w:type="dxa"/>
              <w:bottom w:w="0" w:type="dxa"/>
              <w:right w:w="65" w:type="dxa"/>
            </w:tcMar>
          </w:tcPr>
          <w:p w14:paraId="7B098F61"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w:t>
            </w:r>
          </w:p>
          <w:p w14:paraId="38CE6FEE" w14:textId="77777777" w:rsidR="00BF018F" w:rsidRPr="00437BC9" w:rsidRDefault="00BF018F" w:rsidP="00B72270">
            <w:pPr>
              <w:tabs>
                <w:tab w:val="left" w:pos="3897"/>
              </w:tabs>
              <w:rPr>
                <w:rFonts w:ascii="Times New Roman" w:hAnsi="Times New Roman" w:cs="Times New Roman"/>
                <w:sz w:val="24"/>
                <w:szCs w:val="24"/>
              </w:rPr>
            </w:pPr>
            <w:bookmarkStart w:id="0" w:name="_Hlk178674404"/>
            <w:r w:rsidRPr="00437BC9">
              <w:rPr>
                <w:rFonts w:ascii="Times New Roman" w:hAnsi="Times New Roman" w:cs="Times New Roman"/>
                <w:sz w:val="24"/>
                <w:szCs w:val="24"/>
              </w:rPr>
              <w:t>OXA-48</w:t>
            </w:r>
            <w:bookmarkEnd w:id="0"/>
          </w:p>
        </w:tc>
        <w:tc>
          <w:tcPr>
            <w:tcW w:w="1495" w:type="dxa"/>
            <w:tcMar>
              <w:top w:w="15" w:type="dxa"/>
              <w:left w:w="65" w:type="dxa"/>
              <w:bottom w:w="0" w:type="dxa"/>
              <w:right w:w="65" w:type="dxa"/>
            </w:tcMar>
          </w:tcPr>
          <w:p w14:paraId="62A8C251"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Forward</w:t>
            </w:r>
          </w:p>
        </w:tc>
        <w:tc>
          <w:tcPr>
            <w:tcW w:w="5529" w:type="dxa"/>
            <w:tcMar>
              <w:top w:w="15" w:type="dxa"/>
              <w:left w:w="65" w:type="dxa"/>
              <w:bottom w:w="0" w:type="dxa"/>
              <w:right w:w="65" w:type="dxa"/>
            </w:tcMar>
          </w:tcPr>
          <w:p w14:paraId="7F339ADA" w14:textId="2DA1B812"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5′</w:t>
            </w:r>
            <w:r>
              <w:rPr>
                <w:rFonts w:ascii="Times New Roman" w:hAnsi="Times New Roman" w:cs="Times New Roman"/>
                <w:sz w:val="24"/>
                <w:szCs w:val="24"/>
              </w:rPr>
              <w:t>-</w:t>
            </w:r>
            <w:r w:rsidRPr="00437BC9">
              <w:rPr>
                <w:rFonts w:ascii="Times New Roman" w:hAnsi="Times New Roman" w:cs="Times New Roman"/>
                <w:sz w:val="24"/>
                <w:szCs w:val="24"/>
              </w:rPr>
              <w:t>CTTAAACGGGCGAACCAAGC-3′</w:t>
            </w:r>
          </w:p>
        </w:tc>
        <w:tc>
          <w:tcPr>
            <w:tcW w:w="1275" w:type="dxa"/>
            <w:vMerge w:val="restart"/>
            <w:tcMar>
              <w:top w:w="15" w:type="dxa"/>
              <w:left w:w="65" w:type="dxa"/>
              <w:bottom w:w="0" w:type="dxa"/>
              <w:right w:w="65" w:type="dxa"/>
            </w:tcMar>
          </w:tcPr>
          <w:p w14:paraId="79C89FF1"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101</w:t>
            </w:r>
          </w:p>
          <w:p w14:paraId="20ACDF68"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w:t>
            </w:r>
          </w:p>
        </w:tc>
        <w:tc>
          <w:tcPr>
            <w:tcW w:w="1560" w:type="dxa"/>
            <w:vMerge w:val="restart"/>
            <w:tcMar>
              <w:top w:w="15" w:type="dxa"/>
              <w:left w:w="65" w:type="dxa"/>
              <w:bottom w:w="0" w:type="dxa"/>
              <w:right w:w="65" w:type="dxa"/>
            </w:tcMar>
          </w:tcPr>
          <w:p w14:paraId="23036031"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55</w:t>
            </w:r>
            <w:r w:rsidRPr="00FF20E2">
              <w:rPr>
                <w:rFonts w:ascii="Times New Roman" w:hAnsi="Times New Roman"/>
                <w:color w:val="000000" w:themeColor="text1"/>
                <w:sz w:val="20"/>
                <w:szCs w:val="20"/>
                <w:vertAlign w:val="superscript"/>
              </w:rPr>
              <w:t xml:space="preserve"> </w:t>
            </w:r>
            <w:proofErr w:type="spellStart"/>
            <w:r w:rsidRPr="00FF20E2">
              <w:rPr>
                <w:rFonts w:ascii="Times New Roman" w:hAnsi="Times New Roman"/>
                <w:color w:val="000000" w:themeColor="text1"/>
                <w:sz w:val="20"/>
                <w:szCs w:val="20"/>
                <w:vertAlign w:val="superscript"/>
              </w:rPr>
              <w:t>o</w:t>
            </w:r>
            <w:r w:rsidRPr="00FF20E2">
              <w:rPr>
                <w:rFonts w:ascii="Times New Roman" w:hAnsi="Times New Roman"/>
                <w:color w:val="000000" w:themeColor="text1"/>
                <w:sz w:val="20"/>
                <w:szCs w:val="20"/>
              </w:rPr>
              <w:t>C</w:t>
            </w:r>
            <w:proofErr w:type="spellEnd"/>
          </w:p>
          <w:p w14:paraId="538DEF3F"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w:t>
            </w:r>
          </w:p>
        </w:tc>
        <w:tc>
          <w:tcPr>
            <w:tcW w:w="2381" w:type="dxa"/>
            <w:vMerge w:val="restart"/>
            <w:tcMar>
              <w:top w:w="15" w:type="dxa"/>
              <w:left w:w="65" w:type="dxa"/>
              <w:bottom w:w="0" w:type="dxa"/>
              <w:right w:w="65" w:type="dxa"/>
            </w:tcMar>
          </w:tcPr>
          <w:p w14:paraId="07202D9D" w14:textId="25B41B98" w:rsidR="00BF018F" w:rsidRPr="00AE75F8"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xml:space="preserve"> Lund </w:t>
            </w:r>
            <w:r w:rsidRPr="00437BC9">
              <w:rPr>
                <w:rFonts w:ascii="Times New Roman" w:hAnsi="Times New Roman" w:cs="Times New Roman"/>
                <w:i/>
                <w:iCs/>
                <w:sz w:val="24"/>
                <w:szCs w:val="24"/>
              </w:rPr>
              <w:t>et al</w:t>
            </w:r>
            <w:r w:rsidR="00AE75F8">
              <w:rPr>
                <w:rFonts w:ascii="Times New Roman" w:hAnsi="Times New Roman" w:cs="Times New Roman"/>
                <w:sz w:val="24"/>
                <w:szCs w:val="24"/>
              </w:rPr>
              <w:t xml:space="preserve"> </w:t>
            </w:r>
            <w:r w:rsidR="00AE75F8">
              <w:rPr>
                <w:rFonts w:ascii="Times New Roman" w:hAnsi="Times New Roman" w:cs="Times New Roman"/>
                <w:sz w:val="24"/>
                <w:szCs w:val="24"/>
              </w:rPr>
              <w:fldChar w:fldCharType="begin" w:fldLock="1"/>
            </w:r>
            <w:r w:rsidR="00AE75F8">
              <w:rPr>
                <w:rFonts w:ascii="Times New Roman" w:hAnsi="Times New Roman" w:cs="Times New Roman"/>
                <w:sz w:val="24"/>
                <w:szCs w:val="24"/>
              </w:rPr>
              <w:instrText>ADDIN CSL_CITATION {"citationItems":[{"id":"ITEM-1","itemData":{"DOI":"10.1016/j.diagmicrobio.2018.04.002","ISSN":"18790070","PMID":"29776709","abstract":"An in-house real-time PCR was developed to detect the carbapenemase genes IMP, NDM, VIM, KPC and OXA-48 from both bacterial colonies and directly from fecal material. The assay is a multiplex PCR performed in two tubes with NDM, VIM and IMP genes detected in one tube and OXA-48 and KPC genes in the other. Despite the large amount of primers and probes necessary to cover all variants of especially the VIM and IMP genes, the efficiency of the PCR reactions was from 95 to 100%. When tested on 170 clinical strains and compared to culture results from a reference laboratory, 100% correspondence was found. Fecal samples were spiked with carbapenemase producing strains in different concentrations and analyzed by both PCR and conventional culture. Sensitivity of the PCR analysis varied from 100 to 10,000 cfu/ml fecal material and was comparable to culture on ChromID® CARBA plates. In conclusion, our in-house PCR assay may be able to detect all published variants of IMP, NDM, VIM, KPC and OXA-48 within 2.5 hours and can be performed directly on fecal samples.","author":[{"dropping-particle":"","family":"Lund","given":"Marianne","non-dropping-particle":"","parse-names":false,"suffix":""},{"dropping-particle":"","family":"Petersen","given":"Marianne Bøgild","non-dropping-particle":"","parse-names":false,"suffix":""},{"dropping-particle":"","family":"Jørgensen","given":"Anders Lægaard","non-dropping-particle":"","parse-names":false,"suffix":""},{"dropping-particle":"","family":"Paulmann","given":"Dorte","non-dropping-particle":"","parse-names":false,"suffix":""},{"dropping-particle":"","family":"Wang","given":"Mikala","non-dropping-particle":"","parse-names":false,"suffix":""}],"container-title":"Diagnostic Microbiology and Infectious Disease","id":"ITEM-1","issue":"1","issued":{"date-parts":[["2018","9","1"]]},"page":"8-12","publisher":"Elsevier","title":"Rapid real-time PCR for the detection of IMP, NDM, VIM, KPC and OXA-48 carbapenemase genes in isolates and spiked stool samples","type":"article-journal","volume":"92"},"uris":["http://www.mendeley.com/documents/?uuid=9a82f85d-149b-3188-b7d0-cabe600a5b85"]}],"mendeley":{"formattedCitation":"[1]","plainTextFormattedCitation":"[1]","previouslyFormattedCitation":"[1]"},"properties":{"noteIndex":0},"schema":"https://github.com/citation-style-language/schema/raw/master/csl-citation.json"}</w:instrText>
            </w:r>
            <w:r w:rsidR="00AE75F8">
              <w:rPr>
                <w:rFonts w:ascii="Times New Roman" w:hAnsi="Times New Roman" w:cs="Times New Roman"/>
                <w:sz w:val="24"/>
                <w:szCs w:val="24"/>
              </w:rPr>
              <w:fldChar w:fldCharType="separate"/>
            </w:r>
            <w:r w:rsidR="00AE75F8" w:rsidRPr="00AE75F8">
              <w:rPr>
                <w:rFonts w:ascii="Times New Roman" w:hAnsi="Times New Roman" w:cs="Times New Roman"/>
                <w:noProof/>
                <w:sz w:val="24"/>
                <w:szCs w:val="24"/>
              </w:rPr>
              <w:t>[1]</w:t>
            </w:r>
            <w:r w:rsidR="00AE75F8">
              <w:rPr>
                <w:rFonts w:ascii="Times New Roman" w:hAnsi="Times New Roman" w:cs="Times New Roman"/>
                <w:sz w:val="24"/>
                <w:szCs w:val="24"/>
              </w:rPr>
              <w:fldChar w:fldCharType="end"/>
            </w:r>
          </w:p>
        </w:tc>
      </w:tr>
      <w:tr w:rsidR="00BF018F" w:rsidRPr="00437BC9" w14:paraId="5350F672" w14:textId="77777777" w:rsidTr="00BF018F">
        <w:trPr>
          <w:trHeight w:val="304"/>
        </w:trPr>
        <w:tc>
          <w:tcPr>
            <w:tcW w:w="1335" w:type="dxa"/>
            <w:vMerge/>
            <w:vAlign w:val="center"/>
          </w:tcPr>
          <w:p w14:paraId="4613E6BC" w14:textId="77777777" w:rsidR="00BF018F" w:rsidRPr="00437BC9" w:rsidRDefault="00BF018F" w:rsidP="00B72270">
            <w:pPr>
              <w:tabs>
                <w:tab w:val="left" w:pos="3897"/>
              </w:tabs>
              <w:rPr>
                <w:rFonts w:ascii="Times New Roman" w:hAnsi="Times New Roman" w:cs="Times New Roman"/>
                <w:sz w:val="24"/>
                <w:szCs w:val="24"/>
              </w:rPr>
            </w:pPr>
          </w:p>
        </w:tc>
        <w:tc>
          <w:tcPr>
            <w:tcW w:w="1495" w:type="dxa"/>
            <w:tcMar>
              <w:top w:w="15" w:type="dxa"/>
              <w:left w:w="65" w:type="dxa"/>
              <w:bottom w:w="0" w:type="dxa"/>
              <w:right w:w="65" w:type="dxa"/>
            </w:tcMar>
          </w:tcPr>
          <w:p w14:paraId="04878B4C"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Reverse</w:t>
            </w:r>
          </w:p>
        </w:tc>
        <w:tc>
          <w:tcPr>
            <w:tcW w:w="5529" w:type="dxa"/>
            <w:tcMar>
              <w:top w:w="15" w:type="dxa"/>
              <w:left w:w="65" w:type="dxa"/>
              <w:bottom w:w="0" w:type="dxa"/>
              <w:right w:w="65" w:type="dxa"/>
            </w:tcMar>
          </w:tcPr>
          <w:p w14:paraId="5EF7A3A5"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5′- GTTCATCCTTAACCACGCCC-3′</w:t>
            </w:r>
          </w:p>
        </w:tc>
        <w:tc>
          <w:tcPr>
            <w:tcW w:w="1275" w:type="dxa"/>
            <w:vMerge/>
            <w:vAlign w:val="center"/>
          </w:tcPr>
          <w:p w14:paraId="5D4DE441" w14:textId="77777777" w:rsidR="00BF018F" w:rsidRPr="00437BC9" w:rsidRDefault="00BF018F" w:rsidP="00B72270">
            <w:pPr>
              <w:tabs>
                <w:tab w:val="left" w:pos="3897"/>
              </w:tabs>
              <w:rPr>
                <w:rFonts w:ascii="Times New Roman" w:hAnsi="Times New Roman" w:cs="Times New Roman"/>
                <w:sz w:val="24"/>
                <w:szCs w:val="24"/>
              </w:rPr>
            </w:pPr>
          </w:p>
        </w:tc>
        <w:tc>
          <w:tcPr>
            <w:tcW w:w="1560" w:type="dxa"/>
            <w:vMerge/>
            <w:vAlign w:val="center"/>
          </w:tcPr>
          <w:p w14:paraId="103A805C" w14:textId="77777777" w:rsidR="00BF018F" w:rsidRPr="00437BC9" w:rsidRDefault="00BF018F" w:rsidP="00B72270">
            <w:pPr>
              <w:tabs>
                <w:tab w:val="left" w:pos="3897"/>
              </w:tabs>
              <w:rPr>
                <w:rFonts w:ascii="Times New Roman" w:hAnsi="Times New Roman" w:cs="Times New Roman"/>
                <w:sz w:val="24"/>
                <w:szCs w:val="24"/>
              </w:rPr>
            </w:pPr>
          </w:p>
        </w:tc>
        <w:tc>
          <w:tcPr>
            <w:tcW w:w="2381" w:type="dxa"/>
            <w:vMerge/>
            <w:vAlign w:val="center"/>
          </w:tcPr>
          <w:p w14:paraId="2F5B0EBB" w14:textId="77777777" w:rsidR="00BF018F" w:rsidRPr="00437BC9" w:rsidRDefault="00BF018F" w:rsidP="00B72270">
            <w:pPr>
              <w:tabs>
                <w:tab w:val="left" w:pos="3897"/>
              </w:tabs>
              <w:rPr>
                <w:rFonts w:ascii="Times New Roman" w:hAnsi="Times New Roman" w:cs="Times New Roman"/>
                <w:sz w:val="24"/>
                <w:szCs w:val="24"/>
              </w:rPr>
            </w:pPr>
          </w:p>
        </w:tc>
      </w:tr>
      <w:tr w:rsidR="00BF018F" w:rsidRPr="00437BC9" w14:paraId="67F984F4" w14:textId="77777777" w:rsidTr="00BF018F">
        <w:trPr>
          <w:trHeight w:val="346"/>
        </w:trPr>
        <w:tc>
          <w:tcPr>
            <w:tcW w:w="1335" w:type="dxa"/>
            <w:vMerge/>
            <w:vAlign w:val="center"/>
          </w:tcPr>
          <w:p w14:paraId="640B5D70" w14:textId="77777777" w:rsidR="00BF018F" w:rsidRPr="00437BC9" w:rsidRDefault="00BF018F" w:rsidP="00B72270">
            <w:pPr>
              <w:tabs>
                <w:tab w:val="left" w:pos="3897"/>
              </w:tabs>
              <w:rPr>
                <w:rFonts w:ascii="Times New Roman" w:hAnsi="Times New Roman" w:cs="Times New Roman"/>
                <w:sz w:val="24"/>
                <w:szCs w:val="24"/>
              </w:rPr>
            </w:pPr>
          </w:p>
        </w:tc>
        <w:tc>
          <w:tcPr>
            <w:tcW w:w="1495" w:type="dxa"/>
            <w:tcMar>
              <w:top w:w="15" w:type="dxa"/>
              <w:left w:w="65" w:type="dxa"/>
              <w:bottom w:w="0" w:type="dxa"/>
              <w:right w:w="65" w:type="dxa"/>
            </w:tcMar>
          </w:tcPr>
          <w:p w14:paraId="230C6C5A"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Probe</w:t>
            </w:r>
          </w:p>
        </w:tc>
        <w:tc>
          <w:tcPr>
            <w:tcW w:w="5529" w:type="dxa"/>
            <w:tcMar>
              <w:top w:w="15" w:type="dxa"/>
              <w:left w:w="65" w:type="dxa"/>
              <w:bottom w:w="0" w:type="dxa"/>
              <w:right w:w="65" w:type="dxa"/>
            </w:tcMar>
          </w:tcPr>
          <w:p w14:paraId="2EA58A4B"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b/>
                <w:bCs/>
                <w:sz w:val="24"/>
                <w:szCs w:val="24"/>
              </w:rPr>
              <w:t>6-FAM</w:t>
            </w:r>
            <w:r w:rsidRPr="00437BC9">
              <w:rPr>
                <w:rFonts w:ascii="Times New Roman" w:hAnsi="Times New Roman" w:cs="Times New Roman"/>
                <w:sz w:val="24"/>
                <w:szCs w:val="24"/>
              </w:rPr>
              <w:t>-TTCCCAATAGCTTGATCGCCCTCGATT-</w:t>
            </w:r>
            <w:r w:rsidRPr="00437BC9">
              <w:rPr>
                <w:rFonts w:ascii="Times New Roman" w:hAnsi="Times New Roman" w:cs="Times New Roman"/>
                <w:b/>
                <w:bCs/>
                <w:sz w:val="24"/>
                <w:szCs w:val="24"/>
              </w:rPr>
              <w:t>BHQ</w:t>
            </w:r>
          </w:p>
        </w:tc>
        <w:tc>
          <w:tcPr>
            <w:tcW w:w="1275" w:type="dxa"/>
            <w:vMerge/>
            <w:vAlign w:val="center"/>
          </w:tcPr>
          <w:p w14:paraId="1FB731AB" w14:textId="77777777" w:rsidR="00BF018F" w:rsidRPr="00437BC9" w:rsidRDefault="00BF018F" w:rsidP="00B72270">
            <w:pPr>
              <w:tabs>
                <w:tab w:val="left" w:pos="3897"/>
              </w:tabs>
              <w:rPr>
                <w:rFonts w:ascii="Times New Roman" w:hAnsi="Times New Roman" w:cs="Times New Roman"/>
                <w:sz w:val="24"/>
                <w:szCs w:val="24"/>
              </w:rPr>
            </w:pPr>
          </w:p>
        </w:tc>
        <w:tc>
          <w:tcPr>
            <w:tcW w:w="1560" w:type="dxa"/>
            <w:vMerge/>
            <w:vAlign w:val="center"/>
          </w:tcPr>
          <w:p w14:paraId="51F93F77" w14:textId="77777777" w:rsidR="00BF018F" w:rsidRPr="00437BC9" w:rsidRDefault="00BF018F" w:rsidP="00B72270">
            <w:pPr>
              <w:tabs>
                <w:tab w:val="left" w:pos="3897"/>
              </w:tabs>
              <w:rPr>
                <w:rFonts w:ascii="Times New Roman" w:hAnsi="Times New Roman" w:cs="Times New Roman"/>
                <w:sz w:val="24"/>
                <w:szCs w:val="24"/>
              </w:rPr>
            </w:pPr>
          </w:p>
        </w:tc>
        <w:tc>
          <w:tcPr>
            <w:tcW w:w="2381" w:type="dxa"/>
            <w:vMerge/>
            <w:vAlign w:val="center"/>
          </w:tcPr>
          <w:p w14:paraId="6204A9F8" w14:textId="77777777" w:rsidR="00BF018F" w:rsidRPr="00437BC9" w:rsidRDefault="00BF018F" w:rsidP="00B72270">
            <w:pPr>
              <w:tabs>
                <w:tab w:val="left" w:pos="3897"/>
              </w:tabs>
              <w:rPr>
                <w:rFonts w:ascii="Times New Roman" w:hAnsi="Times New Roman" w:cs="Times New Roman"/>
                <w:sz w:val="24"/>
                <w:szCs w:val="24"/>
              </w:rPr>
            </w:pPr>
          </w:p>
        </w:tc>
      </w:tr>
      <w:tr w:rsidR="00BF018F" w:rsidRPr="00437BC9" w14:paraId="463E231F" w14:textId="77777777" w:rsidTr="00BF018F">
        <w:trPr>
          <w:trHeight w:val="304"/>
        </w:trPr>
        <w:tc>
          <w:tcPr>
            <w:tcW w:w="1335" w:type="dxa"/>
            <w:vMerge w:val="restart"/>
            <w:tcMar>
              <w:top w:w="15" w:type="dxa"/>
              <w:left w:w="65" w:type="dxa"/>
              <w:bottom w:w="0" w:type="dxa"/>
              <w:right w:w="65" w:type="dxa"/>
            </w:tcMar>
          </w:tcPr>
          <w:p w14:paraId="6A6E7A20" w14:textId="77777777" w:rsidR="00BF018F" w:rsidRPr="00437BC9" w:rsidRDefault="00BF018F" w:rsidP="00B72270">
            <w:pPr>
              <w:tabs>
                <w:tab w:val="left" w:pos="3897"/>
              </w:tabs>
              <w:rPr>
                <w:rFonts w:ascii="Times New Roman" w:hAnsi="Times New Roman" w:cs="Times New Roman"/>
                <w:sz w:val="24"/>
                <w:szCs w:val="24"/>
              </w:rPr>
            </w:pPr>
            <w:bookmarkStart w:id="1" w:name="_Hlk178674414"/>
            <w:r w:rsidRPr="00437BC9">
              <w:rPr>
                <w:rFonts w:ascii="Times New Roman" w:hAnsi="Times New Roman" w:cs="Times New Roman"/>
                <w:sz w:val="24"/>
                <w:szCs w:val="24"/>
              </w:rPr>
              <w:t>VIM</w:t>
            </w:r>
            <w:bookmarkEnd w:id="1"/>
          </w:p>
        </w:tc>
        <w:tc>
          <w:tcPr>
            <w:tcW w:w="1495" w:type="dxa"/>
            <w:tcMar>
              <w:top w:w="15" w:type="dxa"/>
              <w:left w:w="65" w:type="dxa"/>
              <w:bottom w:w="0" w:type="dxa"/>
              <w:right w:w="65" w:type="dxa"/>
            </w:tcMar>
          </w:tcPr>
          <w:p w14:paraId="2B5016A3"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Forward</w:t>
            </w:r>
          </w:p>
        </w:tc>
        <w:tc>
          <w:tcPr>
            <w:tcW w:w="5529" w:type="dxa"/>
            <w:tcMar>
              <w:top w:w="15" w:type="dxa"/>
              <w:left w:w="65" w:type="dxa"/>
              <w:bottom w:w="0" w:type="dxa"/>
              <w:right w:w="65" w:type="dxa"/>
            </w:tcMar>
          </w:tcPr>
          <w:p w14:paraId="3A812C1A"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5′- -GATTGATACAGCGTGGGGTG-3′</w:t>
            </w:r>
          </w:p>
        </w:tc>
        <w:tc>
          <w:tcPr>
            <w:tcW w:w="1275" w:type="dxa"/>
            <w:vMerge w:val="restart"/>
            <w:tcMar>
              <w:top w:w="15" w:type="dxa"/>
              <w:left w:w="65" w:type="dxa"/>
              <w:bottom w:w="0" w:type="dxa"/>
              <w:right w:w="65" w:type="dxa"/>
            </w:tcMar>
          </w:tcPr>
          <w:p w14:paraId="0885C6D4"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204</w:t>
            </w:r>
          </w:p>
        </w:tc>
        <w:tc>
          <w:tcPr>
            <w:tcW w:w="1560" w:type="dxa"/>
            <w:vMerge w:val="restart"/>
            <w:tcMar>
              <w:top w:w="15" w:type="dxa"/>
              <w:left w:w="65" w:type="dxa"/>
              <w:bottom w:w="0" w:type="dxa"/>
              <w:right w:w="65" w:type="dxa"/>
            </w:tcMar>
          </w:tcPr>
          <w:p w14:paraId="0F295D47"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54</w:t>
            </w:r>
            <w:r w:rsidRPr="00FF20E2">
              <w:rPr>
                <w:rFonts w:ascii="Times New Roman" w:hAnsi="Times New Roman"/>
                <w:color w:val="000000" w:themeColor="text1"/>
                <w:sz w:val="20"/>
                <w:szCs w:val="20"/>
                <w:vertAlign w:val="superscript"/>
              </w:rPr>
              <w:t xml:space="preserve"> </w:t>
            </w:r>
            <w:proofErr w:type="spellStart"/>
            <w:r w:rsidRPr="00FF20E2">
              <w:rPr>
                <w:rFonts w:ascii="Times New Roman" w:hAnsi="Times New Roman"/>
                <w:color w:val="000000" w:themeColor="text1"/>
                <w:sz w:val="20"/>
                <w:szCs w:val="20"/>
                <w:vertAlign w:val="superscript"/>
              </w:rPr>
              <w:t>o</w:t>
            </w:r>
            <w:r w:rsidRPr="00FF20E2">
              <w:rPr>
                <w:rFonts w:ascii="Times New Roman" w:hAnsi="Times New Roman"/>
                <w:color w:val="000000" w:themeColor="text1"/>
                <w:sz w:val="20"/>
                <w:szCs w:val="20"/>
              </w:rPr>
              <w:t>C</w:t>
            </w:r>
            <w:proofErr w:type="spellEnd"/>
          </w:p>
        </w:tc>
        <w:tc>
          <w:tcPr>
            <w:tcW w:w="2381" w:type="dxa"/>
            <w:vMerge w:val="restart"/>
            <w:tcMar>
              <w:top w:w="15" w:type="dxa"/>
              <w:left w:w="65" w:type="dxa"/>
              <w:bottom w:w="0" w:type="dxa"/>
              <w:right w:w="65" w:type="dxa"/>
            </w:tcMar>
          </w:tcPr>
          <w:p w14:paraId="402E2B41" w14:textId="04B89A30" w:rsidR="00BF018F" w:rsidRPr="00437BC9" w:rsidRDefault="00AE75F8"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xml:space="preserve">Lund </w:t>
            </w:r>
            <w:r w:rsidRPr="00437BC9">
              <w:rPr>
                <w:rFonts w:ascii="Times New Roman" w:hAnsi="Times New Roman" w:cs="Times New Roman"/>
                <w:i/>
                <w:iCs/>
                <w:sz w:val="24"/>
                <w:szCs w:val="24"/>
              </w:rPr>
              <w:t>et 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{"citationItems":[{"id":"ITEM-1","itemData":{"DOI":"10.1016/j.diagmicrobio.2018.04.002","ISSN":"18790070","PMID":"29776709","abstract":"An in-house real-time PCR was developed to detect the carbapenemase genes IMP, NDM, VIM, KPC and OXA-48 from both bacterial colonies and directly from fecal material. The assay is a multiplex PCR performed in two tubes with NDM, VIM and IMP genes detected in one tube and OXA-48 and KPC genes in the other. Despite the large amount of primers and probes necessary to cover all variants of especially the VIM and IMP genes, the efficiency of the PCR reactions was from 95 to 100%. When tested on 170 clinical strains and compared to culture results from a reference laboratory, 100% correspondence was found. Fecal samples were spiked with carbapenemase producing strains in different concentrations and analyzed by both PCR and conventional culture. Sensitivity of the PCR analysis varied from 100 to 10,000 cfu/ml fecal material and was comparable to culture on ChromID® CARBA plates. In conclusion, our in-house PCR assay may be able to detect all published variants of IMP, NDM, VIM, KPC and OXA-48 within 2.5 hours and can be performed directly on fecal samples.","author":[{"dropping-particle":"","family":"Lund","given":"Marianne","non-dropping-particle":"","parse-names":false,"suffix":""},{"dropping-particle":"","family":"Petersen","given":"Marianne Bøgild","non-dropping-particle":"","parse-names":false,"suffix":""},{"dropping-particle":"","family":"Jørgensen","given":"Anders Lægaard","non-dropping-particle":"","parse-names":false,"suffix":""},{"dropping-particle":"","family":"Paulmann","given":"Dorte","non-dropping-particle":"","parse-names":false,"suffix":""},{"dropping-particle":"","family":"Wang","given":"Mikala","non-dropping-particle":"","parse-names":false,"suffix":""}],"container-title":"Diagnostic Microbiology and Infectious Disease","id":"ITEM-1","issue":"1","issued":{"date-parts":[["2018","9","1"]]},"page":"8-12","publisher":"Elsevier","title":"Rapid real-time PCR for the detection of IMP, NDM, VIM, KPC and OXA-48 carbapenemase genes in isolates and spiked stool samples","type":"article-journal","volume":"92"},"uris":["http://www.mendeley.com/documents/?uuid=9a82f85d-149b-3188-b7d0-cabe600a5b85"]}],"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rPr>
              <w:fldChar w:fldCharType="separate"/>
            </w:r>
            <w:r w:rsidRPr="00AE75F8">
              <w:rPr>
                <w:rFonts w:ascii="Times New Roman" w:hAnsi="Times New Roman" w:cs="Times New Roman"/>
                <w:noProof/>
                <w:sz w:val="24"/>
                <w:szCs w:val="24"/>
              </w:rPr>
              <w:t>[1]</w:t>
            </w:r>
            <w:r>
              <w:rPr>
                <w:rFonts w:ascii="Times New Roman" w:hAnsi="Times New Roman" w:cs="Times New Roman"/>
                <w:sz w:val="24"/>
                <w:szCs w:val="24"/>
              </w:rPr>
              <w:fldChar w:fldCharType="end"/>
            </w:r>
            <w:r w:rsidR="00BF018F" w:rsidRPr="00437BC9">
              <w:rPr>
                <w:rFonts w:ascii="Times New Roman" w:hAnsi="Times New Roman" w:cs="Times New Roman"/>
                <w:sz w:val="24"/>
                <w:szCs w:val="24"/>
              </w:rPr>
              <w:t> </w:t>
            </w:r>
          </w:p>
        </w:tc>
      </w:tr>
      <w:tr w:rsidR="00BF018F" w:rsidRPr="00437BC9" w14:paraId="780C2AC2" w14:textId="77777777" w:rsidTr="00BF018F">
        <w:trPr>
          <w:trHeight w:val="304"/>
        </w:trPr>
        <w:tc>
          <w:tcPr>
            <w:tcW w:w="1335" w:type="dxa"/>
            <w:vMerge/>
            <w:vAlign w:val="center"/>
          </w:tcPr>
          <w:p w14:paraId="58D6332D" w14:textId="77777777" w:rsidR="00BF018F" w:rsidRPr="00437BC9" w:rsidRDefault="00BF018F" w:rsidP="00B72270">
            <w:pPr>
              <w:tabs>
                <w:tab w:val="left" w:pos="3897"/>
              </w:tabs>
              <w:rPr>
                <w:rFonts w:ascii="Times New Roman" w:hAnsi="Times New Roman" w:cs="Times New Roman"/>
                <w:sz w:val="24"/>
                <w:szCs w:val="24"/>
              </w:rPr>
            </w:pPr>
          </w:p>
        </w:tc>
        <w:tc>
          <w:tcPr>
            <w:tcW w:w="1495" w:type="dxa"/>
            <w:tcMar>
              <w:top w:w="15" w:type="dxa"/>
              <w:left w:w="65" w:type="dxa"/>
              <w:bottom w:w="0" w:type="dxa"/>
              <w:right w:w="65" w:type="dxa"/>
            </w:tcMar>
          </w:tcPr>
          <w:p w14:paraId="2C763A2A"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Reverse</w:t>
            </w:r>
          </w:p>
        </w:tc>
        <w:tc>
          <w:tcPr>
            <w:tcW w:w="5529" w:type="dxa"/>
            <w:tcMar>
              <w:top w:w="15" w:type="dxa"/>
              <w:left w:w="65" w:type="dxa"/>
              <w:bottom w:w="0" w:type="dxa"/>
              <w:right w:w="65" w:type="dxa"/>
            </w:tcMar>
          </w:tcPr>
          <w:p w14:paraId="4EA2178D"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5′- -AGGGCGATGCGTACGTCGC-3′</w:t>
            </w:r>
          </w:p>
        </w:tc>
        <w:tc>
          <w:tcPr>
            <w:tcW w:w="1275" w:type="dxa"/>
            <w:vMerge/>
            <w:vAlign w:val="center"/>
          </w:tcPr>
          <w:p w14:paraId="3B6E6233" w14:textId="77777777" w:rsidR="00BF018F" w:rsidRPr="00437BC9" w:rsidRDefault="00BF018F" w:rsidP="00B72270">
            <w:pPr>
              <w:tabs>
                <w:tab w:val="left" w:pos="3897"/>
              </w:tabs>
              <w:rPr>
                <w:rFonts w:ascii="Times New Roman" w:hAnsi="Times New Roman" w:cs="Times New Roman"/>
                <w:sz w:val="24"/>
                <w:szCs w:val="24"/>
              </w:rPr>
            </w:pPr>
          </w:p>
        </w:tc>
        <w:tc>
          <w:tcPr>
            <w:tcW w:w="1560" w:type="dxa"/>
            <w:vMerge/>
            <w:vAlign w:val="center"/>
          </w:tcPr>
          <w:p w14:paraId="14BA2089" w14:textId="77777777" w:rsidR="00BF018F" w:rsidRPr="00437BC9" w:rsidRDefault="00BF018F" w:rsidP="00B72270">
            <w:pPr>
              <w:tabs>
                <w:tab w:val="left" w:pos="3897"/>
              </w:tabs>
              <w:rPr>
                <w:rFonts w:ascii="Times New Roman" w:hAnsi="Times New Roman" w:cs="Times New Roman"/>
                <w:sz w:val="24"/>
                <w:szCs w:val="24"/>
              </w:rPr>
            </w:pPr>
          </w:p>
        </w:tc>
        <w:tc>
          <w:tcPr>
            <w:tcW w:w="2381" w:type="dxa"/>
            <w:vMerge/>
            <w:vAlign w:val="center"/>
          </w:tcPr>
          <w:p w14:paraId="437EF1B9" w14:textId="77777777" w:rsidR="00BF018F" w:rsidRPr="00437BC9" w:rsidRDefault="00BF018F" w:rsidP="00B72270">
            <w:pPr>
              <w:tabs>
                <w:tab w:val="left" w:pos="3897"/>
              </w:tabs>
              <w:rPr>
                <w:rFonts w:ascii="Times New Roman" w:hAnsi="Times New Roman" w:cs="Times New Roman"/>
                <w:sz w:val="24"/>
                <w:szCs w:val="24"/>
              </w:rPr>
            </w:pPr>
          </w:p>
        </w:tc>
      </w:tr>
      <w:tr w:rsidR="00BF018F" w:rsidRPr="00437BC9" w14:paraId="0740C732" w14:textId="77777777" w:rsidTr="00BF018F">
        <w:trPr>
          <w:trHeight w:val="304"/>
        </w:trPr>
        <w:tc>
          <w:tcPr>
            <w:tcW w:w="1335" w:type="dxa"/>
            <w:vMerge/>
            <w:vAlign w:val="center"/>
          </w:tcPr>
          <w:p w14:paraId="05D14B8B" w14:textId="77777777" w:rsidR="00BF018F" w:rsidRPr="00437BC9" w:rsidRDefault="00BF018F" w:rsidP="00B72270">
            <w:pPr>
              <w:tabs>
                <w:tab w:val="left" w:pos="3897"/>
              </w:tabs>
              <w:rPr>
                <w:rFonts w:ascii="Times New Roman" w:hAnsi="Times New Roman" w:cs="Times New Roman"/>
                <w:sz w:val="24"/>
                <w:szCs w:val="24"/>
              </w:rPr>
            </w:pPr>
          </w:p>
        </w:tc>
        <w:tc>
          <w:tcPr>
            <w:tcW w:w="1495" w:type="dxa"/>
            <w:tcMar>
              <w:top w:w="15" w:type="dxa"/>
              <w:left w:w="65" w:type="dxa"/>
              <w:bottom w:w="0" w:type="dxa"/>
              <w:right w:w="65" w:type="dxa"/>
            </w:tcMar>
          </w:tcPr>
          <w:p w14:paraId="494BB8BC"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Probe</w:t>
            </w:r>
          </w:p>
        </w:tc>
        <w:tc>
          <w:tcPr>
            <w:tcW w:w="5529" w:type="dxa"/>
            <w:tcMar>
              <w:top w:w="15" w:type="dxa"/>
              <w:left w:w="65" w:type="dxa"/>
              <w:bottom w:w="0" w:type="dxa"/>
              <w:right w:w="65" w:type="dxa"/>
            </w:tcMar>
          </w:tcPr>
          <w:p w14:paraId="78FAE8B3"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b/>
                <w:bCs/>
                <w:sz w:val="24"/>
                <w:szCs w:val="24"/>
              </w:rPr>
              <w:t>Cy5</w:t>
            </w:r>
            <w:r w:rsidRPr="00437BC9">
              <w:rPr>
                <w:rFonts w:ascii="Times New Roman" w:hAnsi="Times New Roman" w:cs="Times New Roman"/>
                <w:sz w:val="24"/>
                <w:szCs w:val="24"/>
              </w:rPr>
              <w:t>-GACGCGGTCGTCATGAAAGTGCGT-</w:t>
            </w:r>
            <w:r w:rsidRPr="00437BC9">
              <w:rPr>
                <w:rFonts w:ascii="Times New Roman" w:hAnsi="Times New Roman" w:cs="Times New Roman"/>
                <w:b/>
                <w:bCs/>
                <w:sz w:val="24"/>
                <w:szCs w:val="24"/>
              </w:rPr>
              <w:t>BHQ</w:t>
            </w:r>
          </w:p>
        </w:tc>
        <w:tc>
          <w:tcPr>
            <w:tcW w:w="1275" w:type="dxa"/>
            <w:vMerge/>
            <w:vAlign w:val="center"/>
          </w:tcPr>
          <w:p w14:paraId="4CBE0427" w14:textId="77777777" w:rsidR="00BF018F" w:rsidRPr="00437BC9" w:rsidRDefault="00BF018F" w:rsidP="00B72270">
            <w:pPr>
              <w:tabs>
                <w:tab w:val="left" w:pos="3897"/>
              </w:tabs>
              <w:rPr>
                <w:rFonts w:ascii="Times New Roman" w:hAnsi="Times New Roman" w:cs="Times New Roman"/>
                <w:sz w:val="24"/>
                <w:szCs w:val="24"/>
              </w:rPr>
            </w:pPr>
          </w:p>
        </w:tc>
        <w:tc>
          <w:tcPr>
            <w:tcW w:w="1560" w:type="dxa"/>
            <w:vMerge/>
            <w:vAlign w:val="center"/>
          </w:tcPr>
          <w:p w14:paraId="30B22004" w14:textId="77777777" w:rsidR="00BF018F" w:rsidRPr="00437BC9" w:rsidRDefault="00BF018F" w:rsidP="00B72270">
            <w:pPr>
              <w:tabs>
                <w:tab w:val="left" w:pos="3897"/>
              </w:tabs>
              <w:rPr>
                <w:rFonts w:ascii="Times New Roman" w:hAnsi="Times New Roman" w:cs="Times New Roman"/>
                <w:sz w:val="24"/>
                <w:szCs w:val="24"/>
              </w:rPr>
            </w:pPr>
          </w:p>
        </w:tc>
        <w:tc>
          <w:tcPr>
            <w:tcW w:w="2381" w:type="dxa"/>
            <w:vMerge/>
            <w:vAlign w:val="center"/>
          </w:tcPr>
          <w:p w14:paraId="3C82F6BF" w14:textId="77777777" w:rsidR="00BF018F" w:rsidRPr="00437BC9" w:rsidRDefault="00BF018F" w:rsidP="00B72270">
            <w:pPr>
              <w:tabs>
                <w:tab w:val="left" w:pos="3897"/>
              </w:tabs>
              <w:rPr>
                <w:rFonts w:ascii="Times New Roman" w:hAnsi="Times New Roman" w:cs="Times New Roman"/>
                <w:sz w:val="24"/>
                <w:szCs w:val="24"/>
              </w:rPr>
            </w:pPr>
          </w:p>
        </w:tc>
      </w:tr>
      <w:tr w:rsidR="00BF018F" w:rsidRPr="00437BC9" w14:paraId="117137EB" w14:textId="77777777" w:rsidTr="00BF018F">
        <w:trPr>
          <w:trHeight w:val="304"/>
        </w:trPr>
        <w:tc>
          <w:tcPr>
            <w:tcW w:w="1335" w:type="dxa"/>
            <w:vMerge w:val="restart"/>
            <w:tcMar>
              <w:top w:w="15" w:type="dxa"/>
              <w:left w:w="65" w:type="dxa"/>
              <w:bottom w:w="0" w:type="dxa"/>
              <w:right w:w="65" w:type="dxa"/>
            </w:tcMar>
          </w:tcPr>
          <w:p w14:paraId="5B26796B" w14:textId="77777777" w:rsidR="00BF018F" w:rsidRPr="00437BC9" w:rsidRDefault="00BF018F" w:rsidP="00B72270">
            <w:pPr>
              <w:tabs>
                <w:tab w:val="left" w:pos="3897"/>
              </w:tabs>
              <w:rPr>
                <w:rFonts w:ascii="Times New Roman" w:hAnsi="Times New Roman" w:cs="Times New Roman"/>
                <w:sz w:val="24"/>
                <w:szCs w:val="24"/>
              </w:rPr>
            </w:pPr>
            <w:bookmarkStart w:id="2" w:name="_Hlk178674423"/>
            <w:r w:rsidRPr="00437BC9">
              <w:rPr>
                <w:rFonts w:ascii="Times New Roman" w:hAnsi="Times New Roman" w:cs="Times New Roman"/>
                <w:sz w:val="24"/>
                <w:szCs w:val="24"/>
              </w:rPr>
              <w:t>KPC</w:t>
            </w:r>
            <w:bookmarkEnd w:id="2"/>
          </w:p>
        </w:tc>
        <w:tc>
          <w:tcPr>
            <w:tcW w:w="1495" w:type="dxa"/>
            <w:tcMar>
              <w:top w:w="15" w:type="dxa"/>
              <w:left w:w="65" w:type="dxa"/>
              <w:bottom w:w="0" w:type="dxa"/>
              <w:right w:w="65" w:type="dxa"/>
            </w:tcMar>
          </w:tcPr>
          <w:p w14:paraId="6E0CD6CF"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Forward</w:t>
            </w:r>
          </w:p>
        </w:tc>
        <w:tc>
          <w:tcPr>
            <w:tcW w:w="5529" w:type="dxa"/>
            <w:tcMar>
              <w:top w:w="15" w:type="dxa"/>
              <w:left w:w="65" w:type="dxa"/>
              <w:bottom w:w="0" w:type="dxa"/>
              <w:right w:w="65" w:type="dxa"/>
            </w:tcMar>
          </w:tcPr>
          <w:p w14:paraId="7D99B456"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5′- -CACTGTGCAGCTCATTCAAGG-3′</w:t>
            </w:r>
          </w:p>
        </w:tc>
        <w:tc>
          <w:tcPr>
            <w:tcW w:w="1275" w:type="dxa"/>
            <w:vMerge w:val="restart"/>
            <w:tcMar>
              <w:top w:w="15" w:type="dxa"/>
              <w:left w:w="65" w:type="dxa"/>
              <w:bottom w:w="0" w:type="dxa"/>
              <w:right w:w="65" w:type="dxa"/>
            </w:tcMar>
          </w:tcPr>
          <w:p w14:paraId="0CA8523D"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309</w:t>
            </w:r>
          </w:p>
        </w:tc>
        <w:tc>
          <w:tcPr>
            <w:tcW w:w="1560" w:type="dxa"/>
            <w:vMerge w:val="restart"/>
            <w:tcMar>
              <w:top w:w="15" w:type="dxa"/>
              <w:left w:w="65" w:type="dxa"/>
              <w:bottom w:w="0" w:type="dxa"/>
              <w:right w:w="65" w:type="dxa"/>
            </w:tcMar>
          </w:tcPr>
          <w:p w14:paraId="30679F8A"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58</w:t>
            </w:r>
            <w:r w:rsidRPr="00FF20E2">
              <w:rPr>
                <w:rFonts w:ascii="Times New Roman" w:hAnsi="Times New Roman"/>
                <w:color w:val="000000" w:themeColor="text1"/>
                <w:sz w:val="20"/>
                <w:szCs w:val="20"/>
                <w:vertAlign w:val="superscript"/>
              </w:rPr>
              <w:t xml:space="preserve"> </w:t>
            </w:r>
            <w:proofErr w:type="spellStart"/>
            <w:r w:rsidRPr="00FF20E2">
              <w:rPr>
                <w:rFonts w:ascii="Times New Roman" w:hAnsi="Times New Roman"/>
                <w:color w:val="000000" w:themeColor="text1"/>
                <w:sz w:val="20"/>
                <w:szCs w:val="20"/>
                <w:vertAlign w:val="superscript"/>
              </w:rPr>
              <w:t>o</w:t>
            </w:r>
            <w:r w:rsidRPr="00FF20E2">
              <w:rPr>
                <w:rFonts w:ascii="Times New Roman" w:hAnsi="Times New Roman"/>
                <w:color w:val="000000" w:themeColor="text1"/>
                <w:sz w:val="20"/>
                <w:szCs w:val="20"/>
              </w:rPr>
              <w:t>C</w:t>
            </w:r>
            <w:proofErr w:type="spellEnd"/>
          </w:p>
        </w:tc>
        <w:tc>
          <w:tcPr>
            <w:tcW w:w="2381" w:type="dxa"/>
            <w:vMerge w:val="restart"/>
            <w:tcMar>
              <w:top w:w="15" w:type="dxa"/>
              <w:left w:w="65" w:type="dxa"/>
              <w:bottom w:w="0" w:type="dxa"/>
              <w:right w:w="65" w:type="dxa"/>
            </w:tcMar>
          </w:tcPr>
          <w:p w14:paraId="12603F83" w14:textId="47AC7A6E"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w:t>
            </w:r>
            <w:r w:rsidR="00AE75F8" w:rsidRPr="00437BC9">
              <w:rPr>
                <w:rFonts w:ascii="Times New Roman" w:hAnsi="Times New Roman" w:cs="Times New Roman"/>
                <w:sz w:val="24"/>
                <w:szCs w:val="24"/>
              </w:rPr>
              <w:t xml:space="preserve">Lund </w:t>
            </w:r>
            <w:r w:rsidR="00AE75F8" w:rsidRPr="00437BC9">
              <w:rPr>
                <w:rFonts w:ascii="Times New Roman" w:hAnsi="Times New Roman" w:cs="Times New Roman"/>
                <w:i/>
                <w:iCs/>
                <w:sz w:val="24"/>
                <w:szCs w:val="24"/>
              </w:rPr>
              <w:t>et al</w:t>
            </w:r>
            <w:r w:rsidR="00AE75F8">
              <w:rPr>
                <w:rFonts w:ascii="Times New Roman" w:hAnsi="Times New Roman" w:cs="Times New Roman"/>
                <w:sz w:val="24"/>
                <w:szCs w:val="24"/>
              </w:rPr>
              <w:t xml:space="preserve"> </w:t>
            </w:r>
            <w:r w:rsidR="00AE75F8">
              <w:rPr>
                <w:rFonts w:ascii="Times New Roman" w:hAnsi="Times New Roman" w:cs="Times New Roman"/>
                <w:sz w:val="24"/>
                <w:szCs w:val="24"/>
              </w:rPr>
              <w:fldChar w:fldCharType="begin" w:fldLock="1"/>
            </w:r>
            <w:r w:rsidR="00AE75F8">
              <w:rPr>
                <w:rFonts w:ascii="Times New Roman" w:hAnsi="Times New Roman" w:cs="Times New Roman"/>
                <w:sz w:val="24"/>
                <w:szCs w:val="24"/>
              </w:rPr>
              <w:instrText>ADDIN CSL_CITATION {"citationItems":[{"id":"ITEM-1","itemData":{"DOI":"10.1016/j.diagmicrobio.2018.04.002","ISSN":"18790070","PMID":"29776709","abstract":"An in-house real-time PCR was developed to detect the carbapenemase genes IMP, NDM, VIM, KPC and OXA-48 from both bacterial colonies and directly from fecal material. The assay is a multiplex PCR performed in two tubes with NDM, VIM and IMP genes detected in one tube and OXA-48 and KPC genes in the other. Despite the large amount of primers and probes necessary to cover all variants of especially the VIM and IMP genes, the efficiency of the PCR reactions was from 95 to 100%. When tested on 170 clinical strains and compared to culture results from a reference laboratory, 100% correspondence was found. Fecal samples were spiked with carbapenemase producing strains in different concentrations and analyzed by both PCR and conventional culture. Sensitivity of the PCR analysis varied from 100 to 10,000 cfu/ml fecal material and was comparable to culture on ChromID® CARBA plates. In conclusion, our in-house PCR assay may be able to detect all published variants of IMP, NDM, VIM, KPC and OXA-48 within 2.5 hours and can be performed directly on fecal samples.","author":[{"dropping-particle":"","family":"Lund","given":"Marianne","non-dropping-particle":"","parse-names":false,"suffix":""},{"dropping-particle":"","family":"Petersen","given":"Marianne Bøgild","non-dropping-particle":"","parse-names":false,"suffix":""},{"dropping-particle":"","family":"Jørgensen","given":"Anders Lægaard","non-dropping-particle":"","parse-names":false,"suffix":""},{"dropping-particle":"","family":"Paulmann","given":"Dorte","non-dropping-particle":"","parse-names":false,"suffix":""},{"dropping-particle":"","family":"Wang","given":"Mikala","non-dropping-particle":"","parse-names":false,"suffix":""}],"container-title":"Diagnostic Microbiology and Infectious Disease","id":"ITEM-1","issue":"1","issued":{"date-parts":[["2018","9","1"]]},"page":"8-12","publisher":"Elsevier","title":"Rapid real-time PCR for the detection of IMP, NDM, VIM, KPC and OXA-48 carbapenemase genes in isolates and spiked stool samples","type":"article-journal","volume":"92"},"uris":["http://www.mendeley.com/documents/?uuid=9a82f85d-149b-3188-b7d0-cabe600a5b85"]}],"mendeley":{"formattedCitation":"[1]","plainTextFormattedCitation":"[1]","previouslyFormattedCitation":"[1]"},"properties":{"noteIndex":0},"schema":"https://github.com/citation-style-language/schema/raw/master/csl-citation.json"}</w:instrText>
            </w:r>
            <w:r w:rsidR="00AE75F8">
              <w:rPr>
                <w:rFonts w:ascii="Times New Roman" w:hAnsi="Times New Roman" w:cs="Times New Roman"/>
                <w:sz w:val="24"/>
                <w:szCs w:val="24"/>
              </w:rPr>
              <w:fldChar w:fldCharType="separate"/>
            </w:r>
            <w:r w:rsidR="00AE75F8" w:rsidRPr="00AE75F8">
              <w:rPr>
                <w:rFonts w:ascii="Times New Roman" w:hAnsi="Times New Roman" w:cs="Times New Roman"/>
                <w:noProof/>
                <w:sz w:val="24"/>
                <w:szCs w:val="24"/>
              </w:rPr>
              <w:t>[1]</w:t>
            </w:r>
            <w:r w:rsidR="00AE75F8">
              <w:rPr>
                <w:rFonts w:ascii="Times New Roman" w:hAnsi="Times New Roman" w:cs="Times New Roman"/>
                <w:sz w:val="24"/>
                <w:szCs w:val="24"/>
              </w:rPr>
              <w:fldChar w:fldCharType="end"/>
            </w:r>
          </w:p>
        </w:tc>
      </w:tr>
      <w:tr w:rsidR="00BF018F" w:rsidRPr="00437BC9" w14:paraId="6A8057DB" w14:textId="77777777" w:rsidTr="00BF018F">
        <w:trPr>
          <w:trHeight w:val="304"/>
        </w:trPr>
        <w:tc>
          <w:tcPr>
            <w:tcW w:w="1335" w:type="dxa"/>
            <w:vMerge/>
            <w:vAlign w:val="center"/>
          </w:tcPr>
          <w:p w14:paraId="3F7AF61B" w14:textId="77777777" w:rsidR="00BF018F" w:rsidRPr="00437BC9" w:rsidRDefault="00BF018F" w:rsidP="00B72270">
            <w:pPr>
              <w:tabs>
                <w:tab w:val="left" w:pos="3897"/>
              </w:tabs>
              <w:rPr>
                <w:rFonts w:ascii="Times New Roman" w:hAnsi="Times New Roman" w:cs="Times New Roman"/>
                <w:sz w:val="24"/>
                <w:szCs w:val="24"/>
              </w:rPr>
            </w:pPr>
          </w:p>
        </w:tc>
        <w:tc>
          <w:tcPr>
            <w:tcW w:w="1495" w:type="dxa"/>
            <w:tcMar>
              <w:top w:w="15" w:type="dxa"/>
              <w:left w:w="65" w:type="dxa"/>
              <w:bottom w:w="0" w:type="dxa"/>
              <w:right w:w="65" w:type="dxa"/>
            </w:tcMar>
          </w:tcPr>
          <w:p w14:paraId="6B404B70"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Reverse</w:t>
            </w:r>
          </w:p>
        </w:tc>
        <w:tc>
          <w:tcPr>
            <w:tcW w:w="5529" w:type="dxa"/>
            <w:tcMar>
              <w:top w:w="15" w:type="dxa"/>
              <w:left w:w="65" w:type="dxa"/>
              <w:bottom w:w="0" w:type="dxa"/>
              <w:right w:w="65" w:type="dxa"/>
            </w:tcMar>
          </w:tcPr>
          <w:p w14:paraId="1C9AFB87"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5′- -CGCCGATAGAGCGCATGAA-3′</w:t>
            </w:r>
          </w:p>
        </w:tc>
        <w:tc>
          <w:tcPr>
            <w:tcW w:w="1275" w:type="dxa"/>
            <w:vMerge/>
            <w:vAlign w:val="center"/>
          </w:tcPr>
          <w:p w14:paraId="00B03CFE" w14:textId="77777777" w:rsidR="00BF018F" w:rsidRPr="00437BC9" w:rsidRDefault="00BF018F" w:rsidP="00B72270">
            <w:pPr>
              <w:tabs>
                <w:tab w:val="left" w:pos="3897"/>
              </w:tabs>
              <w:rPr>
                <w:rFonts w:ascii="Times New Roman" w:hAnsi="Times New Roman" w:cs="Times New Roman"/>
                <w:sz w:val="24"/>
                <w:szCs w:val="24"/>
              </w:rPr>
            </w:pPr>
          </w:p>
        </w:tc>
        <w:tc>
          <w:tcPr>
            <w:tcW w:w="1560" w:type="dxa"/>
            <w:vMerge/>
            <w:vAlign w:val="center"/>
          </w:tcPr>
          <w:p w14:paraId="042092AD" w14:textId="77777777" w:rsidR="00BF018F" w:rsidRPr="00437BC9" w:rsidRDefault="00BF018F" w:rsidP="00B72270">
            <w:pPr>
              <w:tabs>
                <w:tab w:val="left" w:pos="3897"/>
              </w:tabs>
              <w:rPr>
                <w:rFonts w:ascii="Times New Roman" w:hAnsi="Times New Roman" w:cs="Times New Roman"/>
                <w:sz w:val="24"/>
                <w:szCs w:val="24"/>
              </w:rPr>
            </w:pPr>
          </w:p>
        </w:tc>
        <w:tc>
          <w:tcPr>
            <w:tcW w:w="2381" w:type="dxa"/>
            <w:vMerge/>
            <w:vAlign w:val="center"/>
          </w:tcPr>
          <w:p w14:paraId="70A7A560" w14:textId="77777777" w:rsidR="00BF018F" w:rsidRPr="00437BC9" w:rsidRDefault="00BF018F" w:rsidP="00B72270">
            <w:pPr>
              <w:tabs>
                <w:tab w:val="left" w:pos="3897"/>
              </w:tabs>
              <w:rPr>
                <w:rFonts w:ascii="Times New Roman" w:hAnsi="Times New Roman" w:cs="Times New Roman"/>
                <w:sz w:val="24"/>
                <w:szCs w:val="24"/>
              </w:rPr>
            </w:pPr>
          </w:p>
        </w:tc>
      </w:tr>
      <w:tr w:rsidR="00BF018F" w:rsidRPr="00437BC9" w14:paraId="06C65CE8" w14:textId="77777777" w:rsidTr="00BF018F">
        <w:trPr>
          <w:trHeight w:val="304"/>
        </w:trPr>
        <w:tc>
          <w:tcPr>
            <w:tcW w:w="1335" w:type="dxa"/>
            <w:vMerge/>
            <w:vAlign w:val="center"/>
          </w:tcPr>
          <w:p w14:paraId="58B75070" w14:textId="77777777" w:rsidR="00BF018F" w:rsidRPr="00437BC9" w:rsidRDefault="00BF018F" w:rsidP="00B72270">
            <w:pPr>
              <w:tabs>
                <w:tab w:val="left" w:pos="3897"/>
              </w:tabs>
              <w:rPr>
                <w:rFonts w:ascii="Times New Roman" w:hAnsi="Times New Roman" w:cs="Times New Roman"/>
                <w:sz w:val="24"/>
                <w:szCs w:val="24"/>
              </w:rPr>
            </w:pPr>
          </w:p>
        </w:tc>
        <w:tc>
          <w:tcPr>
            <w:tcW w:w="1495" w:type="dxa"/>
            <w:tcMar>
              <w:top w:w="15" w:type="dxa"/>
              <w:left w:w="65" w:type="dxa"/>
              <w:bottom w:w="0" w:type="dxa"/>
              <w:right w:w="65" w:type="dxa"/>
            </w:tcMar>
          </w:tcPr>
          <w:p w14:paraId="0B95B766"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Probe</w:t>
            </w:r>
          </w:p>
        </w:tc>
        <w:tc>
          <w:tcPr>
            <w:tcW w:w="5529" w:type="dxa"/>
            <w:tcMar>
              <w:top w:w="15" w:type="dxa"/>
              <w:left w:w="65" w:type="dxa"/>
              <w:bottom w:w="0" w:type="dxa"/>
              <w:right w:w="65" w:type="dxa"/>
            </w:tcMar>
          </w:tcPr>
          <w:p w14:paraId="09A98E50"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b/>
                <w:bCs/>
                <w:sz w:val="24"/>
                <w:szCs w:val="24"/>
              </w:rPr>
              <w:t>LC610</w:t>
            </w:r>
            <w:r w:rsidRPr="00437BC9">
              <w:rPr>
                <w:rFonts w:ascii="Times New Roman" w:hAnsi="Times New Roman" w:cs="Times New Roman"/>
                <w:sz w:val="24"/>
                <w:szCs w:val="24"/>
              </w:rPr>
              <w:t>-CTGCCGCTGTGCTGGCTCGCA-</w:t>
            </w:r>
            <w:r w:rsidRPr="00437BC9">
              <w:rPr>
                <w:rFonts w:ascii="Times New Roman" w:hAnsi="Times New Roman" w:cs="Times New Roman"/>
                <w:b/>
                <w:bCs/>
                <w:sz w:val="24"/>
                <w:szCs w:val="24"/>
              </w:rPr>
              <w:t>BHQ</w:t>
            </w:r>
          </w:p>
        </w:tc>
        <w:tc>
          <w:tcPr>
            <w:tcW w:w="1275" w:type="dxa"/>
            <w:vMerge/>
            <w:vAlign w:val="center"/>
          </w:tcPr>
          <w:p w14:paraId="48C546C3" w14:textId="77777777" w:rsidR="00BF018F" w:rsidRPr="00437BC9" w:rsidRDefault="00BF018F" w:rsidP="00B72270">
            <w:pPr>
              <w:tabs>
                <w:tab w:val="left" w:pos="3897"/>
              </w:tabs>
              <w:rPr>
                <w:rFonts w:ascii="Times New Roman" w:hAnsi="Times New Roman" w:cs="Times New Roman"/>
                <w:sz w:val="24"/>
                <w:szCs w:val="24"/>
              </w:rPr>
            </w:pPr>
          </w:p>
        </w:tc>
        <w:tc>
          <w:tcPr>
            <w:tcW w:w="1560" w:type="dxa"/>
            <w:vMerge/>
            <w:vAlign w:val="center"/>
          </w:tcPr>
          <w:p w14:paraId="53388D6A" w14:textId="77777777" w:rsidR="00BF018F" w:rsidRPr="00437BC9" w:rsidRDefault="00BF018F" w:rsidP="00B72270">
            <w:pPr>
              <w:tabs>
                <w:tab w:val="left" w:pos="3897"/>
              </w:tabs>
              <w:rPr>
                <w:rFonts w:ascii="Times New Roman" w:hAnsi="Times New Roman" w:cs="Times New Roman"/>
                <w:sz w:val="24"/>
                <w:szCs w:val="24"/>
              </w:rPr>
            </w:pPr>
          </w:p>
        </w:tc>
        <w:tc>
          <w:tcPr>
            <w:tcW w:w="2381" w:type="dxa"/>
            <w:vMerge/>
            <w:vAlign w:val="center"/>
          </w:tcPr>
          <w:p w14:paraId="3B960EE6" w14:textId="77777777" w:rsidR="00BF018F" w:rsidRPr="00437BC9" w:rsidRDefault="00BF018F" w:rsidP="00B72270">
            <w:pPr>
              <w:tabs>
                <w:tab w:val="left" w:pos="3897"/>
              </w:tabs>
              <w:rPr>
                <w:rFonts w:ascii="Times New Roman" w:hAnsi="Times New Roman" w:cs="Times New Roman"/>
                <w:sz w:val="24"/>
                <w:szCs w:val="24"/>
              </w:rPr>
            </w:pPr>
          </w:p>
        </w:tc>
      </w:tr>
      <w:tr w:rsidR="00BF018F" w:rsidRPr="00437BC9" w14:paraId="49E71619" w14:textId="77777777" w:rsidTr="00BF018F">
        <w:trPr>
          <w:trHeight w:val="304"/>
        </w:trPr>
        <w:tc>
          <w:tcPr>
            <w:tcW w:w="1335" w:type="dxa"/>
            <w:vMerge w:val="restart"/>
            <w:tcMar>
              <w:top w:w="15" w:type="dxa"/>
              <w:left w:w="65" w:type="dxa"/>
              <w:bottom w:w="0" w:type="dxa"/>
              <w:right w:w="65" w:type="dxa"/>
            </w:tcMar>
          </w:tcPr>
          <w:p w14:paraId="02E6F179"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w:t>
            </w:r>
            <w:bookmarkStart w:id="3" w:name="_Hlk178674434"/>
            <w:r w:rsidRPr="00437BC9">
              <w:rPr>
                <w:rFonts w:ascii="Times New Roman" w:hAnsi="Times New Roman" w:cs="Times New Roman"/>
                <w:sz w:val="24"/>
                <w:szCs w:val="24"/>
              </w:rPr>
              <w:t>NDM-1</w:t>
            </w:r>
            <w:bookmarkEnd w:id="3"/>
          </w:p>
        </w:tc>
        <w:tc>
          <w:tcPr>
            <w:tcW w:w="1495" w:type="dxa"/>
            <w:tcMar>
              <w:top w:w="15" w:type="dxa"/>
              <w:left w:w="65" w:type="dxa"/>
              <w:bottom w:w="0" w:type="dxa"/>
              <w:right w:w="65" w:type="dxa"/>
            </w:tcMar>
          </w:tcPr>
          <w:p w14:paraId="70CA637B"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Forward</w:t>
            </w:r>
          </w:p>
        </w:tc>
        <w:tc>
          <w:tcPr>
            <w:tcW w:w="5529" w:type="dxa"/>
            <w:tcMar>
              <w:top w:w="15" w:type="dxa"/>
              <w:left w:w="65" w:type="dxa"/>
              <w:bottom w:w="0" w:type="dxa"/>
              <w:right w:w="65" w:type="dxa"/>
            </w:tcMar>
          </w:tcPr>
          <w:p w14:paraId="1F574C31"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5′- -GCAAATGGAAACTGGCGACC -3′</w:t>
            </w:r>
          </w:p>
        </w:tc>
        <w:tc>
          <w:tcPr>
            <w:tcW w:w="1275" w:type="dxa"/>
            <w:vMerge w:val="restart"/>
            <w:tcMar>
              <w:top w:w="15" w:type="dxa"/>
              <w:left w:w="65" w:type="dxa"/>
              <w:bottom w:w="0" w:type="dxa"/>
              <w:right w:w="65" w:type="dxa"/>
            </w:tcMar>
          </w:tcPr>
          <w:p w14:paraId="7312AA92"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w:t>
            </w:r>
          </w:p>
          <w:p w14:paraId="2E269AC7"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541</w:t>
            </w:r>
          </w:p>
        </w:tc>
        <w:tc>
          <w:tcPr>
            <w:tcW w:w="1560" w:type="dxa"/>
            <w:vMerge w:val="restart"/>
            <w:tcMar>
              <w:top w:w="15" w:type="dxa"/>
              <w:left w:w="65" w:type="dxa"/>
              <w:bottom w:w="0" w:type="dxa"/>
              <w:right w:w="65" w:type="dxa"/>
            </w:tcMar>
          </w:tcPr>
          <w:p w14:paraId="1A0C81F6"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w:t>
            </w:r>
          </w:p>
          <w:p w14:paraId="6CE280A6"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56</w:t>
            </w:r>
            <w:r w:rsidRPr="00FF20E2">
              <w:rPr>
                <w:rFonts w:ascii="Times New Roman" w:hAnsi="Times New Roman"/>
                <w:color w:val="000000" w:themeColor="text1"/>
                <w:sz w:val="20"/>
                <w:szCs w:val="20"/>
                <w:vertAlign w:val="superscript"/>
              </w:rPr>
              <w:t xml:space="preserve"> </w:t>
            </w:r>
            <w:proofErr w:type="spellStart"/>
            <w:r w:rsidRPr="00FF20E2">
              <w:rPr>
                <w:rFonts w:ascii="Times New Roman" w:hAnsi="Times New Roman"/>
                <w:color w:val="000000" w:themeColor="text1"/>
                <w:sz w:val="20"/>
                <w:szCs w:val="20"/>
                <w:vertAlign w:val="superscript"/>
              </w:rPr>
              <w:t>o</w:t>
            </w:r>
            <w:r w:rsidRPr="00FF20E2">
              <w:rPr>
                <w:rFonts w:ascii="Times New Roman" w:hAnsi="Times New Roman"/>
                <w:color w:val="000000" w:themeColor="text1"/>
                <w:sz w:val="20"/>
                <w:szCs w:val="20"/>
              </w:rPr>
              <w:t>C</w:t>
            </w:r>
            <w:proofErr w:type="spellEnd"/>
          </w:p>
        </w:tc>
        <w:tc>
          <w:tcPr>
            <w:tcW w:w="2381" w:type="dxa"/>
            <w:vMerge w:val="restart"/>
            <w:tcMar>
              <w:top w:w="15" w:type="dxa"/>
              <w:left w:w="65" w:type="dxa"/>
              <w:bottom w:w="0" w:type="dxa"/>
              <w:right w:w="65" w:type="dxa"/>
            </w:tcMar>
          </w:tcPr>
          <w:p w14:paraId="486E48AE" w14:textId="4649AEC8" w:rsidR="00BF018F" w:rsidRPr="00437BC9" w:rsidRDefault="00AE75F8"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 xml:space="preserve">Lund </w:t>
            </w:r>
            <w:r w:rsidRPr="00437BC9">
              <w:rPr>
                <w:rFonts w:ascii="Times New Roman" w:hAnsi="Times New Roman" w:cs="Times New Roman"/>
                <w:i/>
                <w:iCs/>
                <w:sz w:val="24"/>
                <w:szCs w:val="24"/>
              </w:rPr>
              <w:t>et 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{"citationItems":[{"id":"ITEM-1","itemData":{"DOI":"10.1016/j.diagmicrobio.2018.04.002","ISSN":"18790070","PMID":"29776709","abstract":"An in-house real-time PCR was developed to detect the carbapenemase genes IMP, NDM, VIM, KPC and OXA-48 from both bacterial colonies and directly from fecal material. The assay is a multiplex PCR performed in two tubes with NDM, VIM and IMP genes detected in one tube and OXA-48 and KPC genes in the other. Despite the large amount of primers and probes necessary to cover all variants of especially the VIM and IMP genes, the efficiency of the PCR reactions was from 95 to 100%. When tested on 170 clinical strains and compared to culture results from a reference laboratory, 100% correspondence was found. Fecal samples were spiked with carbapenemase producing strains in different concentrations and analyzed by both PCR and conventional culture. Sensitivity of the PCR analysis varied from 100 to 10,000 cfu/ml fecal material and was comparable to culture on ChromID® CARBA plates. In conclusion, our in-house PCR assay may be able to detect all published variants of IMP, NDM, VIM, KPC and OXA-48 within 2.5 hours and can be performed directly on fecal samples.","author":[{"dropping-particle":"","family":"Lund","given":"Marianne","non-dropping-particle":"","parse-names":false,"suffix":""},{"dropping-particle":"","family":"Petersen","given":"Marianne Bøgild","non-dropping-particle":"","parse-names":false,"suffix":""},{"dropping-particle":"","family":"Jørgensen","given":"Anders Lægaard","non-dropping-particle":"","parse-names":false,"suffix":""},{"dropping-particle":"","family":"Paulmann","given":"Dorte","non-dropping-particle":"","parse-names":false,"suffix":""},{"dropping-particle":"","family":"Wang","given":"Mikala","non-dropping-particle":"","parse-names":false,"suffix":""}],"container-title":"Diagnostic Microbiology and Infectious Disease","id":"ITEM-1","issue":"1","issued":{"date-parts":[["2018","9","1"]]},"page":"8-12","publisher":"Elsevier","title":"Rapid real-time PCR for the detection of IMP, NDM, VIM, KPC and OXA-48 carbapenemase genes in isolates and spiked stool samples","type":"article-journal","volume":"92"},"uris":["http://www.mendeley.com/documents/?uuid=9a82f85d-149b-3188-b7d0-cabe600a5b85"]}],"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rPr>
              <w:fldChar w:fldCharType="separate"/>
            </w:r>
            <w:r w:rsidRPr="00AE75F8">
              <w:rPr>
                <w:rFonts w:ascii="Times New Roman" w:hAnsi="Times New Roman" w:cs="Times New Roman"/>
                <w:noProof/>
                <w:sz w:val="24"/>
                <w:szCs w:val="24"/>
              </w:rPr>
              <w:t>[1]</w:t>
            </w:r>
            <w:r>
              <w:rPr>
                <w:rFonts w:ascii="Times New Roman" w:hAnsi="Times New Roman" w:cs="Times New Roman"/>
                <w:sz w:val="24"/>
                <w:szCs w:val="24"/>
              </w:rPr>
              <w:fldChar w:fldCharType="end"/>
            </w:r>
          </w:p>
        </w:tc>
      </w:tr>
      <w:tr w:rsidR="00BF018F" w:rsidRPr="00437BC9" w14:paraId="649E69B1" w14:textId="77777777" w:rsidTr="00BF018F">
        <w:trPr>
          <w:trHeight w:val="304"/>
        </w:trPr>
        <w:tc>
          <w:tcPr>
            <w:tcW w:w="1335" w:type="dxa"/>
            <w:vMerge/>
            <w:vAlign w:val="center"/>
          </w:tcPr>
          <w:p w14:paraId="4147A396" w14:textId="77777777" w:rsidR="00BF018F" w:rsidRPr="00437BC9" w:rsidRDefault="00BF018F" w:rsidP="00B72270">
            <w:pPr>
              <w:tabs>
                <w:tab w:val="left" w:pos="3897"/>
              </w:tabs>
              <w:rPr>
                <w:rFonts w:ascii="Times New Roman" w:hAnsi="Times New Roman" w:cs="Times New Roman"/>
                <w:sz w:val="24"/>
                <w:szCs w:val="24"/>
              </w:rPr>
            </w:pPr>
          </w:p>
        </w:tc>
        <w:tc>
          <w:tcPr>
            <w:tcW w:w="1495" w:type="dxa"/>
            <w:tcMar>
              <w:top w:w="15" w:type="dxa"/>
              <w:left w:w="65" w:type="dxa"/>
              <w:bottom w:w="0" w:type="dxa"/>
              <w:right w:w="65" w:type="dxa"/>
            </w:tcMar>
          </w:tcPr>
          <w:p w14:paraId="745B778C"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Reverse</w:t>
            </w:r>
          </w:p>
        </w:tc>
        <w:tc>
          <w:tcPr>
            <w:tcW w:w="5529" w:type="dxa"/>
            <w:tcMar>
              <w:top w:w="15" w:type="dxa"/>
              <w:left w:w="65" w:type="dxa"/>
              <w:bottom w:w="0" w:type="dxa"/>
              <w:right w:w="65" w:type="dxa"/>
            </w:tcMar>
          </w:tcPr>
          <w:p w14:paraId="74062FB1"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5′--TACCGCCCATCTTGTCCTGA-3′</w:t>
            </w:r>
          </w:p>
        </w:tc>
        <w:tc>
          <w:tcPr>
            <w:tcW w:w="1275" w:type="dxa"/>
            <w:vMerge/>
            <w:vAlign w:val="center"/>
          </w:tcPr>
          <w:p w14:paraId="2C6080A1" w14:textId="77777777" w:rsidR="00BF018F" w:rsidRPr="00437BC9" w:rsidRDefault="00BF018F" w:rsidP="00B72270">
            <w:pPr>
              <w:tabs>
                <w:tab w:val="left" w:pos="3897"/>
              </w:tabs>
              <w:rPr>
                <w:rFonts w:ascii="Times New Roman" w:hAnsi="Times New Roman" w:cs="Times New Roman"/>
                <w:sz w:val="24"/>
                <w:szCs w:val="24"/>
              </w:rPr>
            </w:pPr>
          </w:p>
        </w:tc>
        <w:tc>
          <w:tcPr>
            <w:tcW w:w="1560" w:type="dxa"/>
            <w:vMerge/>
            <w:vAlign w:val="center"/>
          </w:tcPr>
          <w:p w14:paraId="0D33668D" w14:textId="77777777" w:rsidR="00BF018F" w:rsidRPr="00437BC9" w:rsidRDefault="00BF018F" w:rsidP="00B72270">
            <w:pPr>
              <w:tabs>
                <w:tab w:val="left" w:pos="3897"/>
              </w:tabs>
              <w:rPr>
                <w:rFonts w:ascii="Times New Roman" w:hAnsi="Times New Roman" w:cs="Times New Roman"/>
                <w:sz w:val="24"/>
                <w:szCs w:val="24"/>
              </w:rPr>
            </w:pPr>
          </w:p>
        </w:tc>
        <w:tc>
          <w:tcPr>
            <w:tcW w:w="2381" w:type="dxa"/>
            <w:vMerge/>
            <w:vAlign w:val="center"/>
          </w:tcPr>
          <w:p w14:paraId="07F1DC55" w14:textId="77777777" w:rsidR="00BF018F" w:rsidRPr="00437BC9" w:rsidRDefault="00BF018F" w:rsidP="00B72270">
            <w:pPr>
              <w:tabs>
                <w:tab w:val="left" w:pos="3897"/>
              </w:tabs>
              <w:rPr>
                <w:rFonts w:ascii="Times New Roman" w:hAnsi="Times New Roman" w:cs="Times New Roman"/>
                <w:sz w:val="24"/>
                <w:szCs w:val="24"/>
              </w:rPr>
            </w:pPr>
          </w:p>
        </w:tc>
      </w:tr>
      <w:tr w:rsidR="00BF018F" w:rsidRPr="00437BC9" w14:paraId="6AD4122E" w14:textId="77777777" w:rsidTr="00BF018F">
        <w:trPr>
          <w:trHeight w:val="582"/>
        </w:trPr>
        <w:tc>
          <w:tcPr>
            <w:tcW w:w="1335" w:type="dxa"/>
            <w:vMerge/>
            <w:vAlign w:val="center"/>
          </w:tcPr>
          <w:p w14:paraId="2C4989B6" w14:textId="77777777" w:rsidR="00BF018F" w:rsidRPr="00437BC9" w:rsidRDefault="00BF018F" w:rsidP="00B72270">
            <w:pPr>
              <w:tabs>
                <w:tab w:val="left" w:pos="3897"/>
              </w:tabs>
              <w:rPr>
                <w:rFonts w:ascii="Times New Roman" w:hAnsi="Times New Roman" w:cs="Times New Roman"/>
                <w:sz w:val="24"/>
                <w:szCs w:val="24"/>
              </w:rPr>
            </w:pPr>
          </w:p>
        </w:tc>
        <w:tc>
          <w:tcPr>
            <w:tcW w:w="1495" w:type="dxa"/>
            <w:tcMar>
              <w:top w:w="15" w:type="dxa"/>
              <w:left w:w="65" w:type="dxa"/>
              <w:bottom w:w="0" w:type="dxa"/>
              <w:right w:w="65" w:type="dxa"/>
            </w:tcMar>
          </w:tcPr>
          <w:p w14:paraId="1C34DFDD"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sz w:val="24"/>
                <w:szCs w:val="24"/>
              </w:rPr>
              <w:t>Probe</w:t>
            </w:r>
          </w:p>
        </w:tc>
        <w:tc>
          <w:tcPr>
            <w:tcW w:w="5529" w:type="dxa"/>
            <w:tcMar>
              <w:top w:w="15" w:type="dxa"/>
              <w:left w:w="65" w:type="dxa"/>
              <w:bottom w:w="0" w:type="dxa"/>
              <w:right w:w="65" w:type="dxa"/>
            </w:tcMar>
          </w:tcPr>
          <w:p w14:paraId="337CE579" w14:textId="77777777" w:rsidR="00BF018F" w:rsidRPr="00437BC9" w:rsidRDefault="00BF018F" w:rsidP="00B72270">
            <w:pPr>
              <w:tabs>
                <w:tab w:val="left" w:pos="3897"/>
              </w:tabs>
              <w:rPr>
                <w:rFonts w:ascii="Times New Roman" w:hAnsi="Times New Roman" w:cs="Times New Roman"/>
                <w:sz w:val="24"/>
                <w:szCs w:val="24"/>
              </w:rPr>
            </w:pPr>
            <w:r w:rsidRPr="00437BC9">
              <w:rPr>
                <w:rFonts w:ascii="Times New Roman" w:hAnsi="Times New Roman" w:cs="Times New Roman"/>
                <w:b/>
                <w:bCs/>
                <w:sz w:val="24"/>
                <w:szCs w:val="24"/>
              </w:rPr>
              <w:t>VIC-</w:t>
            </w:r>
            <w:r w:rsidRPr="00437BC9">
              <w:rPr>
                <w:rFonts w:ascii="Times New Roman" w:hAnsi="Times New Roman" w:cs="Times New Roman"/>
                <w:sz w:val="24"/>
                <w:szCs w:val="24"/>
              </w:rPr>
              <w:t>TCGCACCGAATGTCTGGCAGCACA-</w:t>
            </w:r>
            <w:r w:rsidRPr="00437BC9">
              <w:rPr>
                <w:rFonts w:ascii="Times New Roman" w:hAnsi="Times New Roman" w:cs="Times New Roman"/>
                <w:b/>
                <w:bCs/>
                <w:sz w:val="24"/>
                <w:szCs w:val="24"/>
              </w:rPr>
              <w:t>MGB</w:t>
            </w:r>
            <w:r w:rsidRPr="00437BC9">
              <w:rPr>
                <w:rFonts w:ascii="Times New Roman" w:hAnsi="Times New Roman" w:cs="Times New Roman"/>
                <w:sz w:val="24"/>
                <w:szCs w:val="24"/>
              </w:rPr>
              <w:t xml:space="preserve"> </w:t>
            </w:r>
          </w:p>
        </w:tc>
        <w:tc>
          <w:tcPr>
            <w:tcW w:w="1275" w:type="dxa"/>
            <w:vMerge/>
            <w:vAlign w:val="center"/>
          </w:tcPr>
          <w:p w14:paraId="597C11AC" w14:textId="77777777" w:rsidR="00BF018F" w:rsidRPr="00437BC9" w:rsidRDefault="00BF018F" w:rsidP="00B72270">
            <w:pPr>
              <w:tabs>
                <w:tab w:val="left" w:pos="3897"/>
              </w:tabs>
              <w:rPr>
                <w:rFonts w:ascii="Times New Roman" w:hAnsi="Times New Roman" w:cs="Times New Roman"/>
                <w:sz w:val="24"/>
                <w:szCs w:val="24"/>
              </w:rPr>
            </w:pPr>
          </w:p>
        </w:tc>
        <w:tc>
          <w:tcPr>
            <w:tcW w:w="1560" w:type="dxa"/>
            <w:vMerge/>
            <w:vAlign w:val="center"/>
          </w:tcPr>
          <w:p w14:paraId="07BECE9A" w14:textId="77777777" w:rsidR="00BF018F" w:rsidRPr="00437BC9" w:rsidRDefault="00BF018F" w:rsidP="00B72270">
            <w:pPr>
              <w:tabs>
                <w:tab w:val="left" w:pos="3897"/>
              </w:tabs>
              <w:rPr>
                <w:rFonts w:ascii="Times New Roman" w:hAnsi="Times New Roman" w:cs="Times New Roman"/>
                <w:sz w:val="24"/>
                <w:szCs w:val="24"/>
              </w:rPr>
            </w:pPr>
          </w:p>
        </w:tc>
        <w:tc>
          <w:tcPr>
            <w:tcW w:w="2381" w:type="dxa"/>
            <w:vMerge/>
            <w:vAlign w:val="center"/>
          </w:tcPr>
          <w:p w14:paraId="3E0898A0" w14:textId="77777777" w:rsidR="00BF018F" w:rsidRPr="00437BC9" w:rsidRDefault="00BF018F" w:rsidP="00B72270">
            <w:pPr>
              <w:tabs>
                <w:tab w:val="left" w:pos="3897"/>
              </w:tabs>
              <w:rPr>
                <w:rFonts w:ascii="Times New Roman" w:hAnsi="Times New Roman" w:cs="Times New Roman"/>
                <w:sz w:val="24"/>
                <w:szCs w:val="24"/>
              </w:rPr>
            </w:pPr>
          </w:p>
        </w:tc>
      </w:tr>
    </w:tbl>
    <w:p w14:paraId="15827348" w14:textId="77777777" w:rsidR="00BF018F" w:rsidRDefault="00BF018F">
      <w:pPr>
        <w:rPr>
          <w:lang w:val="en-US"/>
        </w:rPr>
      </w:pPr>
    </w:p>
    <w:p w14:paraId="6F31B457" w14:textId="77777777" w:rsidR="00F844B1" w:rsidRDefault="00F844B1">
      <w:pPr>
        <w:rPr>
          <w:lang w:val="en-US"/>
        </w:rPr>
        <w:sectPr w:rsidR="00F844B1" w:rsidSect="00BF018F">
          <w:pgSz w:w="16838" w:h="11906" w:orient="landscape"/>
          <w:pgMar w:top="1440" w:right="1440" w:bottom="1440" w:left="1440" w:header="708" w:footer="708" w:gutter="0"/>
          <w:cols w:space="708"/>
          <w:docGrid w:linePitch="360"/>
        </w:sectPr>
      </w:pPr>
    </w:p>
    <w:p w14:paraId="4B6EA80C" w14:textId="77777777" w:rsidR="00F844B1" w:rsidRDefault="00F844B1">
      <w:pPr>
        <w:rPr>
          <w:lang w:val="en-US"/>
        </w:rPr>
      </w:pPr>
    </w:p>
    <w:p w14:paraId="58B82B39" w14:textId="658380BF" w:rsidR="00F844B1" w:rsidRPr="00437BC9" w:rsidRDefault="00F844B1" w:rsidP="00F844B1">
      <w:pPr>
        <w:rPr>
          <w:rFonts w:ascii="Times New Roman" w:hAnsi="Times New Roman" w:cs="Times New Roman"/>
          <w:sz w:val="24"/>
          <w:szCs w:val="24"/>
        </w:rPr>
      </w:pPr>
      <w:r w:rsidRPr="00437BC9">
        <w:rPr>
          <w:rFonts w:ascii="Times New Roman" w:hAnsi="Times New Roman" w:cs="Times New Roman"/>
          <w:sz w:val="24"/>
          <w:szCs w:val="24"/>
        </w:rPr>
        <w:t>Quality control plots for the DNA purification</w:t>
      </w:r>
      <w:r w:rsidR="00AD1B1A">
        <w:rPr>
          <w:rFonts w:ascii="Times New Roman" w:hAnsi="Times New Roman" w:cs="Times New Roman"/>
          <w:sz w:val="24"/>
          <w:szCs w:val="24"/>
        </w:rPr>
        <w:t xml:space="preserve"> used for WGS</w:t>
      </w:r>
    </w:p>
    <w:p w14:paraId="33CE6978" w14:textId="77777777" w:rsidR="00F844B1" w:rsidRDefault="00F844B1" w:rsidP="00F844B1">
      <w:pPr>
        <w:rPr>
          <w:rFonts w:ascii="Times New Roman" w:hAnsi="Times New Roman" w:cs="Times New Roman"/>
          <w:sz w:val="24"/>
          <w:szCs w:val="24"/>
        </w:rPr>
      </w:pPr>
      <w:r w:rsidRPr="00437BC9">
        <w:rPr>
          <w:rFonts w:ascii="Times New Roman" w:hAnsi="Times New Roman" w:cs="Times New Roman"/>
          <w:noProof/>
          <w:sz w:val="24"/>
          <w:szCs w:val="24"/>
        </w:rPr>
        <w:drawing>
          <wp:inline distT="0" distB="0" distL="0" distR="0" wp14:anchorId="54B31C8C" wp14:editId="765B07E3">
            <wp:extent cx="5943600" cy="2792730"/>
            <wp:effectExtent l="0" t="0" r="0" b="0"/>
            <wp:docPr id="15969562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56273"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943600" cy="2792730"/>
                    </a:xfrm>
                    <a:prstGeom prst="rect">
                      <a:avLst/>
                    </a:prstGeom>
                    <a:noFill/>
                    <a:ln>
                      <a:noFill/>
                    </a:ln>
                  </pic:spPr>
                </pic:pic>
              </a:graphicData>
            </a:graphic>
          </wp:inline>
        </w:drawing>
      </w:r>
    </w:p>
    <w:p w14:paraId="6E4F6F68" w14:textId="77777777" w:rsidR="00F844B1" w:rsidRDefault="00F844B1" w:rsidP="00F844B1">
      <w:pPr>
        <w:rPr>
          <w:rFonts w:ascii="Times New Roman" w:hAnsi="Times New Roman" w:cs="Times New Roman"/>
          <w:sz w:val="24"/>
          <w:szCs w:val="24"/>
        </w:rPr>
      </w:pPr>
    </w:p>
    <w:p w14:paraId="42B24809" w14:textId="77777777" w:rsidR="00F844B1" w:rsidRDefault="00F844B1" w:rsidP="00F844B1">
      <w:pPr>
        <w:rPr>
          <w:rFonts w:ascii="Times New Roman" w:hAnsi="Times New Roman" w:cs="Times New Roman"/>
          <w:sz w:val="24"/>
          <w:szCs w:val="24"/>
        </w:rPr>
      </w:pPr>
    </w:p>
    <w:p w14:paraId="2C5F0798" w14:textId="7871D982" w:rsidR="00F844B1" w:rsidRPr="00437BC9" w:rsidRDefault="00F844B1" w:rsidP="00F844B1">
      <w:pPr>
        <w:rPr>
          <w:rFonts w:ascii="Times New Roman" w:hAnsi="Times New Roman" w:cs="Times New Roman"/>
          <w:sz w:val="24"/>
          <w:szCs w:val="24"/>
        </w:rPr>
      </w:pPr>
      <w:r w:rsidRPr="00437BC9">
        <w:rPr>
          <w:rFonts w:ascii="Times New Roman" w:hAnsi="Times New Roman" w:cs="Times New Roman"/>
          <w:noProof/>
          <w:sz w:val="24"/>
          <w:szCs w:val="24"/>
        </w:rPr>
        <w:drawing>
          <wp:inline distT="0" distB="0" distL="0" distR="0" wp14:anchorId="2150DFF8" wp14:editId="4B808E34">
            <wp:extent cx="5943600" cy="2792730"/>
            <wp:effectExtent l="0" t="0" r="0" b="0"/>
            <wp:docPr id="5500427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42749"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943600" cy="2792730"/>
                    </a:xfrm>
                    <a:prstGeom prst="rect">
                      <a:avLst/>
                    </a:prstGeom>
                    <a:noFill/>
                    <a:ln>
                      <a:noFill/>
                    </a:ln>
                  </pic:spPr>
                </pic:pic>
              </a:graphicData>
            </a:graphic>
          </wp:inline>
        </w:drawing>
      </w:r>
    </w:p>
    <w:p w14:paraId="1B0CE4F4" w14:textId="77777777" w:rsidR="00F844B1" w:rsidRDefault="00F844B1">
      <w:pPr>
        <w:rPr>
          <w:lang w:val="en-US"/>
        </w:rPr>
      </w:pPr>
    </w:p>
    <w:p w14:paraId="427D755C" w14:textId="77777777" w:rsidR="00F844B1" w:rsidRPr="00F844B1" w:rsidRDefault="00F844B1" w:rsidP="00F844B1">
      <w:pPr>
        <w:rPr>
          <w:lang w:val="en-US"/>
        </w:rPr>
      </w:pPr>
    </w:p>
    <w:p w14:paraId="19448A2D" w14:textId="77777777" w:rsidR="00F844B1" w:rsidRPr="00F844B1" w:rsidRDefault="00F844B1" w:rsidP="00F844B1">
      <w:pPr>
        <w:rPr>
          <w:lang w:val="en-US"/>
        </w:rPr>
      </w:pPr>
    </w:p>
    <w:p w14:paraId="3F130504" w14:textId="77777777" w:rsidR="00F844B1" w:rsidRPr="00F844B1" w:rsidRDefault="00F844B1" w:rsidP="00F844B1">
      <w:pPr>
        <w:rPr>
          <w:lang w:val="en-US"/>
        </w:rPr>
      </w:pPr>
    </w:p>
    <w:p w14:paraId="3AD7B578" w14:textId="77777777" w:rsidR="00F844B1" w:rsidRDefault="00F844B1" w:rsidP="00F844B1">
      <w:pPr>
        <w:rPr>
          <w:lang w:val="en-US"/>
        </w:rPr>
      </w:pPr>
    </w:p>
    <w:p w14:paraId="06DEBE28" w14:textId="77777777" w:rsidR="00F844B1" w:rsidRDefault="00F844B1" w:rsidP="00F844B1">
      <w:pPr>
        <w:rPr>
          <w:lang w:val="en-US"/>
        </w:rPr>
      </w:pPr>
    </w:p>
    <w:p w14:paraId="50EB7F16" w14:textId="77777777" w:rsidR="00F844B1" w:rsidRDefault="00F844B1" w:rsidP="00F844B1">
      <w:pPr>
        <w:rPr>
          <w:lang w:val="en-US"/>
        </w:rPr>
      </w:pPr>
    </w:p>
    <w:p w14:paraId="7AB22646" w14:textId="43BA3492" w:rsidR="00F844B1" w:rsidRDefault="00E03708" w:rsidP="00F844B1">
      <w:pPr>
        <w:rPr>
          <w:lang w:val="en-US"/>
        </w:rPr>
      </w:pPr>
      <w:r>
        <w:rPr>
          <w:lang w:val="en-US"/>
        </w:rPr>
        <w:lastRenderedPageBreak/>
        <w:t>Genes Application plots</w:t>
      </w:r>
    </w:p>
    <w:p w14:paraId="0FD0F17C" w14:textId="77777777" w:rsidR="00E03708" w:rsidRDefault="00E03708" w:rsidP="00F844B1">
      <w:pPr>
        <w:rPr>
          <w:lang w:val="en-US"/>
        </w:rPr>
      </w:pPr>
    </w:p>
    <w:p w14:paraId="268DC790" w14:textId="72F3CCAD" w:rsidR="00F844B1" w:rsidRDefault="0078746F" w:rsidP="00F844B1">
      <w:pPr>
        <w:rPr>
          <w:lang w:val="en-US"/>
        </w:rPr>
      </w:pPr>
      <w:r>
        <w:rPr>
          <w:noProof/>
        </w:rPr>
        <w:drawing>
          <wp:inline distT="0" distB="0" distL="0" distR="0" wp14:anchorId="0DFFF0DA" wp14:editId="6974C075">
            <wp:extent cx="5731510" cy="3223895"/>
            <wp:effectExtent l="0" t="0" r="2540" b="0"/>
            <wp:docPr id="18017917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91727" name=""/>
                    <pic:cNvPicPr/>
                  </pic:nvPicPr>
                  <pic:blipFill>
                    <a:blip r:embed="rId6">
                      <a:extLst>
                        <a:ext uri="{96DAC541-7B7A-43D3-8B79-37D633B846F1}">
                          <asvg:svgBlip xmlns:asvg="http://schemas.microsoft.com/office/drawing/2016/SVG/main" r:embed="rId7"/>
                        </a:ext>
                      </a:extLst>
                    </a:blip>
                    <a:stretch>
                      <a:fillRect/>
                    </a:stretch>
                  </pic:blipFill>
                  <pic:spPr>
                    <a:xfrm>
                      <a:off x="0" y="0"/>
                      <a:ext cx="5731510" cy="3223895"/>
                    </a:xfrm>
                    <a:prstGeom prst="rect">
                      <a:avLst/>
                    </a:prstGeom>
                  </pic:spPr>
                </pic:pic>
              </a:graphicData>
            </a:graphic>
          </wp:inline>
        </w:drawing>
      </w:r>
    </w:p>
    <w:p w14:paraId="3A0B4E3F" w14:textId="77777777" w:rsidR="0078746F" w:rsidRDefault="0078746F" w:rsidP="00F844B1">
      <w:pPr>
        <w:rPr>
          <w:lang w:val="en-US"/>
        </w:rPr>
      </w:pPr>
    </w:p>
    <w:p w14:paraId="47A0B483" w14:textId="77777777" w:rsidR="0078746F" w:rsidRDefault="0078746F" w:rsidP="00F844B1">
      <w:pPr>
        <w:rPr>
          <w:lang w:val="en-US"/>
        </w:rPr>
      </w:pPr>
    </w:p>
    <w:p w14:paraId="790BF04C" w14:textId="77777777" w:rsidR="0078746F" w:rsidRDefault="0078746F" w:rsidP="00F844B1">
      <w:pPr>
        <w:rPr>
          <w:lang w:val="en-US"/>
        </w:rPr>
      </w:pPr>
    </w:p>
    <w:p w14:paraId="7D0CDB83" w14:textId="77777777" w:rsidR="0078746F" w:rsidRDefault="0078746F" w:rsidP="00F844B1">
      <w:pPr>
        <w:rPr>
          <w:lang w:val="en-US"/>
        </w:rPr>
      </w:pPr>
    </w:p>
    <w:p w14:paraId="5EEC567D" w14:textId="7617D09F" w:rsidR="0078746F" w:rsidRDefault="0078746F" w:rsidP="00F844B1">
      <w:pPr>
        <w:rPr>
          <w:lang w:val="en-US"/>
        </w:rPr>
      </w:pPr>
      <w:r>
        <w:rPr>
          <w:noProof/>
        </w:rPr>
        <w:drawing>
          <wp:inline distT="0" distB="0" distL="0" distR="0" wp14:anchorId="0AAB6CA9" wp14:editId="33CC4396">
            <wp:extent cx="5731510" cy="3223895"/>
            <wp:effectExtent l="0" t="0" r="2540" b="0"/>
            <wp:docPr id="12123958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95856"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2AB793A1" w14:textId="77777777" w:rsidR="0078746F" w:rsidRDefault="0078746F" w:rsidP="00F844B1">
      <w:pPr>
        <w:rPr>
          <w:lang w:val="en-US"/>
        </w:rPr>
      </w:pPr>
    </w:p>
    <w:p w14:paraId="338442BB" w14:textId="77777777" w:rsidR="0078746F" w:rsidRDefault="0078746F" w:rsidP="00F844B1">
      <w:pPr>
        <w:rPr>
          <w:lang w:val="en-US"/>
        </w:rPr>
      </w:pPr>
    </w:p>
    <w:p w14:paraId="5F61B617" w14:textId="77777777" w:rsidR="0078746F" w:rsidRDefault="0078746F" w:rsidP="00F844B1">
      <w:pPr>
        <w:rPr>
          <w:lang w:val="en-US"/>
        </w:rPr>
      </w:pPr>
    </w:p>
    <w:p w14:paraId="317C96DD" w14:textId="77777777" w:rsidR="0078746F" w:rsidRDefault="0078746F" w:rsidP="00F844B1">
      <w:pPr>
        <w:rPr>
          <w:lang w:val="en-US"/>
        </w:rPr>
      </w:pPr>
    </w:p>
    <w:p w14:paraId="0286E315" w14:textId="192327AA" w:rsidR="00AD1B1A" w:rsidRDefault="0078746F" w:rsidP="00F844B1">
      <w:pPr>
        <w:rPr>
          <w:lang w:val="en-US"/>
        </w:rPr>
      </w:pPr>
      <w:r>
        <w:rPr>
          <w:noProof/>
        </w:rPr>
        <w:drawing>
          <wp:inline distT="0" distB="0" distL="0" distR="0" wp14:anchorId="0033D281" wp14:editId="46EF9B5A">
            <wp:extent cx="5731510" cy="3223895"/>
            <wp:effectExtent l="0" t="0" r="2540" b="0"/>
            <wp:docPr id="20519398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39816"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3223895"/>
                    </a:xfrm>
                    <a:prstGeom prst="rect">
                      <a:avLst/>
                    </a:prstGeom>
                  </pic:spPr>
                </pic:pic>
              </a:graphicData>
            </a:graphic>
          </wp:inline>
        </w:drawing>
      </w:r>
    </w:p>
    <w:p w14:paraId="6FAFDD4E" w14:textId="77777777" w:rsidR="00AD1B1A" w:rsidRDefault="00AD1B1A" w:rsidP="00F844B1">
      <w:pPr>
        <w:rPr>
          <w:lang w:val="en-US"/>
        </w:rPr>
      </w:pPr>
    </w:p>
    <w:p w14:paraId="3911E747" w14:textId="77777777" w:rsidR="00AD1B1A" w:rsidRDefault="00AD1B1A" w:rsidP="00F844B1">
      <w:pPr>
        <w:rPr>
          <w:lang w:val="en-US"/>
        </w:rPr>
      </w:pPr>
    </w:p>
    <w:p w14:paraId="4B900A25" w14:textId="4915EB68" w:rsidR="00AD1B1A" w:rsidRDefault="00AD1B1A" w:rsidP="00F844B1">
      <w:pPr>
        <w:rPr>
          <w:lang w:val="en-US"/>
        </w:rPr>
      </w:pPr>
      <w:r>
        <w:rPr>
          <w:noProof/>
        </w:rPr>
        <w:drawing>
          <wp:inline distT="0" distB="0" distL="0" distR="0" wp14:anchorId="68F4CBEC" wp14:editId="285D2A0E">
            <wp:extent cx="5731510" cy="3223895"/>
            <wp:effectExtent l="0" t="0" r="2540" b="0"/>
            <wp:docPr id="18327045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04554"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3223895"/>
                    </a:xfrm>
                    <a:prstGeom prst="rect">
                      <a:avLst/>
                    </a:prstGeom>
                  </pic:spPr>
                </pic:pic>
              </a:graphicData>
            </a:graphic>
          </wp:inline>
        </w:drawing>
      </w:r>
    </w:p>
    <w:p w14:paraId="64B10188" w14:textId="77777777" w:rsidR="00AE75F8" w:rsidRDefault="00AE75F8" w:rsidP="00F844B1">
      <w:pPr>
        <w:rPr>
          <w:lang w:val="en-US"/>
        </w:rPr>
      </w:pPr>
    </w:p>
    <w:p w14:paraId="624AE76B" w14:textId="4ED78B26" w:rsidR="00AE75F8" w:rsidRDefault="00AE75F8" w:rsidP="00F844B1">
      <w:pPr>
        <w:rPr>
          <w:lang w:val="en-US"/>
        </w:rPr>
      </w:pPr>
      <w:r>
        <w:rPr>
          <w:lang w:val="en-US"/>
        </w:rPr>
        <w:t>References</w:t>
      </w:r>
    </w:p>
    <w:p w14:paraId="01AE68C6" w14:textId="073C36D8" w:rsidR="00AE75F8" w:rsidRPr="00AE75F8" w:rsidRDefault="00AE75F8" w:rsidP="00AE75F8">
      <w:pPr>
        <w:widowControl w:val="0"/>
        <w:autoSpaceDE w:val="0"/>
        <w:autoSpaceDN w:val="0"/>
        <w:adjustRightInd w:val="0"/>
        <w:spacing w:line="240" w:lineRule="auto"/>
        <w:rPr>
          <w:rFonts w:ascii="Aptos" w:hAnsi="Aptos"/>
          <w:noProof/>
        </w:rPr>
      </w:pPr>
      <w:r>
        <w:rPr>
          <w:lang w:val="en-US"/>
        </w:rPr>
        <w:fldChar w:fldCharType="begin" w:fldLock="1"/>
      </w:r>
      <w:r>
        <w:rPr>
          <w:lang w:val="en-US"/>
        </w:rPr>
        <w:instrText xml:space="preserve">ADDIN Mendeley Bibliography CSL_BIBLIOGRAPHY </w:instrText>
      </w:r>
      <w:r>
        <w:rPr>
          <w:lang w:val="en-US"/>
        </w:rPr>
        <w:fldChar w:fldCharType="separate"/>
      </w:r>
      <w:r w:rsidRPr="00AE75F8">
        <w:rPr>
          <w:rFonts w:ascii="Aptos" w:hAnsi="Aptos" w:cs="Times New Roman"/>
          <w:noProof/>
        </w:rPr>
        <w:t xml:space="preserve">1. Lund M, Petersen MB, Jørgensen AL, Paulmann D, Wang M. Rapid real-time PCR for the detection of IMP, NDM, VIM, KPC and OXA-48 carbapenemase genes in isolates and spiked </w:t>
      </w:r>
      <w:r w:rsidRPr="00AE75F8">
        <w:rPr>
          <w:rFonts w:ascii="Aptos" w:hAnsi="Aptos" w:cs="Times New Roman"/>
          <w:noProof/>
        </w:rPr>
        <w:lastRenderedPageBreak/>
        <w:t>stool samples. Diagn Microbiol Infect Dis. 2018;92:8–12. https://doi.org/10.1016/j.diagmicrobio.2018.04.002.</w:t>
      </w:r>
    </w:p>
    <w:p w14:paraId="6E28BB94" w14:textId="4643A12D" w:rsidR="00AE75F8" w:rsidRPr="00F844B1" w:rsidRDefault="00AE75F8" w:rsidP="00F844B1">
      <w:pPr>
        <w:rPr>
          <w:lang w:val="en-US"/>
        </w:rPr>
      </w:pPr>
      <w:r>
        <w:rPr>
          <w:lang w:val="en-US"/>
        </w:rPr>
        <w:fldChar w:fldCharType="end"/>
      </w:r>
    </w:p>
    <w:sectPr w:rsidR="00AE75F8" w:rsidRPr="00F844B1" w:rsidSect="00F844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2Mze0MDA1MbE0NDJS0lEKTi0uzszPAykwrAUAODN/qywAAAA="/>
  </w:docVars>
  <w:rsids>
    <w:rsidRoot w:val="00BF018F"/>
    <w:rsid w:val="00250C4A"/>
    <w:rsid w:val="00300D93"/>
    <w:rsid w:val="00437921"/>
    <w:rsid w:val="00641D3A"/>
    <w:rsid w:val="006909F4"/>
    <w:rsid w:val="0078746F"/>
    <w:rsid w:val="00A520A3"/>
    <w:rsid w:val="00AD1B1A"/>
    <w:rsid w:val="00AE75F8"/>
    <w:rsid w:val="00BF018F"/>
    <w:rsid w:val="00CA59C0"/>
    <w:rsid w:val="00CC1964"/>
    <w:rsid w:val="00CC4D75"/>
    <w:rsid w:val="00D0296A"/>
    <w:rsid w:val="00E03708"/>
    <w:rsid w:val="00F677AC"/>
    <w:rsid w:val="00F84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5574F"/>
  <w15:chartTrackingRefBased/>
  <w15:docId w15:val="{F6B863B7-A0C1-441A-93F0-395AB66B1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18F"/>
    <w:rPr>
      <w:kern w:val="0"/>
    </w:rPr>
  </w:style>
  <w:style w:type="paragraph" w:styleId="Heading1">
    <w:name w:val="heading 1"/>
    <w:basedOn w:val="Normal"/>
    <w:next w:val="Normal"/>
    <w:link w:val="Heading1Char"/>
    <w:uiPriority w:val="9"/>
    <w:qFormat/>
    <w:rsid w:val="00BF018F"/>
    <w:pPr>
      <w:keepNext/>
      <w:keepLines/>
      <w:spacing w:before="360" w:after="80"/>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BF018F"/>
    <w:pPr>
      <w:keepNext/>
      <w:keepLines/>
      <w:spacing w:before="160" w:after="80"/>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BF018F"/>
    <w:pPr>
      <w:keepNext/>
      <w:keepLines/>
      <w:spacing w:before="160" w:after="80"/>
      <w:outlineLvl w:val="2"/>
    </w:pPr>
    <w:rPr>
      <w:rFonts w:eastAsiaTheme="majorEastAsia"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BF018F"/>
    <w:pPr>
      <w:keepNext/>
      <w:keepLines/>
      <w:spacing w:before="80" w:after="40"/>
      <w:outlineLvl w:val="3"/>
    </w:pPr>
    <w:rPr>
      <w:rFonts w:eastAsiaTheme="majorEastAsia" w:cstheme="majorBidi"/>
      <w:i/>
      <w:iCs/>
      <w:color w:val="0F4761" w:themeColor="accent1" w:themeShade="BF"/>
      <w:kern w:val="2"/>
    </w:rPr>
  </w:style>
  <w:style w:type="paragraph" w:styleId="Heading5">
    <w:name w:val="heading 5"/>
    <w:basedOn w:val="Normal"/>
    <w:next w:val="Normal"/>
    <w:link w:val="Heading5Char"/>
    <w:uiPriority w:val="9"/>
    <w:semiHidden/>
    <w:unhideWhenUsed/>
    <w:qFormat/>
    <w:rsid w:val="00BF018F"/>
    <w:pPr>
      <w:keepNext/>
      <w:keepLines/>
      <w:spacing w:before="80" w:after="40"/>
      <w:outlineLvl w:val="4"/>
    </w:pPr>
    <w:rPr>
      <w:rFonts w:eastAsiaTheme="majorEastAsia" w:cstheme="majorBidi"/>
      <w:color w:val="0F4761" w:themeColor="accent1" w:themeShade="BF"/>
      <w:kern w:val="2"/>
    </w:rPr>
  </w:style>
  <w:style w:type="paragraph" w:styleId="Heading6">
    <w:name w:val="heading 6"/>
    <w:basedOn w:val="Normal"/>
    <w:next w:val="Normal"/>
    <w:link w:val="Heading6Char"/>
    <w:uiPriority w:val="9"/>
    <w:semiHidden/>
    <w:unhideWhenUsed/>
    <w:qFormat/>
    <w:rsid w:val="00BF018F"/>
    <w:pPr>
      <w:keepNext/>
      <w:keepLines/>
      <w:spacing w:before="40" w:after="0"/>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BF018F"/>
    <w:pPr>
      <w:keepNext/>
      <w:keepLines/>
      <w:spacing w:before="40" w:after="0"/>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BF018F"/>
    <w:pPr>
      <w:keepNext/>
      <w:keepLines/>
      <w:spacing w:after="0"/>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BF018F"/>
    <w:pPr>
      <w:keepNext/>
      <w:keepLines/>
      <w:spacing w:after="0"/>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1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01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01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01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01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01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01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01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018F"/>
    <w:rPr>
      <w:rFonts w:eastAsiaTheme="majorEastAsia" w:cstheme="majorBidi"/>
      <w:color w:val="272727" w:themeColor="text1" w:themeTint="D8"/>
    </w:rPr>
  </w:style>
  <w:style w:type="paragraph" w:styleId="Title">
    <w:name w:val="Title"/>
    <w:basedOn w:val="Normal"/>
    <w:next w:val="Normal"/>
    <w:link w:val="TitleChar"/>
    <w:uiPriority w:val="10"/>
    <w:qFormat/>
    <w:rsid w:val="00BF01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01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018F"/>
    <w:pPr>
      <w:numPr>
        <w:ilvl w:val="1"/>
      </w:numPr>
    </w:pPr>
    <w:rPr>
      <w:rFonts w:eastAsiaTheme="majorEastAsia"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BF01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018F"/>
    <w:pPr>
      <w:spacing w:before="160"/>
      <w:jc w:val="center"/>
    </w:pPr>
    <w:rPr>
      <w:i/>
      <w:iCs/>
      <w:color w:val="404040" w:themeColor="text1" w:themeTint="BF"/>
      <w:kern w:val="2"/>
    </w:rPr>
  </w:style>
  <w:style w:type="character" w:customStyle="1" w:styleId="QuoteChar">
    <w:name w:val="Quote Char"/>
    <w:basedOn w:val="DefaultParagraphFont"/>
    <w:link w:val="Quote"/>
    <w:uiPriority w:val="29"/>
    <w:rsid w:val="00BF018F"/>
    <w:rPr>
      <w:i/>
      <w:iCs/>
      <w:color w:val="404040" w:themeColor="text1" w:themeTint="BF"/>
    </w:rPr>
  </w:style>
  <w:style w:type="paragraph" w:styleId="ListParagraph">
    <w:name w:val="List Paragraph"/>
    <w:basedOn w:val="Normal"/>
    <w:uiPriority w:val="34"/>
    <w:qFormat/>
    <w:rsid w:val="00BF018F"/>
    <w:pPr>
      <w:ind w:left="720"/>
      <w:contextualSpacing/>
    </w:pPr>
    <w:rPr>
      <w:kern w:val="2"/>
    </w:rPr>
  </w:style>
  <w:style w:type="character" w:styleId="IntenseEmphasis">
    <w:name w:val="Intense Emphasis"/>
    <w:basedOn w:val="DefaultParagraphFont"/>
    <w:uiPriority w:val="21"/>
    <w:qFormat/>
    <w:rsid w:val="00BF018F"/>
    <w:rPr>
      <w:i/>
      <w:iCs/>
      <w:color w:val="0F4761" w:themeColor="accent1" w:themeShade="BF"/>
    </w:rPr>
  </w:style>
  <w:style w:type="paragraph" w:styleId="IntenseQuote">
    <w:name w:val="Intense Quote"/>
    <w:basedOn w:val="Normal"/>
    <w:next w:val="Normal"/>
    <w:link w:val="IntenseQuoteChar"/>
    <w:uiPriority w:val="30"/>
    <w:qFormat/>
    <w:rsid w:val="00BF01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rPr>
  </w:style>
  <w:style w:type="character" w:customStyle="1" w:styleId="IntenseQuoteChar">
    <w:name w:val="Intense Quote Char"/>
    <w:basedOn w:val="DefaultParagraphFont"/>
    <w:link w:val="IntenseQuote"/>
    <w:uiPriority w:val="30"/>
    <w:rsid w:val="00BF018F"/>
    <w:rPr>
      <w:i/>
      <w:iCs/>
      <w:color w:val="0F4761" w:themeColor="accent1" w:themeShade="BF"/>
    </w:rPr>
  </w:style>
  <w:style w:type="character" w:styleId="IntenseReference">
    <w:name w:val="Intense Reference"/>
    <w:basedOn w:val="DefaultParagraphFont"/>
    <w:uiPriority w:val="32"/>
    <w:qFormat/>
    <w:rsid w:val="00BF018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sv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9EC18-B8B8-4D03-A34D-A0306B870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1693</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UZAIRUE</dc:creator>
  <cp:keywords/>
  <dc:description/>
  <cp:lastModifiedBy>leonard UZAIRUE</cp:lastModifiedBy>
  <cp:revision>4</cp:revision>
  <dcterms:created xsi:type="dcterms:W3CDTF">2026-03-07T14:26:00Z</dcterms:created>
  <dcterms:modified xsi:type="dcterms:W3CDTF">2026-03-07T15:30:00Z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66082c0f-3c3e-4157-910c-de4cc7d0a6e7</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6th/7th edition</vt:lpwstr>
  </property>
  <property fmtid="{D5CDD505-2E9C-101B-9397-08002B2CF9AE}" pid="9" name="Mendeley Recent Style Id 3_1">
    <vt:lpwstr>http://www.zotero.org/styles/bmc-microbiology</vt:lpwstr>
  </property>
  <property fmtid="{D5CDD505-2E9C-101B-9397-08002B2CF9AE}" pid="10" name="Mendeley Recent Style Name 3_1">
    <vt:lpwstr>BMC Microbiology</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7233b073-43b1-3731-8c77-1bb2632d0e5c</vt:lpwstr>
  </property>
  <property fmtid="{D5CDD505-2E9C-101B-9397-08002B2CF9AE}" pid="25" name="Mendeley Citation Style_1">
    <vt:lpwstr>http://www.zotero.org/styles/bmc-microbiology</vt:lpwstr>
  </property>
</Properties>
</file>