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2148B" w14:textId="77777777" w:rsidR="00AE01B5" w:rsidRDefault="00C31EBF" w:rsidP="00AE01B5">
      <w:pPr>
        <w:spacing w:after="400"/>
        <w:jc w:val="both"/>
        <w:rPr>
          <w:b/>
          <w:bCs/>
          <w:sz w:val="32"/>
          <w:szCs w:val="32"/>
          <w:lang w:val="en-GB"/>
        </w:rPr>
      </w:pPr>
      <w:r w:rsidRPr="00C31EBF">
        <w:rPr>
          <w:b/>
          <w:bCs/>
          <w:sz w:val="32"/>
          <w:szCs w:val="32"/>
          <w:lang w:val="en-GB"/>
        </w:rPr>
        <w:t>Supplementary Information</w:t>
      </w:r>
      <w:r>
        <w:rPr>
          <w:rFonts w:hint="eastAsia"/>
          <w:b/>
          <w:bCs/>
          <w:sz w:val="32"/>
          <w:szCs w:val="32"/>
          <w:lang w:val="en-GB"/>
        </w:rPr>
        <w:t xml:space="preserve"> for </w:t>
      </w:r>
    </w:p>
    <w:p w14:paraId="25017BEE" w14:textId="5B0AEA0E" w:rsidR="002155DA" w:rsidRPr="00C31EBF" w:rsidRDefault="00C31EBF" w:rsidP="00AE01B5">
      <w:pPr>
        <w:spacing w:after="400"/>
        <w:jc w:val="both"/>
        <w:rPr>
          <w:b/>
          <w:bCs/>
          <w:sz w:val="32"/>
          <w:szCs w:val="32"/>
          <w:lang w:val="en-GB"/>
        </w:rPr>
      </w:pPr>
      <w:r>
        <w:rPr>
          <w:b/>
          <w:bCs/>
          <w:sz w:val="32"/>
          <w:szCs w:val="32"/>
          <w:lang w:val="en-GB"/>
        </w:rPr>
        <w:t>“</w:t>
      </w:r>
      <w:r w:rsidR="002155DA" w:rsidRPr="002155DA">
        <w:rPr>
          <w:b/>
          <w:bCs/>
          <w:sz w:val="32"/>
          <w:szCs w:val="32"/>
          <w:lang w:val="en-GB"/>
        </w:rPr>
        <w:t>Intensified atmosphere–sea ice coupling reshapes Arctic sea ice decline and downstream climate extremes</w:t>
      </w:r>
      <w:r>
        <w:rPr>
          <w:b/>
          <w:bCs/>
          <w:sz w:val="32"/>
          <w:szCs w:val="32"/>
          <w:lang w:val="en-GB"/>
        </w:rPr>
        <w:t>”</w:t>
      </w:r>
    </w:p>
    <w:p w14:paraId="549D1E8D" w14:textId="7F05C5C5" w:rsidR="00475F68" w:rsidRPr="00CF23A8" w:rsidRDefault="00000000">
      <w:pPr>
        <w:pStyle w:val="Heading1"/>
        <w:spacing w:line="360" w:lineRule="auto"/>
        <w:jc w:val="both"/>
        <w:rPr>
          <w:b w:val="0"/>
          <w:bCs w:val="0"/>
          <w:sz w:val="24"/>
          <w:szCs w:val="24"/>
          <w:vertAlign w:val="superscript"/>
        </w:rPr>
      </w:pPr>
      <w:r w:rsidRPr="00CF23A8">
        <w:rPr>
          <w:b w:val="0"/>
          <w:bCs w:val="0"/>
          <w:sz w:val="24"/>
          <w:szCs w:val="24"/>
        </w:rPr>
        <w:t>Shaoyin Wang</w:t>
      </w:r>
      <w:r w:rsidRPr="00CF23A8">
        <w:rPr>
          <w:b w:val="0"/>
          <w:bCs w:val="0"/>
          <w:sz w:val="24"/>
          <w:szCs w:val="24"/>
          <w:vertAlign w:val="superscript"/>
        </w:rPr>
        <w:t>1, 2</w:t>
      </w:r>
      <w:r w:rsidR="00016A3B">
        <w:rPr>
          <w:rFonts w:hint="eastAsia"/>
          <w:b w:val="0"/>
          <w:bCs w:val="0"/>
          <w:sz w:val="24"/>
          <w:szCs w:val="24"/>
          <w:vertAlign w:val="superscript"/>
        </w:rPr>
        <w:t>*</w:t>
      </w:r>
      <w:r w:rsidRPr="00CF23A8">
        <w:rPr>
          <w:b w:val="0"/>
          <w:bCs w:val="0"/>
          <w:sz w:val="24"/>
          <w:szCs w:val="24"/>
        </w:rPr>
        <w:t>, Jiping Liu</w:t>
      </w:r>
      <w:r w:rsidRPr="00CF23A8">
        <w:rPr>
          <w:b w:val="0"/>
          <w:bCs w:val="0"/>
          <w:sz w:val="24"/>
          <w:szCs w:val="24"/>
          <w:vertAlign w:val="superscript"/>
        </w:rPr>
        <w:t>3,2</w:t>
      </w:r>
      <w:r w:rsidR="00016A3B">
        <w:rPr>
          <w:rFonts w:hint="eastAsia"/>
          <w:b w:val="0"/>
          <w:bCs w:val="0"/>
          <w:sz w:val="24"/>
          <w:szCs w:val="24"/>
          <w:vertAlign w:val="superscript"/>
        </w:rPr>
        <w:t>*</w:t>
      </w:r>
      <w:r w:rsidRPr="00CF23A8">
        <w:rPr>
          <w:b w:val="0"/>
          <w:bCs w:val="0"/>
          <w:sz w:val="24"/>
          <w:szCs w:val="24"/>
        </w:rPr>
        <w:t>, Zehao Wang</w:t>
      </w:r>
      <w:r w:rsidRPr="00CF23A8">
        <w:rPr>
          <w:b w:val="0"/>
          <w:bCs w:val="0"/>
          <w:sz w:val="24"/>
          <w:szCs w:val="24"/>
          <w:vertAlign w:val="superscript"/>
        </w:rPr>
        <w:t>1, 2</w:t>
      </w:r>
      <w:r w:rsidRPr="00CF23A8">
        <w:rPr>
          <w:b w:val="0"/>
          <w:bCs w:val="0"/>
          <w:sz w:val="24"/>
          <w:szCs w:val="24"/>
        </w:rPr>
        <w:t>, Deliang Chen</w:t>
      </w:r>
      <w:r w:rsidRPr="00CF23A8">
        <w:rPr>
          <w:b w:val="0"/>
          <w:bCs w:val="0"/>
          <w:sz w:val="21"/>
          <w:szCs w:val="21"/>
          <w:vertAlign w:val="superscript"/>
        </w:rPr>
        <w:t>4</w:t>
      </w:r>
      <w:r w:rsidRPr="00CF23A8">
        <w:rPr>
          <w:b w:val="0"/>
          <w:bCs w:val="0"/>
          <w:sz w:val="24"/>
          <w:szCs w:val="24"/>
        </w:rPr>
        <w:t>, Peter Braesicke</w:t>
      </w:r>
      <w:r w:rsidRPr="00CF23A8">
        <w:rPr>
          <w:b w:val="0"/>
          <w:bCs w:val="0"/>
          <w:sz w:val="21"/>
          <w:szCs w:val="21"/>
          <w:vertAlign w:val="superscript"/>
        </w:rPr>
        <w:t>5, a</w:t>
      </w:r>
      <w:r w:rsidRPr="00CF23A8">
        <w:rPr>
          <w:b w:val="0"/>
          <w:bCs w:val="0"/>
          <w:sz w:val="24"/>
          <w:szCs w:val="24"/>
        </w:rPr>
        <w:t>, Shengping He</w:t>
      </w:r>
      <w:r w:rsidRPr="00CF23A8">
        <w:rPr>
          <w:b w:val="0"/>
          <w:bCs w:val="0"/>
          <w:sz w:val="21"/>
          <w:szCs w:val="21"/>
          <w:vertAlign w:val="superscript"/>
        </w:rPr>
        <w:t>6,1</w:t>
      </w:r>
      <w:r w:rsidR="00AF3B56">
        <w:rPr>
          <w:b w:val="0"/>
          <w:bCs w:val="0"/>
          <w:sz w:val="21"/>
          <w:szCs w:val="21"/>
          <w:vertAlign w:val="superscript"/>
        </w:rPr>
        <w:t>1</w:t>
      </w:r>
      <w:r w:rsidRPr="00CF23A8">
        <w:rPr>
          <w:b w:val="0"/>
          <w:bCs w:val="0"/>
          <w:sz w:val="24"/>
          <w:szCs w:val="24"/>
        </w:rPr>
        <w:t>, Annette Rinke</w:t>
      </w:r>
      <w:r w:rsidRPr="00CF23A8">
        <w:rPr>
          <w:b w:val="0"/>
          <w:bCs w:val="0"/>
          <w:sz w:val="21"/>
          <w:szCs w:val="21"/>
          <w:vertAlign w:val="superscript"/>
        </w:rPr>
        <w:t>7</w:t>
      </w:r>
      <w:r w:rsidRPr="00CF23A8">
        <w:rPr>
          <w:b w:val="0"/>
          <w:bCs w:val="0"/>
          <w:sz w:val="24"/>
          <w:szCs w:val="24"/>
        </w:rPr>
        <w:t>, Edward Hanna</w:t>
      </w:r>
      <w:r w:rsidRPr="00CF23A8">
        <w:rPr>
          <w:b w:val="0"/>
          <w:bCs w:val="0"/>
          <w:sz w:val="21"/>
          <w:szCs w:val="21"/>
          <w:vertAlign w:val="superscript"/>
        </w:rPr>
        <w:t>8</w:t>
      </w:r>
      <w:r w:rsidRPr="00CF23A8">
        <w:rPr>
          <w:b w:val="0"/>
          <w:bCs w:val="0"/>
          <w:sz w:val="24"/>
          <w:szCs w:val="24"/>
        </w:rPr>
        <w:t>,</w:t>
      </w:r>
      <w:r w:rsidR="002763DB">
        <w:rPr>
          <w:rFonts w:hint="eastAsia"/>
          <w:b w:val="0"/>
          <w:bCs w:val="0"/>
          <w:sz w:val="24"/>
          <w:szCs w:val="24"/>
        </w:rPr>
        <w:t xml:space="preserve"> Jin</w:t>
      </w:r>
      <w:r w:rsidR="006E31E1">
        <w:rPr>
          <w:b w:val="0"/>
          <w:bCs w:val="0"/>
          <w:sz w:val="24"/>
          <w:szCs w:val="24"/>
        </w:rPr>
        <w:t>g</w:t>
      </w:r>
      <w:r w:rsidR="002763DB">
        <w:rPr>
          <w:rFonts w:hint="eastAsia"/>
          <w:b w:val="0"/>
          <w:bCs w:val="0"/>
          <w:sz w:val="24"/>
          <w:szCs w:val="24"/>
        </w:rPr>
        <w:t>fang Fan</w:t>
      </w:r>
      <w:r w:rsidR="00084258">
        <w:rPr>
          <w:rFonts w:hint="eastAsia"/>
          <w:b w:val="0"/>
          <w:bCs w:val="0"/>
          <w:sz w:val="24"/>
          <w:szCs w:val="24"/>
          <w:vertAlign w:val="superscript"/>
        </w:rPr>
        <w:t>9</w:t>
      </w:r>
      <w:r w:rsidR="002763DB">
        <w:rPr>
          <w:rFonts w:hint="eastAsia"/>
          <w:b w:val="0"/>
          <w:bCs w:val="0"/>
          <w:sz w:val="24"/>
          <w:szCs w:val="24"/>
        </w:rPr>
        <w:t xml:space="preserve">, </w:t>
      </w:r>
      <w:r w:rsidRPr="00CF23A8">
        <w:rPr>
          <w:b w:val="0"/>
          <w:bCs w:val="0"/>
          <w:sz w:val="24"/>
          <w:szCs w:val="24"/>
        </w:rPr>
        <w:t>Hua Li</w:t>
      </w:r>
      <w:r w:rsidR="00084258">
        <w:rPr>
          <w:rFonts w:hint="eastAsia"/>
          <w:b w:val="0"/>
          <w:bCs w:val="0"/>
          <w:sz w:val="21"/>
          <w:szCs w:val="21"/>
          <w:vertAlign w:val="superscript"/>
        </w:rPr>
        <w:t>10</w:t>
      </w:r>
      <w:r w:rsidRPr="00CF23A8">
        <w:rPr>
          <w:b w:val="0"/>
          <w:bCs w:val="0"/>
          <w:sz w:val="24"/>
          <w:szCs w:val="24"/>
        </w:rPr>
        <w:t>, and Xiao Cheng</w:t>
      </w:r>
      <w:r w:rsidRPr="00CF23A8">
        <w:rPr>
          <w:b w:val="0"/>
          <w:bCs w:val="0"/>
          <w:sz w:val="24"/>
          <w:szCs w:val="24"/>
          <w:vertAlign w:val="superscript"/>
        </w:rPr>
        <w:t>1, 2</w:t>
      </w:r>
      <w:r w:rsidR="00016A3B">
        <w:rPr>
          <w:rFonts w:hint="eastAsia"/>
          <w:b w:val="0"/>
          <w:bCs w:val="0"/>
          <w:sz w:val="24"/>
          <w:szCs w:val="24"/>
          <w:vertAlign w:val="superscript"/>
        </w:rPr>
        <w:t>*</w:t>
      </w:r>
    </w:p>
    <w:p w14:paraId="2AA9EDF3" w14:textId="77777777"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1</w:t>
      </w:r>
      <w:r w:rsidRPr="00CF23A8">
        <w:rPr>
          <w:rFonts w:eastAsia="Times New Roman"/>
          <w:color w:val="000000"/>
          <w:sz w:val="22"/>
          <w:szCs w:val="22"/>
        </w:rPr>
        <w:t>School of Geospatial Engineering and Science, Sun Yat-sen University, and Southern Marine Science and Engineering Guangdong Laboratory (Zhuhai), Zhuhai, China.</w:t>
      </w:r>
    </w:p>
    <w:p w14:paraId="541A5E3D" w14:textId="16459466"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2</w:t>
      </w:r>
      <w:r w:rsidRPr="00CF23A8">
        <w:rPr>
          <w:rFonts w:eastAsia="Times New Roman"/>
          <w:color w:val="000000"/>
          <w:sz w:val="22"/>
          <w:szCs w:val="22"/>
        </w:rPr>
        <w:t>Key Laboratory of Comprehensive Observation of Polar Environment (Sun Yat-sen University), China.</w:t>
      </w:r>
    </w:p>
    <w:p w14:paraId="129E37A2" w14:textId="77777777"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3</w:t>
      </w:r>
      <w:r w:rsidRPr="00CF23A8">
        <w:rPr>
          <w:rFonts w:eastAsia="Times New Roman"/>
          <w:color w:val="000000"/>
          <w:sz w:val="22"/>
          <w:szCs w:val="22"/>
        </w:rPr>
        <w:t>School of Atmospheric Science, Sun Yat-sen University, and Southern Marine Science and Engineering Guangdong Laboratory (Zhuhai), Zhuhai, China.</w:t>
      </w:r>
    </w:p>
    <w:p w14:paraId="5AC903CA" w14:textId="77777777"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4</w:t>
      </w:r>
      <w:r w:rsidRPr="00CF23A8">
        <w:rPr>
          <w:rFonts w:eastAsia="Times New Roman"/>
          <w:color w:val="000000"/>
          <w:sz w:val="22"/>
          <w:szCs w:val="22"/>
        </w:rPr>
        <w:t>Department of Earth System Science, Tsinghua University, Beijing 100084, China.</w:t>
      </w:r>
    </w:p>
    <w:p w14:paraId="6CA3303A" w14:textId="77777777"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5</w:t>
      </w:r>
      <w:r w:rsidRPr="00CF23A8">
        <w:rPr>
          <w:rFonts w:eastAsia="Times New Roman"/>
          <w:color w:val="000000"/>
          <w:sz w:val="22"/>
          <w:szCs w:val="22"/>
        </w:rPr>
        <w:t>Institute of Meteorology and Climate Research Atmospheric Trace Gases and Remote Sensing (IMKASF), Karlsruhe Institute of Technology, Karlsruhe, Germany.</w:t>
      </w:r>
    </w:p>
    <w:p w14:paraId="4B7E04B9" w14:textId="77777777" w:rsidR="00475F68" w:rsidRPr="00CF23A8" w:rsidRDefault="00000000">
      <w:pPr>
        <w:widowControl/>
        <w:pBdr>
          <w:top w:val="nil"/>
          <w:left w:val="nil"/>
          <w:bottom w:val="nil"/>
          <w:right w:val="nil"/>
          <w:between w:val="nil"/>
        </w:pBdr>
        <w:spacing w:line="360" w:lineRule="auto"/>
        <w:jc w:val="both"/>
        <w:rPr>
          <w:color w:val="000000"/>
          <w:sz w:val="22"/>
          <w:szCs w:val="22"/>
        </w:rPr>
      </w:pPr>
      <w:r w:rsidRPr="00CF23A8">
        <w:rPr>
          <w:rFonts w:eastAsia="Times New Roman"/>
          <w:color w:val="000000"/>
          <w:sz w:val="22"/>
          <w:szCs w:val="22"/>
          <w:vertAlign w:val="superscript"/>
        </w:rPr>
        <w:t>6</w:t>
      </w:r>
      <w:r w:rsidRPr="00CF23A8">
        <w:rPr>
          <w:rFonts w:eastAsia="Times New Roman"/>
          <w:color w:val="000000"/>
          <w:sz w:val="22"/>
          <w:szCs w:val="22"/>
        </w:rPr>
        <w:t>Geophysical Institute, University of Bergen and Bjerknes Centre for Climate Research, Bergen, Norway.</w:t>
      </w:r>
    </w:p>
    <w:p w14:paraId="3C881D60" w14:textId="77777777" w:rsidR="00475F68" w:rsidRPr="00CF23A8" w:rsidRDefault="00000000">
      <w:pPr>
        <w:widowControl/>
        <w:pBdr>
          <w:top w:val="nil"/>
          <w:left w:val="nil"/>
          <w:bottom w:val="nil"/>
          <w:right w:val="nil"/>
          <w:between w:val="nil"/>
        </w:pBdr>
        <w:spacing w:line="360" w:lineRule="auto"/>
        <w:jc w:val="both"/>
        <w:rPr>
          <w:rFonts w:eastAsia="Times New Roman"/>
          <w:color w:val="000000"/>
          <w:sz w:val="22"/>
          <w:szCs w:val="22"/>
        </w:rPr>
      </w:pPr>
      <w:r w:rsidRPr="00CF23A8">
        <w:rPr>
          <w:rFonts w:eastAsia="Times New Roman"/>
          <w:color w:val="000000"/>
          <w:sz w:val="22"/>
          <w:szCs w:val="22"/>
          <w:vertAlign w:val="superscript"/>
        </w:rPr>
        <w:t>7</w:t>
      </w:r>
      <w:r w:rsidRPr="00CF23A8">
        <w:rPr>
          <w:rFonts w:eastAsia="Times New Roman"/>
          <w:color w:val="000000"/>
          <w:sz w:val="22"/>
          <w:szCs w:val="22"/>
        </w:rPr>
        <w:t>Alfred Wegener Institute, Helmholtz Centre for Polar and Marine Research, Potsdam, Germany.</w:t>
      </w:r>
    </w:p>
    <w:p w14:paraId="4CDBC27E" w14:textId="77777777" w:rsidR="001D5DAD" w:rsidRDefault="001D5DAD">
      <w:pPr>
        <w:widowControl/>
        <w:pBdr>
          <w:top w:val="nil"/>
          <w:left w:val="nil"/>
          <w:bottom w:val="nil"/>
          <w:right w:val="nil"/>
          <w:between w:val="nil"/>
        </w:pBdr>
        <w:spacing w:line="360" w:lineRule="auto"/>
        <w:jc w:val="both"/>
        <w:rPr>
          <w:rFonts w:eastAsia="Times New Roman"/>
          <w:color w:val="000000"/>
          <w:sz w:val="22"/>
          <w:szCs w:val="22"/>
        </w:rPr>
      </w:pPr>
      <w:r w:rsidRPr="00CF23A8">
        <w:rPr>
          <w:rFonts w:eastAsia="Times New Roman"/>
          <w:color w:val="000000"/>
          <w:sz w:val="22"/>
          <w:szCs w:val="22"/>
          <w:vertAlign w:val="superscript"/>
        </w:rPr>
        <w:t>8</w:t>
      </w:r>
      <w:r w:rsidR="0085155E" w:rsidRPr="00CF23A8">
        <w:rPr>
          <w:rFonts w:eastAsia="Times New Roman"/>
          <w:color w:val="000000"/>
          <w:sz w:val="22"/>
          <w:szCs w:val="22"/>
        </w:rPr>
        <w:t>Department of Geography and Lincoln Climate Research Group, University of Lincoln, Lincoln, United Kingdom</w:t>
      </w:r>
      <w:r w:rsidRPr="00CF23A8">
        <w:rPr>
          <w:rFonts w:eastAsia="Times New Roman"/>
          <w:color w:val="000000"/>
          <w:sz w:val="22"/>
          <w:szCs w:val="22"/>
        </w:rPr>
        <w:t>.</w:t>
      </w:r>
    </w:p>
    <w:p w14:paraId="01A2D4EB" w14:textId="101014ED" w:rsidR="008C58CF" w:rsidRPr="00CF23A8" w:rsidRDefault="00020A68">
      <w:pPr>
        <w:widowControl/>
        <w:pBdr>
          <w:top w:val="nil"/>
          <w:left w:val="nil"/>
          <w:bottom w:val="nil"/>
          <w:right w:val="nil"/>
          <w:between w:val="nil"/>
        </w:pBdr>
        <w:spacing w:line="360" w:lineRule="auto"/>
        <w:jc w:val="both"/>
        <w:rPr>
          <w:color w:val="000000"/>
          <w:sz w:val="22"/>
          <w:szCs w:val="22"/>
        </w:rPr>
      </w:pPr>
      <w:r>
        <w:rPr>
          <w:color w:val="000000"/>
          <w:sz w:val="22"/>
          <w:szCs w:val="22"/>
          <w:vertAlign w:val="superscript"/>
        </w:rPr>
        <w:t>9</w:t>
      </w:r>
      <w:r w:rsidRPr="00675905">
        <w:rPr>
          <w:rFonts w:eastAsia="Times New Roman"/>
          <w:color w:val="000000"/>
          <w:sz w:val="22"/>
          <w:szCs w:val="22"/>
        </w:rPr>
        <w:t>School of Systems Science/Institute of Nonequilibrium Systems, Beijing Normal University, Beijing 100875, China</w:t>
      </w:r>
      <w:r w:rsidR="00675905">
        <w:rPr>
          <w:rFonts w:eastAsia="Times New Roman"/>
          <w:color w:val="000000"/>
          <w:sz w:val="22"/>
          <w:szCs w:val="22"/>
        </w:rPr>
        <w:t>.</w:t>
      </w:r>
    </w:p>
    <w:p w14:paraId="25C134B7" w14:textId="0F0B763E" w:rsidR="00475F68" w:rsidRPr="00CF23A8" w:rsidRDefault="00AF3B56">
      <w:pPr>
        <w:widowControl/>
        <w:pBdr>
          <w:top w:val="nil"/>
          <w:left w:val="nil"/>
          <w:bottom w:val="nil"/>
          <w:right w:val="nil"/>
          <w:between w:val="nil"/>
        </w:pBdr>
        <w:spacing w:line="360" w:lineRule="auto"/>
        <w:jc w:val="both"/>
        <w:rPr>
          <w:color w:val="000000"/>
          <w:sz w:val="22"/>
          <w:szCs w:val="22"/>
        </w:rPr>
      </w:pPr>
      <w:r>
        <w:rPr>
          <w:rFonts w:eastAsia="Times New Roman"/>
          <w:color w:val="000000"/>
          <w:sz w:val="22"/>
          <w:szCs w:val="22"/>
          <w:vertAlign w:val="superscript"/>
        </w:rPr>
        <w:t>10</w:t>
      </w:r>
      <w:r w:rsidRPr="00CF23A8">
        <w:rPr>
          <w:rFonts w:eastAsia="Times New Roman"/>
          <w:color w:val="000000"/>
          <w:sz w:val="22"/>
          <w:szCs w:val="22"/>
        </w:rPr>
        <w:t>State Key Laboratory of Climate System Prediction and Risk Management/Key Laboratory of Hydrometeorological Disaster Mechanism and Warning of Ministry of Water Resources/Collaborative Innovation Center on Forecast and Evaluation of Meteorological Disasters, Nanjing University of Information Science &amp; Technology, Nanjing, 210044, China.</w:t>
      </w:r>
    </w:p>
    <w:p w14:paraId="00101B43" w14:textId="220AB25F" w:rsidR="00475F68" w:rsidRPr="00CF23A8" w:rsidRDefault="00000000">
      <w:pPr>
        <w:spacing w:line="360" w:lineRule="auto"/>
        <w:jc w:val="both"/>
        <w:rPr>
          <w:sz w:val="22"/>
          <w:szCs w:val="22"/>
        </w:rPr>
      </w:pPr>
      <w:r w:rsidRPr="00CF23A8">
        <w:rPr>
          <w:sz w:val="22"/>
          <w:szCs w:val="22"/>
          <w:vertAlign w:val="superscript"/>
        </w:rPr>
        <w:t>1</w:t>
      </w:r>
      <w:r w:rsidR="00AF3B56">
        <w:rPr>
          <w:sz w:val="22"/>
          <w:szCs w:val="22"/>
          <w:vertAlign w:val="superscript"/>
        </w:rPr>
        <w:t>1</w:t>
      </w:r>
      <w:r w:rsidRPr="00CF23A8">
        <w:rPr>
          <w:sz w:val="22"/>
          <w:szCs w:val="22"/>
        </w:rPr>
        <w:t>Nansen Environmental and Remote Sensing Center, Bergen, Norway.</w:t>
      </w:r>
    </w:p>
    <w:p w14:paraId="095B8A13" w14:textId="77777777" w:rsidR="003F7E16" w:rsidRDefault="00000000" w:rsidP="003F7E16">
      <w:pPr>
        <w:spacing w:line="360" w:lineRule="auto"/>
        <w:jc w:val="both"/>
        <w:rPr>
          <w:sz w:val="22"/>
          <w:szCs w:val="22"/>
        </w:rPr>
      </w:pPr>
      <w:r w:rsidRPr="00CF23A8">
        <w:rPr>
          <w:sz w:val="22"/>
          <w:szCs w:val="22"/>
          <w:vertAlign w:val="superscript"/>
        </w:rPr>
        <w:t>a</w:t>
      </w:r>
      <w:r w:rsidR="009A242C" w:rsidRPr="00CF23A8">
        <w:rPr>
          <w:sz w:val="22"/>
          <w:szCs w:val="22"/>
        </w:rPr>
        <w:t>N</w:t>
      </w:r>
      <w:r w:rsidRPr="00CF23A8">
        <w:rPr>
          <w:sz w:val="22"/>
          <w:szCs w:val="22"/>
        </w:rPr>
        <w:t>ow at: Business Area Research and Development, Deutscher Wetterdienst, Offenbach am Main, Germany</w:t>
      </w:r>
      <w:r w:rsidR="003F7E16">
        <w:rPr>
          <w:sz w:val="22"/>
          <w:szCs w:val="22"/>
        </w:rPr>
        <w:t>.</w:t>
      </w:r>
    </w:p>
    <w:p w14:paraId="3EFEA531" w14:textId="77777777" w:rsidR="00332707" w:rsidRPr="00332707" w:rsidRDefault="00332707" w:rsidP="00332707">
      <w:pPr>
        <w:spacing w:line="360" w:lineRule="auto"/>
        <w:rPr>
          <w:b/>
          <w:bCs/>
          <w:i/>
          <w:iCs/>
          <w:lang w:val="en-US"/>
        </w:rPr>
      </w:pPr>
    </w:p>
    <w:p w14:paraId="79FD6070" w14:textId="77777777" w:rsidR="00332707" w:rsidRDefault="003F7E16" w:rsidP="003F7E16">
      <w:pPr>
        <w:spacing w:after="400"/>
        <w:rPr>
          <w:sz w:val="22"/>
          <w:szCs w:val="22"/>
          <w:lang w:val="en-US"/>
        </w:rPr>
      </w:pPr>
      <w:r>
        <w:rPr>
          <w:rFonts w:hint="eastAsia"/>
          <w:sz w:val="22"/>
          <w:szCs w:val="22"/>
        </w:rPr>
        <w:t xml:space="preserve">Correpondance to: </w:t>
      </w:r>
    </w:p>
    <w:p w14:paraId="6D1145E8" w14:textId="65C60D69" w:rsidR="003F7E16" w:rsidRPr="00332707" w:rsidRDefault="003F7E16" w:rsidP="003F7E16">
      <w:pPr>
        <w:spacing w:after="400"/>
        <w:rPr>
          <w:sz w:val="22"/>
          <w:szCs w:val="22"/>
        </w:rPr>
      </w:pPr>
      <w:r>
        <w:rPr>
          <w:rFonts w:hint="eastAsia"/>
          <w:sz w:val="22"/>
          <w:szCs w:val="22"/>
        </w:rPr>
        <w:t>wangshy96@mail.sysu.edu.cn; liujp63@mail.sysu.edu.cn;</w:t>
      </w:r>
      <w:r>
        <w:rPr>
          <w:sz w:val="22"/>
          <w:szCs w:val="22"/>
        </w:rPr>
        <w:t xml:space="preserve"> </w:t>
      </w:r>
      <w:r>
        <w:rPr>
          <w:rFonts w:hint="eastAsia"/>
          <w:sz w:val="22"/>
          <w:szCs w:val="22"/>
        </w:rPr>
        <w:t>chengxiao9@mail.sysu.edu.cn</w:t>
      </w:r>
    </w:p>
    <w:p w14:paraId="1F90A0E4" w14:textId="77777777" w:rsidR="00475F68" w:rsidRPr="00CF23A8" w:rsidRDefault="00000000">
      <w:pPr>
        <w:widowControl/>
        <w:rPr>
          <w:sz w:val="22"/>
          <w:szCs w:val="22"/>
        </w:rPr>
      </w:pPr>
      <w:r w:rsidRPr="00CF23A8">
        <w:br w:type="page"/>
      </w:r>
    </w:p>
    <w:p w14:paraId="5924DE66" w14:textId="77777777" w:rsidR="00B95FFE" w:rsidRDefault="00B95FFE" w:rsidP="00B95FFE">
      <w:pPr>
        <w:pStyle w:val="Heading2"/>
      </w:pPr>
      <w:r w:rsidRPr="00857077">
        <w:rPr>
          <w:rFonts w:hint="eastAsia"/>
        </w:rPr>
        <w:lastRenderedPageBreak/>
        <w:t xml:space="preserve">(1) </w:t>
      </w:r>
      <w:r w:rsidRPr="00857077">
        <w:t>Transfer Entropy Analysis of GH–SIE Coupling</w:t>
      </w:r>
    </w:p>
    <w:p w14:paraId="5148A390" w14:textId="526113B2" w:rsidR="00D43FCD" w:rsidRDefault="00D43FCD" w:rsidP="00A03D18">
      <w:pPr>
        <w:spacing w:after="200" w:line="360" w:lineRule="auto"/>
        <w:jc w:val="both"/>
      </w:pPr>
      <w:r w:rsidRPr="00A03D18">
        <w:t>To assess the directionality of coupling between the June Greenland High (GH) and September Arctic sea ice extent (SIE), we complement correlation analysis with transfer entropy (TE), an information-theoretic measure of directed statistical dependence. Unlike correlation, which quantifies symmetric linear association, transfer entropy measures how much the past of one variable reduces uncertainty about the future of another, beyond what is already known from the target's own history. This approach can detect both linear and nonlinear coupling and distinguish the direction of information flow.We estimate transfer entropy using the Kraskov–Stögbauer–Grassberger k-nearest-neighbor method, which is well-suited for short, continuous-valued time series. Transfer entropy is computed separately for each direction (GH to SIE and SIE to GH) and each period (P1: 1979–2003; P2: 2004–2025) using detrended indices. Statistical significance is assessed through permutation testing (1,000 shuffles), and differences between periods are evaluated using block bootstrap resampling (1,000 iterations, block length = 3 years) to preserve autocorrelation structure.</w:t>
      </w:r>
      <w:r w:rsidR="00A72751">
        <w:rPr>
          <w:rFonts w:hint="eastAsia"/>
        </w:rPr>
        <w:t xml:space="preserve"> </w:t>
      </w:r>
      <w:r w:rsidRPr="00A03D18">
        <w:t xml:space="preserve">To examine the temporal evolution of information flow, we compute rolling transfer entropy using an 11-year sliding window and apply change point detection to identify potential regime shifts. The analysis consistently places the regime shift in the early 2000s (2004–2006 depending on window length), corroborating the </w:t>
      </w:r>
      <w:r w:rsidR="00D9335B">
        <w:rPr>
          <w:rFonts w:hint="eastAsia"/>
        </w:rPr>
        <w:t>regime shift</w:t>
      </w:r>
      <w:r w:rsidRPr="00A03D18">
        <w:rPr>
          <w:rFonts w:hint="eastAsia"/>
        </w:rPr>
        <w:t xml:space="preserve"> </w:t>
      </w:r>
      <w:r w:rsidRPr="00A03D18">
        <w:t>identified by correlation analysis.</w:t>
      </w:r>
    </w:p>
    <w:p w14:paraId="42D67A33" w14:textId="77777777" w:rsidR="00A03D18" w:rsidRDefault="00A03D18" w:rsidP="00A03D18">
      <w:pPr>
        <w:spacing w:after="200" w:line="360" w:lineRule="auto"/>
        <w:jc w:val="both"/>
      </w:pPr>
    </w:p>
    <w:p w14:paraId="535C3BCD" w14:textId="77777777" w:rsidR="00A03D18" w:rsidRDefault="00A03D18" w:rsidP="00A03D18">
      <w:pPr>
        <w:spacing w:after="200" w:line="360" w:lineRule="auto"/>
        <w:jc w:val="both"/>
      </w:pPr>
    </w:p>
    <w:p w14:paraId="32E8795C" w14:textId="77777777" w:rsidR="00A03D18" w:rsidRDefault="00A03D18" w:rsidP="00A03D18">
      <w:pPr>
        <w:spacing w:after="200" w:line="360" w:lineRule="auto"/>
        <w:jc w:val="both"/>
      </w:pPr>
    </w:p>
    <w:p w14:paraId="5F5910AD" w14:textId="77777777" w:rsidR="00A03D18" w:rsidRDefault="00A03D18" w:rsidP="00A03D18">
      <w:pPr>
        <w:spacing w:after="200" w:line="360" w:lineRule="auto"/>
        <w:jc w:val="both"/>
      </w:pPr>
    </w:p>
    <w:p w14:paraId="65A8BED4" w14:textId="77777777" w:rsidR="00A03D18" w:rsidRDefault="00A03D18" w:rsidP="00A03D18">
      <w:pPr>
        <w:spacing w:after="200" w:line="360" w:lineRule="auto"/>
        <w:jc w:val="both"/>
      </w:pPr>
    </w:p>
    <w:p w14:paraId="26BE6682" w14:textId="77777777" w:rsidR="00A03D18" w:rsidRDefault="00A03D18" w:rsidP="00A03D18">
      <w:pPr>
        <w:spacing w:after="200" w:line="360" w:lineRule="auto"/>
        <w:jc w:val="both"/>
      </w:pPr>
    </w:p>
    <w:p w14:paraId="7F34D4B6" w14:textId="77777777" w:rsidR="00A03D18" w:rsidRDefault="00A03D18" w:rsidP="00A03D18">
      <w:pPr>
        <w:spacing w:after="200" w:line="360" w:lineRule="auto"/>
        <w:jc w:val="both"/>
      </w:pPr>
    </w:p>
    <w:p w14:paraId="6FAD537A" w14:textId="77777777" w:rsidR="00A03D18" w:rsidRDefault="00A03D18" w:rsidP="00A03D18">
      <w:pPr>
        <w:spacing w:after="200" w:line="360" w:lineRule="auto"/>
        <w:jc w:val="both"/>
      </w:pPr>
    </w:p>
    <w:p w14:paraId="293D6635" w14:textId="77777777" w:rsidR="00A03D18" w:rsidRDefault="00A03D18" w:rsidP="00A03D18">
      <w:pPr>
        <w:spacing w:after="200" w:line="360" w:lineRule="auto"/>
        <w:jc w:val="both"/>
      </w:pPr>
    </w:p>
    <w:p w14:paraId="4DA4E574" w14:textId="5DD30774" w:rsidR="00A03D18" w:rsidRPr="00D43FCD" w:rsidRDefault="00283CEC" w:rsidP="00283CEC">
      <w:pPr>
        <w:rPr>
          <w:rFonts w:hint="eastAsia"/>
        </w:rPr>
      </w:pPr>
      <w:r>
        <w:br w:type="page"/>
      </w:r>
    </w:p>
    <w:p w14:paraId="49EA6B14" w14:textId="67E67A95" w:rsidR="00B95FFE" w:rsidRDefault="00B95FFE" w:rsidP="00B95FFE">
      <w:pPr>
        <w:pStyle w:val="Heading2"/>
      </w:pPr>
      <w:r>
        <w:rPr>
          <w:rFonts w:hint="eastAsia"/>
        </w:rPr>
        <w:lastRenderedPageBreak/>
        <w:t>(2) Supplementary Figures</w:t>
      </w:r>
    </w:p>
    <w:p w14:paraId="411AB602" w14:textId="77777777" w:rsidR="00B95FFE" w:rsidRPr="00C12F36" w:rsidRDefault="00B95FFE" w:rsidP="00B95FFE"/>
    <w:p w14:paraId="38C5391A" w14:textId="77777777" w:rsidR="00B95FFE" w:rsidRDefault="00B95FFE" w:rsidP="00B95FFE">
      <w:pPr>
        <w:spacing w:after="200" w:line="276" w:lineRule="auto"/>
        <w:jc w:val="center"/>
        <w:rPr>
          <w:rFonts w:eastAsia="Gungsuh"/>
          <w:b/>
          <w:bCs/>
        </w:rPr>
      </w:pPr>
      <w:r>
        <w:rPr>
          <w:rFonts w:eastAsia="Gungsuh" w:hint="eastAsia"/>
          <w:b/>
          <w:bCs/>
          <w:noProof/>
        </w:rPr>
        <w:drawing>
          <wp:inline distT="0" distB="0" distL="0" distR="0" wp14:anchorId="6B8618F3" wp14:editId="12781479">
            <wp:extent cx="5040000" cy="3472050"/>
            <wp:effectExtent l="0" t="0" r="1905" b="0"/>
            <wp:docPr id="179149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96604" name="Picture 17914966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3472050"/>
                    </a:xfrm>
                    <a:prstGeom prst="rect">
                      <a:avLst/>
                    </a:prstGeom>
                  </pic:spPr>
                </pic:pic>
              </a:graphicData>
            </a:graphic>
          </wp:inline>
        </w:drawing>
      </w:r>
    </w:p>
    <w:p w14:paraId="012C7423" w14:textId="226616E2" w:rsidR="00B95FFE" w:rsidRPr="00AF451A" w:rsidRDefault="00B95FFE" w:rsidP="00B95FFE">
      <w:pPr>
        <w:spacing w:after="200" w:line="276" w:lineRule="auto"/>
        <w:jc w:val="both"/>
        <w:rPr>
          <w:rFonts w:eastAsia="Gungsuh"/>
          <w:b/>
          <w:bCs/>
        </w:rPr>
      </w:pPr>
      <w:r>
        <w:rPr>
          <w:rStyle w:val="Strong"/>
        </w:rPr>
        <w:t>Figure S</w:t>
      </w:r>
      <w:r>
        <w:rPr>
          <w:rStyle w:val="Strong"/>
          <w:rFonts w:hint="eastAsia"/>
        </w:rPr>
        <w:t>1</w:t>
      </w:r>
      <w:r>
        <w:rPr>
          <w:rStyle w:val="Strong"/>
        </w:rPr>
        <w:t>. Transfer entropy analysis of directional information flow between the June Greenland High (GH) and September Arctic sea ice extent (SIE).</w:t>
      </w:r>
      <w:r>
        <w:t xml:space="preserve"> </w:t>
      </w:r>
      <w:r w:rsidRPr="003915DD">
        <w:rPr>
          <w:b/>
          <w:bCs/>
        </w:rPr>
        <w:t xml:space="preserve">(a) </w:t>
      </w:r>
      <w:r>
        <w:t xml:space="preserve">Transfer entropy (TE) </w:t>
      </w:r>
      <w:r>
        <w:rPr>
          <w:rFonts w:hint="eastAsia"/>
        </w:rPr>
        <w:t xml:space="preserve">is </w:t>
      </w:r>
      <w:r>
        <w:t>estimated separately for each direction (GH</w:t>
      </w:r>
      <w:r w:rsidR="002B0FDD">
        <w:rPr>
          <w:rFonts w:hint="eastAsia"/>
        </w:rPr>
        <w:t xml:space="preserve"> to </w:t>
      </w:r>
      <w:r>
        <w:t>SIE and SIE</w:t>
      </w:r>
      <w:r w:rsidR="002B0FDD">
        <w:rPr>
          <w:rFonts w:hint="eastAsia"/>
        </w:rPr>
        <w:t xml:space="preserve"> to </w:t>
      </w:r>
      <w:r>
        <w:t xml:space="preserve">GH) and period (P1: 1979–2003, blue; P2: 2004–2025, red), using the Kraskov k-nearest-neighbor estimator (k = 3, history = 1 year). Significance is assessed by permutation testing; n.s. = not significant. </w:t>
      </w:r>
      <w:r w:rsidRPr="003915DD">
        <w:rPr>
          <w:b/>
          <w:bCs/>
        </w:rPr>
        <w:t>(b)</w:t>
      </w:r>
      <w:r>
        <w:t xml:space="preserve"> Period difference in TE (P2 minus P1) for each direction, with 95% confidence intervals from block bootstrap resampling (1000 iterations, block length = 3 years). </w:t>
      </w:r>
      <w:r w:rsidRPr="003915DD">
        <w:rPr>
          <w:b/>
          <w:bCs/>
        </w:rPr>
        <w:t>(c)</w:t>
      </w:r>
      <w:r>
        <w:t xml:space="preserve"> Rolling TE (1</w:t>
      </w:r>
      <w:r>
        <w:rPr>
          <w:rFonts w:hint="eastAsia"/>
        </w:rPr>
        <w:t>1</w:t>
      </w:r>
      <w:r>
        <w:t>-year window) for GH</w:t>
      </w:r>
      <w:r w:rsidR="00CD1342">
        <w:rPr>
          <w:rFonts w:hint="eastAsia"/>
        </w:rPr>
        <w:t xml:space="preserve"> to </w:t>
      </w:r>
      <w:r>
        <w:t>SIE (red solid) and SIE</w:t>
      </w:r>
      <w:r w:rsidR="00CD1342">
        <w:rPr>
          <w:rFonts w:hint="eastAsia"/>
        </w:rPr>
        <w:t xml:space="preserve"> to </w:t>
      </w:r>
      <w:r>
        <w:t>GH (green dashed), overlaid with rolling Pearson correlation (11-year window, grey dotted; right axis). The vertical dashed black line marks the correlation-based change point (2004); the vertical dash-dotted purple line marks the change point detected by binary segmentation applied to the rolling TE</w:t>
      </w:r>
      <w:r w:rsidR="00CD1342">
        <w:rPr>
          <w:rFonts w:hint="eastAsia"/>
        </w:rPr>
        <w:t xml:space="preserve"> </w:t>
      </w:r>
      <w:r>
        <w:t>(GH</w:t>
      </w:r>
      <w:r w:rsidR="00CD1342">
        <w:rPr>
          <w:rFonts w:hint="eastAsia"/>
        </w:rPr>
        <w:t xml:space="preserve"> to </w:t>
      </w:r>
      <w:r>
        <w:t>SIE) series. Blue and red shading denote P1 and P2, respectively.</w:t>
      </w:r>
      <w:r>
        <w:rPr>
          <w:rFonts w:hint="eastAsia"/>
        </w:rPr>
        <w:t xml:space="preserve"> </w:t>
      </w:r>
      <w:r>
        <w:t>The detected TE change point shifts from 2004 to 2005 and 2006 when the rolling window is increased to 13 and 15 years, respectively, reflecting the smoothing effect of wider windows on the timing of the transition while consistently placing the regime shift within the early 2000s.</w:t>
      </w:r>
    </w:p>
    <w:p w14:paraId="21702674" w14:textId="77777777" w:rsidR="00B95FFE" w:rsidRPr="00547321" w:rsidRDefault="00B95FFE" w:rsidP="00B95FFE">
      <w:pPr>
        <w:spacing w:after="200" w:line="276" w:lineRule="auto"/>
        <w:jc w:val="both"/>
        <w:rPr>
          <w:rFonts w:eastAsia="Gungsuh"/>
          <w:b/>
          <w:bCs/>
        </w:rPr>
      </w:pPr>
    </w:p>
    <w:p w14:paraId="667FEB68" w14:textId="77777777" w:rsidR="00B95FFE" w:rsidRPr="009B0D81" w:rsidRDefault="00B95FFE" w:rsidP="00B95FFE">
      <w:pPr>
        <w:spacing w:after="200" w:line="276" w:lineRule="auto"/>
        <w:jc w:val="both"/>
        <w:rPr>
          <w:rFonts w:eastAsia="Gungsuh"/>
        </w:rPr>
      </w:pPr>
      <w:r w:rsidRPr="009B0D81">
        <w:rPr>
          <w:rFonts w:eastAsia="Gungsuh"/>
          <w:noProof/>
        </w:rPr>
        <w:lastRenderedPageBreak/>
        <w:drawing>
          <wp:inline distT="114300" distB="114300" distL="114300" distR="114300" wp14:anchorId="23B6128B" wp14:editId="1AF214E6">
            <wp:extent cx="5731200" cy="5384800"/>
            <wp:effectExtent l="0" t="0" r="0" b="0"/>
            <wp:docPr id="20700506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1200" cy="5384800"/>
                    </a:xfrm>
                    <a:prstGeom prst="rect">
                      <a:avLst/>
                    </a:prstGeom>
                    <a:ln/>
                  </pic:spPr>
                </pic:pic>
              </a:graphicData>
            </a:graphic>
          </wp:inline>
        </w:drawing>
      </w:r>
    </w:p>
    <w:p w14:paraId="5476F41F" w14:textId="3BCBE565" w:rsidR="00B95FFE" w:rsidRPr="009B0D81" w:rsidRDefault="00B95FFE" w:rsidP="00B95FFE">
      <w:pPr>
        <w:spacing w:after="200" w:line="276" w:lineRule="auto"/>
        <w:jc w:val="both"/>
        <w:rPr>
          <w:rFonts w:eastAsia="Gungsuh"/>
        </w:rPr>
      </w:pPr>
      <w:r w:rsidRPr="000A3DAB">
        <w:rPr>
          <w:rFonts w:eastAsia="Gungsuh"/>
          <w:b/>
          <w:bCs/>
        </w:rPr>
        <w:t>Figure S</w:t>
      </w:r>
      <w:r>
        <w:rPr>
          <w:rFonts w:eastAsia="Gungsuh" w:hint="eastAsia"/>
          <w:b/>
          <w:bCs/>
        </w:rPr>
        <w:t>2</w:t>
      </w:r>
      <w:r w:rsidRPr="000A3DAB">
        <w:rPr>
          <w:rFonts w:eastAsia="Gungsuh"/>
          <w:b/>
          <w:bCs/>
        </w:rPr>
        <w:t xml:space="preserve">. Running correlations between June climate indices and September Arctic sea ice extent (1979–2025). </w:t>
      </w:r>
      <w:r w:rsidRPr="009B0D81">
        <w:rPr>
          <w:rFonts w:eastAsia="Gungsuh"/>
        </w:rPr>
        <w:t xml:space="preserve">Each panel shows running correlations calculated using 9-year (red solid), 11-year (cyan dashed), and 13-year (green dotted) moving windows between June climate indices and September sea ice extent. </w:t>
      </w:r>
      <w:r w:rsidRPr="00424A2A">
        <w:rPr>
          <w:rFonts w:eastAsia="Gungsuh"/>
          <w:b/>
          <w:bCs/>
        </w:rPr>
        <w:t>(a)</w:t>
      </w:r>
      <w:r w:rsidRPr="009B0D81">
        <w:rPr>
          <w:rFonts w:eastAsia="Gungsuh"/>
        </w:rPr>
        <w:t xml:space="preserve"> North Atlantic Oscillation (NAO); </w:t>
      </w:r>
      <w:r w:rsidRPr="00424A2A">
        <w:rPr>
          <w:rFonts w:eastAsia="Gungsuh"/>
          <w:b/>
          <w:bCs/>
        </w:rPr>
        <w:t xml:space="preserve">(b) </w:t>
      </w:r>
      <w:r w:rsidRPr="009B0D81">
        <w:rPr>
          <w:rFonts w:eastAsia="Gungsuh"/>
        </w:rPr>
        <w:t xml:space="preserve">Arctic Oscillation (AO); </w:t>
      </w:r>
      <w:r w:rsidRPr="00424A2A">
        <w:rPr>
          <w:rFonts w:eastAsia="Gungsuh"/>
          <w:b/>
          <w:bCs/>
        </w:rPr>
        <w:t xml:space="preserve">(c) </w:t>
      </w:r>
      <w:r w:rsidRPr="009B0D81">
        <w:rPr>
          <w:rFonts w:eastAsia="Gungsuh"/>
        </w:rPr>
        <w:t>Arctic Dipole (AD). Blue shading denotes Period 1 (P1</w:t>
      </w:r>
      <w:r w:rsidR="00D01776">
        <w:rPr>
          <w:rFonts w:eastAsia="Gungsuh" w:hint="eastAsia"/>
        </w:rPr>
        <w:t xml:space="preserve">, </w:t>
      </w:r>
      <w:r w:rsidRPr="009B0D81">
        <w:rPr>
          <w:rFonts w:eastAsia="Gungsuh"/>
        </w:rPr>
        <w:t>1979–2003) and red shading denotes Period 2 (P2</w:t>
      </w:r>
      <w:r w:rsidR="00D01776">
        <w:rPr>
          <w:rFonts w:eastAsia="Gungsuh" w:hint="eastAsia"/>
        </w:rPr>
        <w:t xml:space="preserve">, </w:t>
      </w:r>
      <w:r w:rsidRPr="009B0D81">
        <w:rPr>
          <w:rFonts w:eastAsia="Gungsuh"/>
        </w:rPr>
        <w:t>2004–2025), with mean correlations and significance levels for each period displayed in the inset boxes. All time series were linearly detrended prior to analysis. Black stars indicate running correlations significant at p &lt; 0.05. Significance levels for period means: *p &lt; 0.05, **p &lt; 0.01. Note the strengthening of NAO–SIE and AO–SIE correlations in P2, consistent with the intensified GH–SIE coupling documented in the main text, reflecting the heightened sensitivity of the thinner ice regime to large-scale atmospheric circulation patterns.</w:t>
      </w:r>
    </w:p>
    <w:p w14:paraId="72802ABE" w14:textId="77777777" w:rsidR="00B95FFE" w:rsidRPr="009B0D81" w:rsidRDefault="00B95FFE" w:rsidP="00B95FFE">
      <w:pPr>
        <w:spacing w:after="200" w:line="276" w:lineRule="auto"/>
        <w:jc w:val="center"/>
        <w:rPr>
          <w:rFonts w:eastAsia="Gungsuh"/>
        </w:rPr>
      </w:pPr>
      <w:r w:rsidRPr="009B0D81">
        <w:rPr>
          <w:rFonts w:eastAsia="Gungsuh"/>
          <w:noProof/>
        </w:rPr>
        <w:lastRenderedPageBreak/>
        <w:drawing>
          <wp:inline distT="114300" distB="114300" distL="114300" distR="114300" wp14:anchorId="54186A16" wp14:editId="47AAA01D">
            <wp:extent cx="5040000" cy="5416646"/>
            <wp:effectExtent l="0" t="0" r="1905" b="6350"/>
            <wp:docPr id="20700506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040000" cy="5416646"/>
                    </a:xfrm>
                    <a:prstGeom prst="rect">
                      <a:avLst/>
                    </a:prstGeom>
                    <a:ln/>
                  </pic:spPr>
                </pic:pic>
              </a:graphicData>
            </a:graphic>
          </wp:inline>
        </w:drawing>
      </w:r>
    </w:p>
    <w:p w14:paraId="39F4A0ED" w14:textId="77777777" w:rsidR="00B95FFE" w:rsidRPr="009B0D81" w:rsidRDefault="00B95FFE" w:rsidP="00B95FFE">
      <w:pPr>
        <w:spacing w:after="200" w:line="276" w:lineRule="auto"/>
        <w:jc w:val="both"/>
        <w:rPr>
          <w:rFonts w:eastAsia="Gungsuh"/>
        </w:rPr>
      </w:pPr>
      <w:r w:rsidRPr="000A3DAB">
        <w:rPr>
          <w:rFonts w:eastAsia="Gungsuh"/>
          <w:b/>
          <w:bCs/>
        </w:rPr>
        <w:t>Figure S</w:t>
      </w:r>
      <w:r>
        <w:rPr>
          <w:rFonts w:eastAsia="Gungsuh" w:hint="eastAsia"/>
          <w:b/>
          <w:bCs/>
        </w:rPr>
        <w:t>3</w:t>
      </w:r>
      <w:r w:rsidRPr="000A3DAB">
        <w:rPr>
          <w:rFonts w:eastAsia="Gungsuh"/>
          <w:b/>
          <w:bCs/>
        </w:rPr>
        <w:t xml:space="preserve">. Running correlations between JJA climate indices and Arctic sea ice extent (1979–2025). </w:t>
      </w:r>
      <w:r w:rsidRPr="009B0D81">
        <w:rPr>
          <w:rFonts w:eastAsia="Gungsuh"/>
        </w:rPr>
        <w:t>Each panel shows running correlations calculated using 9-year (red solid), 11-year (cyan dashed), and 13-year (green dotted) moving windows between JJA-averaged climate indices and sea ice extent. Left column: correlations with JJA sea ice extent; right column: correlations with September sea ice extent.</w:t>
      </w:r>
      <w:r w:rsidRPr="003B285D">
        <w:rPr>
          <w:rFonts w:eastAsia="Gungsuh"/>
          <w:b/>
          <w:bCs/>
        </w:rPr>
        <w:t xml:space="preserve"> (a, b)</w:t>
      </w:r>
      <w:r w:rsidRPr="009B0D81">
        <w:rPr>
          <w:rFonts w:eastAsia="Gungsuh"/>
        </w:rPr>
        <w:t xml:space="preserve"> Greenland High (GH) index;</w:t>
      </w:r>
      <w:r w:rsidRPr="003B285D">
        <w:rPr>
          <w:rFonts w:eastAsia="Gungsuh"/>
          <w:b/>
          <w:bCs/>
        </w:rPr>
        <w:t xml:space="preserve"> (c, d) </w:t>
      </w:r>
      <w:r w:rsidRPr="009B0D81">
        <w:rPr>
          <w:rFonts w:eastAsia="Gungsuh"/>
        </w:rPr>
        <w:t>North Atlantic Oscillation (NAO) index;</w:t>
      </w:r>
      <w:r w:rsidRPr="003B285D">
        <w:rPr>
          <w:rFonts w:eastAsia="Gungsuh"/>
          <w:b/>
          <w:bCs/>
        </w:rPr>
        <w:t xml:space="preserve"> (e, f)</w:t>
      </w:r>
      <w:r w:rsidRPr="009B0D81">
        <w:rPr>
          <w:rFonts w:eastAsia="Gungsuh"/>
        </w:rPr>
        <w:t xml:space="preserve"> Arctic Oscillation (AO) index; </w:t>
      </w:r>
      <w:r w:rsidRPr="003B285D">
        <w:rPr>
          <w:rFonts w:eastAsia="Gungsuh"/>
          <w:b/>
          <w:bCs/>
        </w:rPr>
        <w:t xml:space="preserve">(g, h) </w:t>
      </w:r>
      <w:r w:rsidRPr="009B0D81">
        <w:rPr>
          <w:rFonts w:eastAsia="Gungsuh"/>
        </w:rPr>
        <w:t>Arctic Dipole (AD) index. Blue shading denotes Period 1 (P1; 1979–2003) and red shading denotes Period 2 (P2; 2004–2025), with mean correlations for each period shown in the inset boxes. All time series were linearly detrended prior to analysis. Black stars indicate correlations significant at p &lt; 0.05. Note the marked strengthening of Arctic cirulation–SIE correlations after 2003, indicating intensified atmosphere–sea ice coupling in the new ice regime.</w:t>
      </w:r>
    </w:p>
    <w:p w14:paraId="78CE7F22" w14:textId="77777777" w:rsidR="00B95FFE" w:rsidRPr="009B0D81" w:rsidRDefault="00B95FFE" w:rsidP="00B95FFE">
      <w:pPr>
        <w:spacing w:after="200" w:line="276" w:lineRule="auto"/>
        <w:jc w:val="both"/>
        <w:rPr>
          <w:rFonts w:eastAsia="Gungsuh"/>
        </w:rPr>
      </w:pPr>
    </w:p>
    <w:p w14:paraId="24F02FCB" w14:textId="77777777" w:rsidR="00B95FFE" w:rsidRPr="009B0D81" w:rsidRDefault="00B95FFE" w:rsidP="00B95FFE">
      <w:pPr>
        <w:spacing w:after="200" w:line="276" w:lineRule="auto"/>
        <w:jc w:val="both"/>
        <w:rPr>
          <w:rFonts w:eastAsia="Gungsuh"/>
        </w:rPr>
      </w:pPr>
    </w:p>
    <w:p w14:paraId="2D663C90" w14:textId="77777777" w:rsidR="00B95FFE" w:rsidRPr="009B0D81" w:rsidRDefault="00B95FFE" w:rsidP="00B95FFE">
      <w:pPr>
        <w:spacing w:after="200" w:line="276" w:lineRule="auto"/>
        <w:jc w:val="both"/>
        <w:rPr>
          <w:rFonts w:eastAsia="Gungsuh"/>
        </w:rPr>
      </w:pPr>
    </w:p>
    <w:p w14:paraId="462E3488" w14:textId="77777777" w:rsidR="00B95FFE" w:rsidRPr="009B0D81" w:rsidRDefault="00B95FFE" w:rsidP="00B95FFE">
      <w:pPr>
        <w:spacing w:after="200" w:line="276" w:lineRule="auto"/>
        <w:jc w:val="both"/>
        <w:rPr>
          <w:rFonts w:eastAsia="Gungsuh"/>
        </w:rPr>
      </w:pPr>
    </w:p>
    <w:p w14:paraId="75A22589" w14:textId="77777777" w:rsidR="00B95FFE" w:rsidRPr="009B0D81" w:rsidRDefault="00B95FFE" w:rsidP="00B95FFE">
      <w:pPr>
        <w:spacing w:after="200" w:line="276" w:lineRule="auto"/>
        <w:jc w:val="both"/>
        <w:rPr>
          <w:rFonts w:eastAsia="Gungsuh"/>
        </w:rPr>
      </w:pPr>
      <w:r w:rsidRPr="009B0D81">
        <w:rPr>
          <w:rFonts w:eastAsia="Gungsuh"/>
          <w:noProof/>
        </w:rPr>
        <w:drawing>
          <wp:inline distT="0" distB="0" distL="0" distR="0" wp14:anchorId="77CD555E" wp14:editId="1B50F960">
            <wp:extent cx="5731510" cy="2300605"/>
            <wp:effectExtent l="0" t="0" r="0" b="0"/>
            <wp:docPr id="1667471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1032" name="Picture 16674710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00605"/>
                    </a:xfrm>
                    <a:prstGeom prst="rect">
                      <a:avLst/>
                    </a:prstGeom>
                  </pic:spPr>
                </pic:pic>
              </a:graphicData>
            </a:graphic>
          </wp:inline>
        </w:drawing>
      </w:r>
    </w:p>
    <w:p w14:paraId="6886FAB1" w14:textId="67BA83CF" w:rsidR="00B95FFE" w:rsidRPr="009B0D81" w:rsidRDefault="00B95FFE" w:rsidP="00B95FFE">
      <w:pPr>
        <w:spacing w:after="200" w:line="276" w:lineRule="auto"/>
        <w:jc w:val="both"/>
        <w:rPr>
          <w:rFonts w:eastAsia="Gungsuh"/>
        </w:rPr>
      </w:pPr>
      <w:r w:rsidRPr="000A3DAB">
        <w:rPr>
          <w:rFonts w:eastAsia="Gungsuh"/>
          <w:b/>
          <w:bCs/>
        </w:rPr>
        <w:t>Figure S</w:t>
      </w:r>
      <w:r>
        <w:rPr>
          <w:rFonts w:eastAsia="Gungsuh" w:hint="eastAsia"/>
          <w:b/>
          <w:bCs/>
        </w:rPr>
        <w:t>4</w:t>
      </w:r>
      <w:r w:rsidRPr="000A3DAB">
        <w:rPr>
          <w:rFonts w:eastAsia="Gungsuh"/>
          <w:b/>
          <w:bCs/>
        </w:rPr>
        <w:t>. Net surface heat flux response to the June Greenland High variability.</w:t>
      </w:r>
      <w:r w:rsidRPr="00504D9E">
        <w:rPr>
          <w:rFonts w:eastAsia="Gungsuh"/>
          <w:b/>
          <w:bCs/>
        </w:rPr>
        <w:t xml:space="preserve"> (a, b) </w:t>
      </w:r>
      <w:r w:rsidRPr="009B0D81">
        <w:rPr>
          <w:rFonts w:eastAsia="Gungsuh"/>
        </w:rPr>
        <w:t xml:space="preserve">Spatial pattern of JJAS net surface heat flux regressed onto the standardized June Greenland High (GH) index for </w:t>
      </w:r>
      <w:r w:rsidRPr="00504D9E">
        <w:rPr>
          <w:rFonts w:eastAsia="Gungsuh"/>
          <w:b/>
          <w:bCs/>
        </w:rPr>
        <w:t>(a)</w:t>
      </w:r>
      <w:r w:rsidRPr="009B0D81">
        <w:rPr>
          <w:rFonts w:eastAsia="Gungsuh"/>
        </w:rPr>
        <w:t xml:space="preserve"> the “Old Arctic” period (P1: 1979–2003) and </w:t>
      </w:r>
      <w:r w:rsidRPr="00504D9E">
        <w:rPr>
          <w:rFonts w:eastAsia="Gungsuh"/>
          <w:b/>
          <w:bCs/>
        </w:rPr>
        <w:t>(b)</w:t>
      </w:r>
      <w:r w:rsidRPr="009B0D81">
        <w:rPr>
          <w:rFonts w:eastAsia="Gungsuh"/>
        </w:rPr>
        <w:t xml:space="preserve"> the “New Arctic” period (P2: 2004–2025). Positive (negative) regression coefficients indicate increased (decreased) downward energy flux into the surface associated with a weaker GH. </w:t>
      </w:r>
      <w:r w:rsidRPr="00504D9E">
        <w:rPr>
          <w:rFonts w:eastAsia="Gungsuh"/>
          <w:b/>
          <w:bCs/>
        </w:rPr>
        <w:t xml:space="preserve">(c) </w:t>
      </w:r>
      <w:r w:rsidRPr="009B0D81">
        <w:rPr>
          <w:rFonts w:eastAsia="Gungsuh"/>
        </w:rPr>
        <w:t xml:space="preserve">Composite difference in net surface heat flux between the weak GH phase (2013–2025) and the strong GH phase (2007–2012). Net surface heat flux is calculated from ERA5 reanalysis as the sum of net longwave radiation, net shortwave radiation, latent heat flux, and sensible heat flux (positive downward). Stippling denotes grid cells where regressions or differences are statistically significant at the 95% confidence level (p &lt; 0.05; two-tailed t-test for regressions, independent samples t-test for composite). The blue box outlines the Pacific Arctic Sector (PAS; 65–80°N, 135–240°E). </w:t>
      </w:r>
      <w:r w:rsidR="00B77288">
        <w:t>R</w:t>
      </w:r>
      <w:r w:rsidR="00B77288" w:rsidRPr="00AA523E">
        <w:t xml:space="preserve">egressions are expressed per standard deviation of the </w:t>
      </w:r>
      <w:r w:rsidR="00B77288">
        <w:t xml:space="preserve">inverted </w:t>
      </w:r>
      <w:r w:rsidR="00B77288" w:rsidRPr="00AA523E">
        <w:t>GH index</w:t>
      </w:r>
      <w:r w:rsidR="00B77288">
        <w:t xml:space="preserve"> and</w:t>
      </w:r>
      <w:r w:rsidR="00B77288" w:rsidRPr="006E0AA6">
        <w:t xml:space="preserve"> </w:t>
      </w:r>
      <w:r w:rsidR="00B77288">
        <w:t xml:space="preserve">both </w:t>
      </w:r>
      <w:r w:rsidR="00B77288" w:rsidRPr="006E0AA6">
        <w:t>time series are linearly detrended prior to analysis.</w:t>
      </w:r>
      <w:r w:rsidR="00B77288">
        <w:t xml:space="preserve"> </w:t>
      </w:r>
      <w:r w:rsidRPr="009B0D81">
        <w:rPr>
          <w:rFonts w:eastAsia="Gungsuh"/>
        </w:rPr>
        <w:t>The regression magnitude in P2 substantially exceeds that of P1 across the Arctic marginal seas, indicating that the transition to a thinner, more responsive ice cover has amplified the surface energy budget</w:t>
      </w:r>
      <w:r w:rsidR="00EF67F0">
        <w:rPr>
          <w:rFonts w:eastAsia="Gungsuh"/>
        </w:rPr>
        <w:t>’</w:t>
      </w:r>
      <w:r w:rsidRPr="009B0D81">
        <w:rPr>
          <w:rFonts w:eastAsia="Gungsuh"/>
        </w:rPr>
        <w:t>s sensitivity to atmospheric circulation variability. The composite difference reveals reduced net surface heat flux across the PAS during the weak GH phase, reflecting diminished shortwave absorption under enhanced cloud cover and reduced turbulent heat loss</w:t>
      </w:r>
      <w:r w:rsidR="00726A8E">
        <w:rPr>
          <w:rFonts w:eastAsia="Gungsuh"/>
        </w:rPr>
        <w:t>.</w:t>
      </w:r>
    </w:p>
    <w:p w14:paraId="1D4C5728" w14:textId="77777777" w:rsidR="00B95FFE" w:rsidRPr="003C23BD" w:rsidRDefault="00B95FFE" w:rsidP="00B95FFE">
      <w:pPr>
        <w:spacing w:after="200" w:line="276" w:lineRule="auto"/>
        <w:jc w:val="both"/>
        <w:rPr>
          <w:rFonts w:eastAsia="Gungsuh"/>
        </w:rPr>
      </w:pPr>
    </w:p>
    <w:p w14:paraId="14B860DE" w14:textId="77777777" w:rsidR="00B95FFE" w:rsidRDefault="00B95FFE" w:rsidP="00B95FFE">
      <w:pPr>
        <w:spacing w:after="200" w:line="276" w:lineRule="auto"/>
        <w:jc w:val="both"/>
        <w:rPr>
          <w:rFonts w:eastAsia="Gungsuh"/>
        </w:rPr>
      </w:pPr>
    </w:p>
    <w:p w14:paraId="0068D522" w14:textId="77777777" w:rsidR="00B95FFE" w:rsidRDefault="00B95FFE" w:rsidP="00B95FFE">
      <w:pPr>
        <w:spacing w:after="200" w:line="276" w:lineRule="auto"/>
        <w:jc w:val="both"/>
        <w:rPr>
          <w:rFonts w:eastAsia="Gungsuh"/>
        </w:rPr>
      </w:pPr>
    </w:p>
    <w:p w14:paraId="50C51A78" w14:textId="77777777" w:rsidR="00B95FFE" w:rsidRDefault="00B95FFE" w:rsidP="00B95FFE">
      <w:pPr>
        <w:spacing w:after="200" w:line="276" w:lineRule="auto"/>
        <w:jc w:val="both"/>
        <w:rPr>
          <w:rFonts w:eastAsia="Gungsuh"/>
        </w:rPr>
      </w:pPr>
    </w:p>
    <w:p w14:paraId="34955260" w14:textId="77777777" w:rsidR="00B95FFE" w:rsidRDefault="00B95FFE" w:rsidP="00B95FFE">
      <w:pPr>
        <w:spacing w:after="200" w:line="276" w:lineRule="auto"/>
        <w:jc w:val="both"/>
        <w:rPr>
          <w:rFonts w:eastAsia="Gungsuh"/>
        </w:rPr>
      </w:pPr>
    </w:p>
    <w:p w14:paraId="5F85FA80" w14:textId="77777777" w:rsidR="00B95FFE" w:rsidRDefault="00B95FFE" w:rsidP="00B95FFE">
      <w:pPr>
        <w:spacing w:after="200" w:line="276" w:lineRule="auto"/>
        <w:jc w:val="both"/>
        <w:rPr>
          <w:rFonts w:eastAsia="Gungsuh"/>
        </w:rPr>
      </w:pPr>
    </w:p>
    <w:p w14:paraId="31E7E13C" w14:textId="77777777" w:rsidR="00B95FFE" w:rsidRDefault="00B95FFE" w:rsidP="00B95FFE">
      <w:pPr>
        <w:spacing w:after="200" w:line="276" w:lineRule="auto"/>
        <w:jc w:val="both"/>
        <w:rPr>
          <w:rFonts w:eastAsia="Gungsuh"/>
        </w:rPr>
      </w:pPr>
    </w:p>
    <w:p w14:paraId="27B88162" w14:textId="77777777" w:rsidR="00B95FFE" w:rsidRDefault="00B95FFE" w:rsidP="00B95FFE">
      <w:pPr>
        <w:spacing w:after="200" w:line="276" w:lineRule="auto"/>
        <w:jc w:val="both"/>
        <w:rPr>
          <w:rFonts w:eastAsia="Gungsuh"/>
        </w:rPr>
      </w:pPr>
    </w:p>
    <w:p w14:paraId="6C48441F" w14:textId="77777777" w:rsidR="00B95FFE" w:rsidRPr="009B0D81" w:rsidRDefault="00B95FFE" w:rsidP="00B95FFE">
      <w:pPr>
        <w:spacing w:after="200" w:line="276" w:lineRule="auto"/>
        <w:jc w:val="both"/>
        <w:rPr>
          <w:rFonts w:eastAsia="Gungsuh"/>
        </w:rPr>
      </w:pPr>
    </w:p>
    <w:p w14:paraId="2B6A49F5" w14:textId="77777777" w:rsidR="00B95FFE" w:rsidRPr="009B0D81" w:rsidRDefault="00B95FFE" w:rsidP="00B95FFE">
      <w:pPr>
        <w:spacing w:after="200" w:line="276" w:lineRule="auto"/>
        <w:jc w:val="both"/>
        <w:rPr>
          <w:rFonts w:eastAsia="Gungsuh"/>
        </w:rPr>
      </w:pPr>
      <w:r w:rsidRPr="009B0D81">
        <w:rPr>
          <w:rFonts w:eastAsia="Gungsuh"/>
          <w:noProof/>
        </w:rPr>
        <w:drawing>
          <wp:inline distT="0" distB="0" distL="0" distR="0" wp14:anchorId="0C7BA5E1" wp14:editId="7E975F95">
            <wp:extent cx="5731510" cy="3136265"/>
            <wp:effectExtent l="0" t="0" r="0" b="635"/>
            <wp:docPr id="15153536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53669" name="Picture 15153536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36265"/>
                    </a:xfrm>
                    <a:prstGeom prst="rect">
                      <a:avLst/>
                    </a:prstGeom>
                  </pic:spPr>
                </pic:pic>
              </a:graphicData>
            </a:graphic>
          </wp:inline>
        </w:drawing>
      </w:r>
    </w:p>
    <w:p w14:paraId="27A3F6AD" w14:textId="7899DF82" w:rsidR="00B95FFE" w:rsidRPr="009B0D81" w:rsidRDefault="00B95FFE" w:rsidP="00B95FFE">
      <w:pPr>
        <w:spacing w:after="200" w:line="276" w:lineRule="auto"/>
        <w:jc w:val="both"/>
        <w:rPr>
          <w:rFonts w:eastAsia="Gungsuh"/>
        </w:rPr>
      </w:pPr>
      <w:r w:rsidRPr="000A3DAB">
        <w:rPr>
          <w:rFonts w:eastAsia="Gungsuh"/>
          <w:b/>
          <w:bCs/>
        </w:rPr>
        <w:t>Figure S</w:t>
      </w:r>
      <w:r>
        <w:rPr>
          <w:rFonts w:eastAsia="Gungsuh" w:hint="eastAsia"/>
          <w:b/>
          <w:bCs/>
        </w:rPr>
        <w:t>5</w:t>
      </w:r>
      <w:r w:rsidRPr="000A3DAB">
        <w:rPr>
          <w:rFonts w:eastAsia="Gungsuh"/>
          <w:b/>
          <w:bCs/>
        </w:rPr>
        <w:t>. Summer marine heatwave (MHW) frequency and its relationship with the June Greenland High (GH).</w:t>
      </w:r>
      <w:r w:rsidRPr="009B0D81">
        <w:rPr>
          <w:rFonts w:eastAsia="Gungsuh"/>
        </w:rPr>
        <w:t xml:space="preserve"> </w:t>
      </w:r>
      <w:r w:rsidRPr="00E12D8F">
        <w:rPr>
          <w:rFonts w:eastAsia="Gungsuh"/>
          <w:b/>
          <w:bCs/>
        </w:rPr>
        <w:t>(a)</w:t>
      </w:r>
      <w:r w:rsidRPr="009B0D81">
        <w:rPr>
          <w:rFonts w:eastAsia="Gungsuh"/>
        </w:rPr>
        <w:t xml:space="preserve"> Regression of JJAS MHW frequency onto the detrended, sign-inverted June GH index (2004–2025), showing the spatial pattern of MHW frequency change per standard deviation decrease in GH strength.</w:t>
      </w:r>
      <w:r w:rsidRPr="00E12D8F">
        <w:rPr>
          <w:rFonts w:eastAsia="Gungsuh"/>
          <w:b/>
          <w:bCs/>
        </w:rPr>
        <w:t xml:space="preserve"> (b) </w:t>
      </w:r>
      <w:r w:rsidRPr="009B0D81">
        <w:rPr>
          <w:rFonts w:eastAsia="Gungsuh"/>
        </w:rPr>
        <w:t xml:space="preserve">Difference in JJAS MHW frequency between the weak GH phase (2013–2025) and the strong GH phase (2007–2012). Stippling indicates p &lt; 0.05. </w:t>
      </w:r>
      <w:r w:rsidR="008C1A19">
        <w:t>R</w:t>
      </w:r>
      <w:r w:rsidR="008C1A19" w:rsidRPr="00AA523E">
        <w:t xml:space="preserve">egressions are expressed per standard deviation of the </w:t>
      </w:r>
      <w:r w:rsidR="008C1A19">
        <w:t xml:space="preserve">inverted </w:t>
      </w:r>
      <w:r w:rsidR="008C1A19" w:rsidRPr="00AA523E">
        <w:t>GH index</w:t>
      </w:r>
      <w:r w:rsidR="008C1A19">
        <w:t xml:space="preserve"> and</w:t>
      </w:r>
      <w:r w:rsidR="008C1A19" w:rsidRPr="006E0AA6">
        <w:t xml:space="preserve"> </w:t>
      </w:r>
      <w:r w:rsidR="008C1A19">
        <w:t xml:space="preserve">both </w:t>
      </w:r>
      <w:r w:rsidR="008C1A19" w:rsidRPr="006E0AA6">
        <w:t>time series are linearly detrended prior to analysis.</w:t>
      </w:r>
      <w:r w:rsidR="008C1A19">
        <w:rPr>
          <w:rFonts w:eastAsia="Gungsuh"/>
          <w:lang w:val="en-US"/>
        </w:rPr>
        <w:t xml:space="preserve"> </w:t>
      </w:r>
      <w:r w:rsidRPr="009B0D81">
        <w:rPr>
          <w:rFonts w:eastAsia="Gungsuh"/>
        </w:rPr>
        <w:t>Both panels reveal increased MHW frequency in the Norwegian–Barents Sea region during periods of GH weakening.</w:t>
      </w:r>
      <w:r w:rsidR="008C1A19">
        <w:rPr>
          <w:rFonts w:eastAsia="Gungsuh"/>
        </w:rPr>
        <w:t xml:space="preserve"> </w:t>
      </w:r>
    </w:p>
    <w:p w14:paraId="583B06F0" w14:textId="77777777" w:rsidR="00B95FFE" w:rsidRDefault="00B95FFE" w:rsidP="00B95FFE">
      <w:pPr>
        <w:spacing w:after="200" w:line="276" w:lineRule="auto"/>
        <w:jc w:val="both"/>
        <w:rPr>
          <w:rFonts w:eastAsia="Gungsuh"/>
        </w:rPr>
      </w:pPr>
    </w:p>
    <w:p w14:paraId="64447C3A" w14:textId="5EF0A68A" w:rsidR="00291DB3" w:rsidRPr="002106FC" w:rsidRDefault="00393C7A" w:rsidP="00122010">
      <w:pPr>
        <w:spacing w:after="200" w:line="276" w:lineRule="auto"/>
        <w:jc w:val="center"/>
        <w:rPr>
          <w:rFonts w:eastAsia="Gungsuh"/>
        </w:rPr>
      </w:pPr>
      <w:r>
        <w:rPr>
          <w:rFonts w:eastAsia="Gungsuh"/>
          <w:noProof/>
        </w:rPr>
        <w:lastRenderedPageBreak/>
        <w:drawing>
          <wp:inline distT="0" distB="0" distL="0" distR="0" wp14:anchorId="5131E16F" wp14:editId="578C29B0">
            <wp:extent cx="5040000" cy="3947237"/>
            <wp:effectExtent l="0" t="0" r="1905" b="2540"/>
            <wp:docPr id="150395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53687" name="Picture 15039536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947237"/>
                    </a:xfrm>
                    <a:prstGeom prst="rect">
                      <a:avLst/>
                    </a:prstGeom>
                  </pic:spPr>
                </pic:pic>
              </a:graphicData>
            </a:graphic>
          </wp:inline>
        </w:drawing>
      </w:r>
    </w:p>
    <w:p w14:paraId="468FF738" w14:textId="0B3544A9" w:rsidR="002106FC" w:rsidRPr="004D16E4" w:rsidRDefault="004D16E4" w:rsidP="009B0D81">
      <w:pPr>
        <w:spacing w:after="200" w:line="276" w:lineRule="auto"/>
        <w:jc w:val="both"/>
        <w:rPr>
          <w:rFonts w:eastAsia="Gungsuh"/>
        </w:rPr>
      </w:pPr>
      <w:r w:rsidRPr="000A3DAB">
        <w:rPr>
          <w:rFonts w:eastAsia="Gungsuh"/>
          <w:b/>
          <w:bCs/>
        </w:rPr>
        <w:t>Figure S</w:t>
      </w:r>
      <w:r>
        <w:rPr>
          <w:rFonts w:eastAsia="Gungsuh" w:hint="eastAsia"/>
          <w:b/>
          <w:bCs/>
        </w:rPr>
        <w:t>6.</w:t>
      </w:r>
      <w:r w:rsidRPr="000A3DAB">
        <w:rPr>
          <w:rFonts w:eastAsia="Gungsuh"/>
          <w:b/>
          <w:bCs/>
        </w:rPr>
        <w:t xml:space="preserve"> </w:t>
      </w:r>
      <w:r w:rsidRPr="004D16E4">
        <w:rPr>
          <w:rFonts w:eastAsia="Gungsuh"/>
          <w:b/>
          <w:bCs/>
        </w:rPr>
        <w:t>Comparison of observed and CESM2-LE simulated June Greenland High–September sea ice extent relationships.</w:t>
      </w:r>
      <w:r>
        <w:rPr>
          <w:rFonts w:eastAsia="Gungsuh" w:hint="eastAsia"/>
        </w:rPr>
        <w:t xml:space="preserve"> </w:t>
      </w:r>
      <w:r w:rsidRPr="00693820">
        <w:rPr>
          <w:rFonts w:eastAsia="Gungsuh"/>
          <w:b/>
          <w:bCs/>
        </w:rPr>
        <w:t xml:space="preserve">(a) </w:t>
      </w:r>
      <w:r w:rsidRPr="004D16E4">
        <w:rPr>
          <w:rFonts w:eastAsia="Gungsuh"/>
        </w:rPr>
        <w:t xml:space="preserve">Time series of June Greenland High (GH) index from ERA5 observations (black) and CESM2 Large Ensemble (CESM2-LE; blue dashed line shows ensemble mean, shading indicates ±1 standard deviation across 100 members). </w:t>
      </w:r>
      <w:r w:rsidRPr="00693820">
        <w:rPr>
          <w:rFonts w:eastAsia="Gungsuh"/>
          <w:b/>
          <w:bCs/>
        </w:rPr>
        <w:t>(b)</w:t>
      </w:r>
      <w:r w:rsidRPr="004D16E4">
        <w:rPr>
          <w:rFonts w:eastAsia="Gungsuh"/>
        </w:rPr>
        <w:t xml:space="preserve"> Time series of September Arctic sea ice extent (SIE) from NSIDC observations (black) and CESM2-LE (blue). Light blue and light red background shading in </w:t>
      </w:r>
      <w:r w:rsidRPr="00693820">
        <w:rPr>
          <w:rFonts w:eastAsia="Gungsuh"/>
          <w:b/>
          <w:bCs/>
        </w:rPr>
        <w:t>(a)</w:t>
      </w:r>
      <w:r w:rsidRPr="004D16E4">
        <w:rPr>
          <w:rFonts w:eastAsia="Gungsuh"/>
        </w:rPr>
        <w:t xml:space="preserve"> and </w:t>
      </w:r>
      <w:r w:rsidRPr="00693820">
        <w:rPr>
          <w:rFonts w:eastAsia="Gungsuh"/>
          <w:b/>
          <w:bCs/>
        </w:rPr>
        <w:t xml:space="preserve">(b) </w:t>
      </w:r>
      <w:r w:rsidRPr="004D16E4">
        <w:rPr>
          <w:rFonts w:eastAsia="Gungsuh"/>
        </w:rPr>
        <w:t xml:space="preserve">denote P1 and P2 periods, respectively. </w:t>
      </w:r>
      <w:r w:rsidRPr="00693820">
        <w:rPr>
          <w:rFonts w:eastAsia="Gungsuh"/>
          <w:b/>
          <w:bCs/>
        </w:rPr>
        <w:t>(c)</w:t>
      </w:r>
      <w:r w:rsidRPr="004D16E4">
        <w:rPr>
          <w:rFonts w:eastAsia="Gungsuh"/>
        </w:rPr>
        <w:t xml:space="preserve"> Histogram of detrended June GH–September SIE correlations for P1 (observations: 1979–2003; CESM2-LE: 1980–2003) across 100 CESM2-LE ensemble members. The observed correlation (r = −0.17; black vertical line) falls at the 17th percentile of the ensemble distribution, which is centered near zero (ensemble mean r = 0.03). </w:t>
      </w:r>
      <w:r w:rsidRPr="007A12A8">
        <w:rPr>
          <w:rFonts w:eastAsia="Gungsuh"/>
          <w:b/>
          <w:bCs/>
        </w:rPr>
        <w:t>(d)</w:t>
      </w:r>
      <w:r w:rsidRPr="004D16E4">
        <w:rPr>
          <w:rFonts w:eastAsia="Gungsuh"/>
        </w:rPr>
        <w:t xml:space="preserve"> Same as </w:t>
      </w:r>
      <w:r w:rsidRPr="000F1286">
        <w:rPr>
          <w:rFonts w:eastAsia="Gungsuh"/>
          <w:b/>
          <w:bCs/>
        </w:rPr>
        <w:t xml:space="preserve">(c) </w:t>
      </w:r>
      <w:r w:rsidRPr="004D16E4">
        <w:rPr>
          <w:rFonts w:eastAsia="Gungsuh"/>
        </w:rPr>
        <w:t>but for P2 (2004–2025). The observed P2 correlation (r = −0.80) is more extreme than all 100 ensemble members (0th percentile), while the ensemble mean remains near zero (r = 0.0</w:t>
      </w:r>
      <w:r w:rsidR="00427B3E">
        <w:rPr>
          <w:rFonts w:eastAsia="Gungsuh" w:hint="eastAsia"/>
        </w:rPr>
        <w:t>6)</w:t>
      </w:r>
      <w:r w:rsidRPr="004D16E4">
        <w:rPr>
          <w:rFonts w:eastAsia="Gungsuh"/>
        </w:rPr>
        <w:t>. All correlations are computed after linearly detrending the time series (1979–202</w:t>
      </w:r>
      <w:r w:rsidR="00A90F36">
        <w:rPr>
          <w:rFonts w:eastAsia="Gungsuh" w:hint="eastAsia"/>
        </w:rPr>
        <w:t>5</w:t>
      </w:r>
      <w:r w:rsidRPr="004D16E4">
        <w:rPr>
          <w:rFonts w:eastAsia="Gungsuh"/>
        </w:rPr>
        <w:t xml:space="preserve"> for observations; 1980–20</w:t>
      </w:r>
      <w:r w:rsidR="002106FC">
        <w:rPr>
          <w:rFonts w:eastAsia="Gungsuh" w:hint="eastAsia"/>
        </w:rPr>
        <w:t>25</w:t>
      </w:r>
      <w:r w:rsidRPr="004D16E4">
        <w:rPr>
          <w:rFonts w:eastAsia="Gungsuh"/>
        </w:rPr>
        <w:t xml:space="preserve"> for CESM2-LE) to isolate interannual variability.</w:t>
      </w:r>
    </w:p>
    <w:sectPr w:rsidR="002106FC" w:rsidRPr="004D16E4">
      <w:headerReference w:type="default" r:id="rId14"/>
      <w:footerReference w:type="default" r:id="rId15"/>
      <w:pgSz w:w="11906" w:h="16838"/>
      <w:pgMar w:top="1440" w:right="1440" w:bottom="1440" w:left="1440" w:header="708"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85476" w14:textId="77777777" w:rsidR="008C7AC5" w:rsidRDefault="008C7AC5">
      <w:r>
        <w:separator/>
      </w:r>
    </w:p>
  </w:endnote>
  <w:endnote w:type="continuationSeparator" w:id="0">
    <w:p w14:paraId="43156A82" w14:textId="77777777" w:rsidR="008C7AC5" w:rsidRDefault="008C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FBEE3C-8D7F-1F4A-8D78-21B301584256}"/>
    <w:embedBold r:id="rId2" w:fontKey="{BEAECF49-E63A-964D-8AA9-704E85A9A761}"/>
    <w:embedItalic r:id="rId3" w:fontKey="{858F5300-F93B-EE4F-88F5-29BCA9A875D4}"/>
    <w:embedBoldItalic r:id="rId4" w:fontKey="{AB010B2F-0AD6-9D40-80EC-7D1CD35C3734}"/>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5" w:fontKey="{46B01985-6829-C642-9D2A-E04370A879D9}"/>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6" w:fontKey="{2D754828-13FB-824D-826B-75C0F3214704}"/>
  </w:font>
  <w:font w:name="Courier New">
    <w:panose1 w:val="02070309020205020404"/>
    <w:charset w:val="00"/>
    <w:family w:val="modern"/>
    <w:pitch w:val="fixed"/>
    <w:sig w:usb0="E0002AFF" w:usb1="C0007843" w:usb2="00000009" w:usb3="00000000" w:csb0="000001FF" w:csb1="00000000"/>
    <w:embedRegular r:id="rId7" w:fontKey="{EBA49F76-F5B4-8345-9500-523DB6C01D77}"/>
  </w:font>
  <w:font w:name="Gungsuh">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8" w:fontKey="{BA558DDD-8D24-194A-8BF5-480BA527296C}"/>
  </w:font>
  <w:font w:name="Calibri">
    <w:panose1 w:val="020F0502020204030204"/>
    <w:charset w:val="00"/>
    <w:family w:val="swiss"/>
    <w:pitch w:val="variable"/>
    <w:sig w:usb0="E0002AFF" w:usb1="C000247B" w:usb2="00000009" w:usb3="00000000" w:csb0="000001FF" w:csb1="00000000"/>
    <w:embedRegular r:id="rId9" w:fontKey="{970362A8-78D1-3A48-B044-D26E5A1EC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475A" w14:textId="77777777" w:rsidR="00475F68" w:rsidRDefault="00000000">
    <w:pPr>
      <w:jc w:val="cente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142F30">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sidR="00142F30">
      <w:rPr>
        <w:noProof/>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73FFA" w14:textId="77777777" w:rsidR="008C7AC5" w:rsidRDefault="008C7AC5">
      <w:r>
        <w:separator/>
      </w:r>
    </w:p>
  </w:footnote>
  <w:footnote w:type="continuationSeparator" w:id="0">
    <w:p w14:paraId="68097730" w14:textId="77777777" w:rsidR="008C7AC5" w:rsidRDefault="008C7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8B45F" w14:textId="77777777" w:rsidR="00475F68" w:rsidRDefault="00475F68">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efaptfsafz5cea2r9vde59txeeass9rava&quot;&gt;Arctic-seaice-paper&lt;record-ids&gt;&lt;item&gt;55&lt;/item&gt;&lt;item&gt;68&lt;/item&gt;&lt;item&gt;73&lt;/item&gt;&lt;item&gt;74&lt;/item&gt;&lt;item&gt;81&lt;/item&gt;&lt;item&gt;82&lt;/item&gt;&lt;item&gt;83&lt;/item&gt;&lt;item&gt;85&lt;/item&gt;&lt;item&gt;90&lt;/item&gt;&lt;item&gt;91&lt;/item&gt;&lt;item&gt;102&lt;/item&gt;&lt;item&gt;103&lt;/item&gt;&lt;item&gt;142&lt;/item&gt;&lt;item&gt;161&lt;/item&gt;&lt;item&gt;162&lt;/item&gt;&lt;item&gt;164&lt;/item&gt;&lt;item&gt;165&lt;/item&gt;&lt;item&gt;166&lt;/item&gt;&lt;item&gt;167&lt;/item&gt;&lt;item&gt;168&lt;/item&gt;&lt;item&gt;169&lt;/item&gt;&lt;item&gt;172&lt;/item&gt;&lt;item&gt;174&lt;/item&gt;&lt;item&gt;176&lt;/item&gt;&lt;item&gt;177&lt;/item&gt;&lt;item&gt;178&lt;/item&gt;&lt;item&gt;179&lt;/item&gt;&lt;item&gt;184&lt;/item&gt;&lt;item&gt;187&lt;/item&gt;&lt;item&gt;192&lt;/item&gt;&lt;item&gt;195&lt;/item&gt;&lt;item&gt;196&lt;/item&gt;&lt;item&gt;198&lt;/item&gt;&lt;item&gt;200&lt;/item&gt;&lt;item&gt;204&lt;/item&gt;&lt;item&gt;205&lt;/item&gt;&lt;item&gt;206&lt;/item&gt;&lt;item&gt;207&lt;/item&gt;&lt;item&gt;209&lt;/item&gt;&lt;item&gt;210&lt;/item&gt;&lt;item&gt;211&lt;/item&gt;&lt;item&gt;212&lt;/item&gt;&lt;item&gt;213&lt;/item&gt;&lt;item&gt;214&lt;/item&gt;&lt;item&gt;215&lt;/item&gt;&lt;item&gt;216&lt;/item&gt;&lt;item&gt;217&lt;/item&gt;&lt;item&gt;218&lt;/item&gt;&lt;item&gt;219&lt;/item&gt;&lt;item&gt;222&lt;/item&gt;&lt;item&gt;223&lt;/item&gt;&lt;item&gt;224&lt;/item&gt;&lt;item&gt;225&lt;/item&gt;&lt;item&gt;226&lt;/item&gt;&lt;item&gt;227&lt;/item&gt;&lt;item&gt;228&lt;/item&gt;&lt;item&gt;231&lt;/item&gt;&lt;item&gt;232&lt;/item&gt;&lt;item&gt;233&lt;/item&gt;&lt;item&gt;235&lt;/item&gt;&lt;item&gt;236&lt;/item&gt;&lt;item&gt;239&lt;/item&gt;&lt;/record-ids&gt;&lt;/item&gt;&lt;/Libraries&gt;"/>
  </w:docVars>
  <w:rsids>
    <w:rsidRoot w:val="00475F68"/>
    <w:rsid w:val="00000C87"/>
    <w:rsid w:val="000023D2"/>
    <w:rsid w:val="00003B05"/>
    <w:rsid w:val="00006F6B"/>
    <w:rsid w:val="00007E5B"/>
    <w:rsid w:val="00010CF3"/>
    <w:rsid w:val="00012D6F"/>
    <w:rsid w:val="00016A3B"/>
    <w:rsid w:val="00016BF6"/>
    <w:rsid w:val="00020A68"/>
    <w:rsid w:val="00020CFF"/>
    <w:rsid w:val="000210DF"/>
    <w:rsid w:val="0002122C"/>
    <w:rsid w:val="00022067"/>
    <w:rsid w:val="0002267C"/>
    <w:rsid w:val="00025095"/>
    <w:rsid w:val="000254A5"/>
    <w:rsid w:val="00027806"/>
    <w:rsid w:val="00031D52"/>
    <w:rsid w:val="000329C4"/>
    <w:rsid w:val="0003321C"/>
    <w:rsid w:val="00033AEC"/>
    <w:rsid w:val="00036009"/>
    <w:rsid w:val="0003643A"/>
    <w:rsid w:val="0003671B"/>
    <w:rsid w:val="000401CE"/>
    <w:rsid w:val="00040677"/>
    <w:rsid w:val="00041004"/>
    <w:rsid w:val="000418AA"/>
    <w:rsid w:val="00045972"/>
    <w:rsid w:val="000464AB"/>
    <w:rsid w:val="00047FD7"/>
    <w:rsid w:val="00052956"/>
    <w:rsid w:val="00053714"/>
    <w:rsid w:val="0005435C"/>
    <w:rsid w:val="00055266"/>
    <w:rsid w:val="00055344"/>
    <w:rsid w:val="00057D79"/>
    <w:rsid w:val="00061274"/>
    <w:rsid w:val="0006275F"/>
    <w:rsid w:val="00063BBE"/>
    <w:rsid w:val="00063D19"/>
    <w:rsid w:val="000701C0"/>
    <w:rsid w:val="000716ED"/>
    <w:rsid w:val="000717D5"/>
    <w:rsid w:val="00074FC0"/>
    <w:rsid w:val="0007541D"/>
    <w:rsid w:val="000809F1"/>
    <w:rsid w:val="00083C3C"/>
    <w:rsid w:val="00084258"/>
    <w:rsid w:val="000874FB"/>
    <w:rsid w:val="00087916"/>
    <w:rsid w:val="00092EB7"/>
    <w:rsid w:val="000958F3"/>
    <w:rsid w:val="000A1822"/>
    <w:rsid w:val="000A1D4F"/>
    <w:rsid w:val="000A3DAB"/>
    <w:rsid w:val="000A4E5D"/>
    <w:rsid w:val="000A7CD4"/>
    <w:rsid w:val="000A7FBA"/>
    <w:rsid w:val="000B0ADC"/>
    <w:rsid w:val="000B1994"/>
    <w:rsid w:val="000B1CE5"/>
    <w:rsid w:val="000B338D"/>
    <w:rsid w:val="000B53F9"/>
    <w:rsid w:val="000B5EE9"/>
    <w:rsid w:val="000B67AE"/>
    <w:rsid w:val="000C07B6"/>
    <w:rsid w:val="000C0B04"/>
    <w:rsid w:val="000C0F7C"/>
    <w:rsid w:val="000C60B2"/>
    <w:rsid w:val="000C6AC9"/>
    <w:rsid w:val="000C6FBA"/>
    <w:rsid w:val="000C7638"/>
    <w:rsid w:val="000C7F1F"/>
    <w:rsid w:val="000D067E"/>
    <w:rsid w:val="000D0D20"/>
    <w:rsid w:val="000D205C"/>
    <w:rsid w:val="000D2C16"/>
    <w:rsid w:val="000D3041"/>
    <w:rsid w:val="000D3802"/>
    <w:rsid w:val="000D4AFC"/>
    <w:rsid w:val="000D4DC0"/>
    <w:rsid w:val="000D6C09"/>
    <w:rsid w:val="000D6DC1"/>
    <w:rsid w:val="000D7FE2"/>
    <w:rsid w:val="000E00F3"/>
    <w:rsid w:val="000E0649"/>
    <w:rsid w:val="000E2137"/>
    <w:rsid w:val="000E2FAD"/>
    <w:rsid w:val="000E5D84"/>
    <w:rsid w:val="000F04EC"/>
    <w:rsid w:val="000F1286"/>
    <w:rsid w:val="000F20A2"/>
    <w:rsid w:val="000F282F"/>
    <w:rsid w:val="000F57C7"/>
    <w:rsid w:val="00103167"/>
    <w:rsid w:val="00104386"/>
    <w:rsid w:val="00105AD9"/>
    <w:rsid w:val="00106340"/>
    <w:rsid w:val="0010672F"/>
    <w:rsid w:val="00112B64"/>
    <w:rsid w:val="00113590"/>
    <w:rsid w:val="001145FE"/>
    <w:rsid w:val="00114DB6"/>
    <w:rsid w:val="0011664E"/>
    <w:rsid w:val="00117787"/>
    <w:rsid w:val="00120C19"/>
    <w:rsid w:val="00122010"/>
    <w:rsid w:val="00122F8A"/>
    <w:rsid w:val="0012308F"/>
    <w:rsid w:val="00124312"/>
    <w:rsid w:val="00125441"/>
    <w:rsid w:val="001263F1"/>
    <w:rsid w:val="00127411"/>
    <w:rsid w:val="00127925"/>
    <w:rsid w:val="001301B6"/>
    <w:rsid w:val="00133F01"/>
    <w:rsid w:val="00134993"/>
    <w:rsid w:val="00135153"/>
    <w:rsid w:val="001355B1"/>
    <w:rsid w:val="001365D6"/>
    <w:rsid w:val="001366E0"/>
    <w:rsid w:val="001376F0"/>
    <w:rsid w:val="00137C3C"/>
    <w:rsid w:val="00137D03"/>
    <w:rsid w:val="00140A05"/>
    <w:rsid w:val="001418BF"/>
    <w:rsid w:val="00142465"/>
    <w:rsid w:val="00142F30"/>
    <w:rsid w:val="001477B9"/>
    <w:rsid w:val="00147C29"/>
    <w:rsid w:val="00151BF6"/>
    <w:rsid w:val="001522FE"/>
    <w:rsid w:val="00154E26"/>
    <w:rsid w:val="001621EB"/>
    <w:rsid w:val="00162BD6"/>
    <w:rsid w:val="00164FB1"/>
    <w:rsid w:val="00167658"/>
    <w:rsid w:val="00175D32"/>
    <w:rsid w:val="00175EEE"/>
    <w:rsid w:val="001801D2"/>
    <w:rsid w:val="00181DD5"/>
    <w:rsid w:val="001825F5"/>
    <w:rsid w:val="00184256"/>
    <w:rsid w:val="0018499A"/>
    <w:rsid w:val="00187A36"/>
    <w:rsid w:val="00187DD0"/>
    <w:rsid w:val="0019019D"/>
    <w:rsid w:val="0019116A"/>
    <w:rsid w:val="001954C1"/>
    <w:rsid w:val="00195CC0"/>
    <w:rsid w:val="00197150"/>
    <w:rsid w:val="001A02FC"/>
    <w:rsid w:val="001A049D"/>
    <w:rsid w:val="001A09C4"/>
    <w:rsid w:val="001A2863"/>
    <w:rsid w:val="001A3D55"/>
    <w:rsid w:val="001A7609"/>
    <w:rsid w:val="001B1298"/>
    <w:rsid w:val="001B3615"/>
    <w:rsid w:val="001C0746"/>
    <w:rsid w:val="001C5284"/>
    <w:rsid w:val="001C5AD2"/>
    <w:rsid w:val="001C684A"/>
    <w:rsid w:val="001C79B3"/>
    <w:rsid w:val="001D00DE"/>
    <w:rsid w:val="001D2019"/>
    <w:rsid w:val="001D26CB"/>
    <w:rsid w:val="001D4572"/>
    <w:rsid w:val="001D5DAD"/>
    <w:rsid w:val="001D6914"/>
    <w:rsid w:val="001D6BE5"/>
    <w:rsid w:val="001E1138"/>
    <w:rsid w:val="001E120A"/>
    <w:rsid w:val="001E1E73"/>
    <w:rsid w:val="001E201B"/>
    <w:rsid w:val="001E32CE"/>
    <w:rsid w:val="001E5ADA"/>
    <w:rsid w:val="001E6C8A"/>
    <w:rsid w:val="001E74A4"/>
    <w:rsid w:val="001F26FF"/>
    <w:rsid w:val="001F4FCA"/>
    <w:rsid w:val="001F506D"/>
    <w:rsid w:val="001F53D2"/>
    <w:rsid w:val="00202122"/>
    <w:rsid w:val="00206126"/>
    <w:rsid w:val="002101C6"/>
    <w:rsid w:val="002106FC"/>
    <w:rsid w:val="002121F4"/>
    <w:rsid w:val="002155DA"/>
    <w:rsid w:val="00216849"/>
    <w:rsid w:val="00216CD3"/>
    <w:rsid w:val="00220C42"/>
    <w:rsid w:val="00221635"/>
    <w:rsid w:val="00223CAC"/>
    <w:rsid w:val="00226F97"/>
    <w:rsid w:val="00230A89"/>
    <w:rsid w:val="00230C91"/>
    <w:rsid w:val="00231A16"/>
    <w:rsid w:val="00231A93"/>
    <w:rsid w:val="0023326C"/>
    <w:rsid w:val="0023335A"/>
    <w:rsid w:val="00235741"/>
    <w:rsid w:val="0023579B"/>
    <w:rsid w:val="002357B2"/>
    <w:rsid w:val="002364E2"/>
    <w:rsid w:val="0024254C"/>
    <w:rsid w:val="00250B0B"/>
    <w:rsid w:val="0025117E"/>
    <w:rsid w:val="0025228B"/>
    <w:rsid w:val="002537EE"/>
    <w:rsid w:val="00254A76"/>
    <w:rsid w:val="00255470"/>
    <w:rsid w:val="0025596A"/>
    <w:rsid w:val="00255C0F"/>
    <w:rsid w:val="00261A7D"/>
    <w:rsid w:val="00262EF1"/>
    <w:rsid w:val="00266E95"/>
    <w:rsid w:val="00270A90"/>
    <w:rsid w:val="00270DF5"/>
    <w:rsid w:val="00272B36"/>
    <w:rsid w:val="0027580E"/>
    <w:rsid w:val="002763DB"/>
    <w:rsid w:val="0027679E"/>
    <w:rsid w:val="002800D1"/>
    <w:rsid w:val="00280A31"/>
    <w:rsid w:val="00281B63"/>
    <w:rsid w:val="002837D1"/>
    <w:rsid w:val="00283CEC"/>
    <w:rsid w:val="00284ED6"/>
    <w:rsid w:val="00287841"/>
    <w:rsid w:val="0029003E"/>
    <w:rsid w:val="00291475"/>
    <w:rsid w:val="00291DB3"/>
    <w:rsid w:val="002958B7"/>
    <w:rsid w:val="002965F8"/>
    <w:rsid w:val="002A02D4"/>
    <w:rsid w:val="002A1445"/>
    <w:rsid w:val="002A4823"/>
    <w:rsid w:val="002A7979"/>
    <w:rsid w:val="002A7E31"/>
    <w:rsid w:val="002B0FDD"/>
    <w:rsid w:val="002B6057"/>
    <w:rsid w:val="002B7F12"/>
    <w:rsid w:val="002C23AA"/>
    <w:rsid w:val="002C2835"/>
    <w:rsid w:val="002C2E5F"/>
    <w:rsid w:val="002C33FA"/>
    <w:rsid w:val="002C3916"/>
    <w:rsid w:val="002C6C4D"/>
    <w:rsid w:val="002D00DF"/>
    <w:rsid w:val="002D026C"/>
    <w:rsid w:val="002D0839"/>
    <w:rsid w:val="002D13F1"/>
    <w:rsid w:val="002D27F4"/>
    <w:rsid w:val="002D6830"/>
    <w:rsid w:val="002E0BC8"/>
    <w:rsid w:val="002E163F"/>
    <w:rsid w:val="002E1A04"/>
    <w:rsid w:val="002E2C2B"/>
    <w:rsid w:val="002E2FB9"/>
    <w:rsid w:val="002E43CA"/>
    <w:rsid w:val="002E4768"/>
    <w:rsid w:val="002E5440"/>
    <w:rsid w:val="002E594D"/>
    <w:rsid w:val="002E6464"/>
    <w:rsid w:val="002E6F99"/>
    <w:rsid w:val="002E7390"/>
    <w:rsid w:val="002E7490"/>
    <w:rsid w:val="002F024C"/>
    <w:rsid w:val="002F0424"/>
    <w:rsid w:val="003030D6"/>
    <w:rsid w:val="00304AC9"/>
    <w:rsid w:val="003110D0"/>
    <w:rsid w:val="00312E01"/>
    <w:rsid w:val="0031314C"/>
    <w:rsid w:val="00315CA6"/>
    <w:rsid w:val="00321412"/>
    <w:rsid w:val="003229A0"/>
    <w:rsid w:val="00323910"/>
    <w:rsid w:val="00323DAD"/>
    <w:rsid w:val="00323DE4"/>
    <w:rsid w:val="003255D1"/>
    <w:rsid w:val="00325C0D"/>
    <w:rsid w:val="0033027A"/>
    <w:rsid w:val="00332707"/>
    <w:rsid w:val="00333649"/>
    <w:rsid w:val="003400C0"/>
    <w:rsid w:val="003404A8"/>
    <w:rsid w:val="00340828"/>
    <w:rsid w:val="003449C8"/>
    <w:rsid w:val="0034571D"/>
    <w:rsid w:val="00347AC3"/>
    <w:rsid w:val="00350D8A"/>
    <w:rsid w:val="00352576"/>
    <w:rsid w:val="003536D3"/>
    <w:rsid w:val="00354168"/>
    <w:rsid w:val="003547AE"/>
    <w:rsid w:val="0035558E"/>
    <w:rsid w:val="00355A27"/>
    <w:rsid w:val="00356006"/>
    <w:rsid w:val="00357980"/>
    <w:rsid w:val="003638B6"/>
    <w:rsid w:val="0036482E"/>
    <w:rsid w:val="00370AA0"/>
    <w:rsid w:val="003718DA"/>
    <w:rsid w:val="003733E6"/>
    <w:rsid w:val="00381698"/>
    <w:rsid w:val="00390865"/>
    <w:rsid w:val="003915DD"/>
    <w:rsid w:val="0039177F"/>
    <w:rsid w:val="00393C7A"/>
    <w:rsid w:val="00394CE8"/>
    <w:rsid w:val="0039574C"/>
    <w:rsid w:val="0039624A"/>
    <w:rsid w:val="00396A7C"/>
    <w:rsid w:val="00396DDE"/>
    <w:rsid w:val="003A0463"/>
    <w:rsid w:val="003A0659"/>
    <w:rsid w:val="003A0FB3"/>
    <w:rsid w:val="003A584E"/>
    <w:rsid w:val="003A5C65"/>
    <w:rsid w:val="003A7F68"/>
    <w:rsid w:val="003B127B"/>
    <w:rsid w:val="003B285D"/>
    <w:rsid w:val="003B3978"/>
    <w:rsid w:val="003B3C39"/>
    <w:rsid w:val="003B5E84"/>
    <w:rsid w:val="003B73F2"/>
    <w:rsid w:val="003C0A0E"/>
    <w:rsid w:val="003C2291"/>
    <w:rsid w:val="003C23BD"/>
    <w:rsid w:val="003C3D1D"/>
    <w:rsid w:val="003C505D"/>
    <w:rsid w:val="003C5715"/>
    <w:rsid w:val="003C6252"/>
    <w:rsid w:val="003C69F4"/>
    <w:rsid w:val="003D0884"/>
    <w:rsid w:val="003D0AC1"/>
    <w:rsid w:val="003D16B3"/>
    <w:rsid w:val="003D1FEB"/>
    <w:rsid w:val="003D23D9"/>
    <w:rsid w:val="003D39D9"/>
    <w:rsid w:val="003D4CA3"/>
    <w:rsid w:val="003D589C"/>
    <w:rsid w:val="003D63D5"/>
    <w:rsid w:val="003D7B1C"/>
    <w:rsid w:val="003E1006"/>
    <w:rsid w:val="003E29B9"/>
    <w:rsid w:val="003E2CEB"/>
    <w:rsid w:val="003E3A2C"/>
    <w:rsid w:val="003E6A6A"/>
    <w:rsid w:val="003E7752"/>
    <w:rsid w:val="003E7C6D"/>
    <w:rsid w:val="003F05DA"/>
    <w:rsid w:val="003F0EF4"/>
    <w:rsid w:val="003F2140"/>
    <w:rsid w:val="003F31C9"/>
    <w:rsid w:val="003F3AAD"/>
    <w:rsid w:val="003F5CC2"/>
    <w:rsid w:val="003F700F"/>
    <w:rsid w:val="003F7E16"/>
    <w:rsid w:val="004005F8"/>
    <w:rsid w:val="00400E64"/>
    <w:rsid w:val="0040151A"/>
    <w:rsid w:val="00402FB4"/>
    <w:rsid w:val="004034FC"/>
    <w:rsid w:val="00410249"/>
    <w:rsid w:val="00412F0A"/>
    <w:rsid w:val="00420964"/>
    <w:rsid w:val="00420EBC"/>
    <w:rsid w:val="00421506"/>
    <w:rsid w:val="00423295"/>
    <w:rsid w:val="004248AF"/>
    <w:rsid w:val="00424A2A"/>
    <w:rsid w:val="00424ECD"/>
    <w:rsid w:val="004253FD"/>
    <w:rsid w:val="004265D5"/>
    <w:rsid w:val="00427B3E"/>
    <w:rsid w:val="0043392A"/>
    <w:rsid w:val="00433E6F"/>
    <w:rsid w:val="00434168"/>
    <w:rsid w:val="004341B3"/>
    <w:rsid w:val="004367F4"/>
    <w:rsid w:val="00436A07"/>
    <w:rsid w:val="004378D6"/>
    <w:rsid w:val="00437C60"/>
    <w:rsid w:val="0044064A"/>
    <w:rsid w:val="00440A85"/>
    <w:rsid w:val="004428E5"/>
    <w:rsid w:val="00444C76"/>
    <w:rsid w:val="00444D2F"/>
    <w:rsid w:val="00444F54"/>
    <w:rsid w:val="00446BBF"/>
    <w:rsid w:val="0044799F"/>
    <w:rsid w:val="00450417"/>
    <w:rsid w:val="004512FE"/>
    <w:rsid w:val="0045229B"/>
    <w:rsid w:val="004548A8"/>
    <w:rsid w:val="0045616C"/>
    <w:rsid w:val="00456D4F"/>
    <w:rsid w:val="00462BF9"/>
    <w:rsid w:val="00464E59"/>
    <w:rsid w:val="00465A55"/>
    <w:rsid w:val="0046677A"/>
    <w:rsid w:val="00466954"/>
    <w:rsid w:val="00472CAF"/>
    <w:rsid w:val="0047481C"/>
    <w:rsid w:val="00474DB5"/>
    <w:rsid w:val="00475932"/>
    <w:rsid w:val="00475F68"/>
    <w:rsid w:val="0047752B"/>
    <w:rsid w:val="0048278C"/>
    <w:rsid w:val="00482C01"/>
    <w:rsid w:val="004833A5"/>
    <w:rsid w:val="00485891"/>
    <w:rsid w:val="0048699D"/>
    <w:rsid w:val="00490E0B"/>
    <w:rsid w:val="004919C6"/>
    <w:rsid w:val="004947E5"/>
    <w:rsid w:val="00495E65"/>
    <w:rsid w:val="00496A95"/>
    <w:rsid w:val="00496CF6"/>
    <w:rsid w:val="004978FE"/>
    <w:rsid w:val="004A0067"/>
    <w:rsid w:val="004A11CC"/>
    <w:rsid w:val="004A2125"/>
    <w:rsid w:val="004A3786"/>
    <w:rsid w:val="004A55CE"/>
    <w:rsid w:val="004A5CCD"/>
    <w:rsid w:val="004A602D"/>
    <w:rsid w:val="004A6F35"/>
    <w:rsid w:val="004B0E09"/>
    <w:rsid w:val="004B27B0"/>
    <w:rsid w:val="004B3132"/>
    <w:rsid w:val="004B3B6A"/>
    <w:rsid w:val="004B3C11"/>
    <w:rsid w:val="004B547B"/>
    <w:rsid w:val="004C3B68"/>
    <w:rsid w:val="004C3F30"/>
    <w:rsid w:val="004C40B2"/>
    <w:rsid w:val="004C5BC9"/>
    <w:rsid w:val="004C6E51"/>
    <w:rsid w:val="004D0435"/>
    <w:rsid w:val="004D16E4"/>
    <w:rsid w:val="004D1DED"/>
    <w:rsid w:val="004D1F45"/>
    <w:rsid w:val="004D6817"/>
    <w:rsid w:val="004D7D82"/>
    <w:rsid w:val="004E12A5"/>
    <w:rsid w:val="004E2AB6"/>
    <w:rsid w:val="004E3765"/>
    <w:rsid w:val="004E3BD2"/>
    <w:rsid w:val="004E3F53"/>
    <w:rsid w:val="004E42B3"/>
    <w:rsid w:val="004E6D7A"/>
    <w:rsid w:val="004E7A9B"/>
    <w:rsid w:val="004F029E"/>
    <w:rsid w:val="004F202A"/>
    <w:rsid w:val="004F26EB"/>
    <w:rsid w:val="004F2A05"/>
    <w:rsid w:val="004F45A8"/>
    <w:rsid w:val="004F537E"/>
    <w:rsid w:val="00501F65"/>
    <w:rsid w:val="00502550"/>
    <w:rsid w:val="00502F81"/>
    <w:rsid w:val="005043C9"/>
    <w:rsid w:val="00504D9E"/>
    <w:rsid w:val="005059A5"/>
    <w:rsid w:val="00505A4B"/>
    <w:rsid w:val="00506EB8"/>
    <w:rsid w:val="005102C7"/>
    <w:rsid w:val="00511A5E"/>
    <w:rsid w:val="00512F24"/>
    <w:rsid w:val="00513C31"/>
    <w:rsid w:val="00514D5C"/>
    <w:rsid w:val="00514EFE"/>
    <w:rsid w:val="00515BDA"/>
    <w:rsid w:val="00515E0B"/>
    <w:rsid w:val="00521436"/>
    <w:rsid w:val="00521C02"/>
    <w:rsid w:val="0052490D"/>
    <w:rsid w:val="00527C0A"/>
    <w:rsid w:val="00530239"/>
    <w:rsid w:val="00532F6D"/>
    <w:rsid w:val="00533C8D"/>
    <w:rsid w:val="0053432A"/>
    <w:rsid w:val="0053450A"/>
    <w:rsid w:val="0053488D"/>
    <w:rsid w:val="00535090"/>
    <w:rsid w:val="005400EB"/>
    <w:rsid w:val="0054032B"/>
    <w:rsid w:val="0054040F"/>
    <w:rsid w:val="00542981"/>
    <w:rsid w:val="00547321"/>
    <w:rsid w:val="00547CF0"/>
    <w:rsid w:val="005503F1"/>
    <w:rsid w:val="00553AF4"/>
    <w:rsid w:val="00555430"/>
    <w:rsid w:val="005564B1"/>
    <w:rsid w:val="00556BC8"/>
    <w:rsid w:val="0055706A"/>
    <w:rsid w:val="00561D8D"/>
    <w:rsid w:val="005630A8"/>
    <w:rsid w:val="00565410"/>
    <w:rsid w:val="005676ED"/>
    <w:rsid w:val="005704AE"/>
    <w:rsid w:val="00575F7B"/>
    <w:rsid w:val="00582564"/>
    <w:rsid w:val="00585FE8"/>
    <w:rsid w:val="005862A3"/>
    <w:rsid w:val="00591F97"/>
    <w:rsid w:val="00594D67"/>
    <w:rsid w:val="00595BEB"/>
    <w:rsid w:val="00595EE0"/>
    <w:rsid w:val="00596651"/>
    <w:rsid w:val="00596FB3"/>
    <w:rsid w:val="005979E7"/>
    <w:rsid w:val="005A01C2"/>
    <w:rsid w:val="005A0DD8"/>
    <w:rsid w:val="005A136B"/>
    <w:rsid w:val="005A1916"/>
    <w:rsid w:val="005A2B95"/>
    <w:rsid w:val="005A5001"/>
    <w:rsid w:val="005A7780"/>
    <w:rsid w:val="005B36E1"/>
    <w:rsid w:val="005B414A"/>
    <w:rsid w:val="005B4A2C"/>
    <w:rsid w:val="005B725E"/>
    <w:rsid w:val="005C0006"/>
    <w:rsid w:val="005C0630"/>
    <w:rsid w:val="005C443F"/>
    <w:rsid w:val="005D03D3"/>
    <w:rsid w:val="005D19C2"/>
    <w:rsid w:val="005D1D74"/>
    <w:rsid w:val="005D5A9F"/>
    <w:rsid w:val="005E16E6"/>
    <w:rsid w:val="005E455A"/>
    <w:rsid w:val="005E67F8"/>
    <w:rsid w:val="005E6C83"/>
    <w:rsid w:val="005F161D"/>
    <w:rsid w:val="005F3D0E"/>
    <w:rsid w:val="005F4594"/>
    <w:rsid w:val="00600545"/>
    <w:rsid w:val="00600966"/>
    <w:rsid w:val="006010F1"/>
    <w:rsid w:val="00601799"/>
    <w:rsid w:val="0060575E"/>
    <w:rsid w:val="00606A1F"/>
    <w:rsid w:val="006116D8"/>
    <w:rsid w:val="00613DFD"/>
    <w:rsid w:val="0061433F"/>
    <w:rsid w:val="00617E46"/>
    <w:rsid w:val="006207E4"/>
    <w:rsid w:val="006220C9"/>
    <w:rsid w:val="00623781"/>
    <w:rsid w:val="00623A59"/>
    <w:rsid w:val="00630402"/>
    <w:rsid w:val="00631184"/>
    <w:rsid w:val="00631E9F"/>
    <w:rsid w:val="00633BEF"/>
    <w:rsid w:val="00635C2D"/>
    <w:rsid w:val="00635F45"/>
    <w:rsid w:val="006375AB"/>
    <w:rsid w:val="00643071"/>
    <w:rsid w:val="006436D9"/>
    <w:rsid w:val="0064386F"/>
    <w:rsid w:val="00645412"/>
    <w:rsid w:val="006457E8"/>
    <w:rsid w:val="0064663E"/>
    <w:rsid w:val="0064721D"/>
    <w:rsid w:val="00650FF3"/>
    <w:rsid w:val="0065130E"/>
    <w:rsid w:val="00653B49"/>
    <w:rsid w:val="00653BBC"/>
    <w:rsid w:val="006567B6"/>
    <w:rsid w:val="00660E56"/>
    <w:rsid w:val="0066132E"/>
    <w:rsid w:val="00661437"/>
    <w:rsid w:val="0066145D"/>
    <w:rsid w:val="0066315D"/>
    <w:rsid w:val="00663385"/>
    <w:rsid w:val="00665194"/>
    <w:rsid w:val="006707E1"/>
    <w:rsid w:val="00671201"/>
    <w:rsid w:val="006721E8"/>
    <w:rsid w:val="00674360"/>
    <w:rsid w:val="006744FC"/>
    <w:rsid w:val="00675905"/>
    <w:rsid w:val="0067596D"/>
    <w:rsid w:val="00683B25"/>
    <w:rsid w:val="006848A9"/>
    <w:rsid w:val="0068573E"/>
    <w:rsid w:val="0068758D"/>
    <w:rsid w:val="006878CE"/>
    <w:rsid w:val="00693820"/>
    <w:rsid w:val="006939A1"/>
    <w:rsid w:val="0069663C"/>
    <w:rsid w:val="00697A92"/>
    <w:rsid w:val="006A319E"/>
    <w:rsid w:val="006A5AD6"/>
    <w:rsid w:val="006A5DB4"/>
    <w:rsid w:val="006A6144"/>
    <w:rsid w:val="006A6588"/>
    <w:rsid w:val="006B06E4"/>
    <w:rsid w:val="006B197E"/>
    <w:rsid w:val="006B2CEB"/>
    <w:rsid w:val="006B32E1"/>
    <w:rsid w:val="006B5CD2"/>
    <w:rsid w:val="006B6570"/>
    <w:rsid w:val="006B7C94"/>
    <w:rsid w:val="006C0001"/>
    <w:rsid w:val="006C01F0"/>
    <w:rsid w:val="006C1184"/>
    <w:rsid w:val="006C385B"/>
    <w:rsid w:val="006C3B42"/>
    <w:rsid w:val="006C5B19"/>
    <w:rsid w:val="006C7C36"/>
    <w:rsid w:val="006C7F1B"/>
    <w:rsid w:val="006D1515"/>
    <w:rsid w:val="006D1958"/>
    <w:rsid w:val="006D318B"/>
    <w:rsid w:val="006D4F01"/>
    <w:rsid w:val="006D71BD"/>
    <w:rsid w:val="006D78DD"/>
    <w:rsid w:val="006E063A"/>
    <w:rsid w:val="006E0749"/>
    <w:rsid w:val="006E0AA6"/>
    <w:rsid w:val="006E1D4B"/>
    <w:rsid w:val="006E31E1"/>
    <w:rsid w:val="006E321C"/>
    <w:rsid w:val="006E4DE6"/>
    <w:rsid w:val="006E784C"/>
    <w:rsid w:val="006E7C4D"/>
    <w:rsid w:val="006F0444"/>
    <w:rsid w:val="006F05AF"/>
    <w:rsid w:val="006F2D8F"/>
    <w:rsid w:val="006F3BDD"/>
    <w:rsid w:val="006F44F3"/>
    <w:rsid w:val="006F4539"/>
    <w:rsid w:val="006F6902"/>
    <w:rsid w:val="00700316"/>
    <w:rsid w:val="00700A2B"/>
    <w:rsid w:val="00700CBD"/>
    <w:rsid w:val="007043E6"/>
    <w:rsid w:val="00707F5E"/>
    <w:rsid w:val="007105AF"/>
    <w:rsid w:val="00711E8B"/>
    <w:rsid w:val="00712345"/>
    <w:rsid w:val="00713B00"/>
    <w:rsid w:val="00713D15"/>
    <w:rsid w:val="00716129"/>
    <w:rsid w:val="00716F22"/>
    <w:rsid w:val="0072031E"/>
    <w:rsid w:val="0072093B"/>
    <w:rsid w:val="00721783"/>
    <w:rsid w:val="00721AF0"/>
    <w:rsid w:val="007239AB"/>
    <w:rsid w:val="00723C99"/>
    <w:rsid w:val="00726A8E"/>
    <w:rsid w:val="00726D47"/>
    <w:rsid w:val="00727E38"/>
    <w:rsid w:val="007304B7"/>
    <w:rsid w:val="007305FB"/>
    <w:rsid w:val="00731ABD"/>
    <w:rsid w:val="007320CA"/>
    <w:rsid w:val="007326DD"/>
    <w:rsid w:val="00733913"/>
    <w:rsid w:val="007339A6"/>
    <w:rsid w:val="00733B67"/>
    <w:rsid w:val="00734CDD"/>
    <w:rsid w:val="007361CF"/>
    <w:rsid w:val="00737712"/>
    <w:rsid w:val="00740C73"/>
    <w:rsid w:val="00743165"/>
    <w:rsid w:val="007433B2"/>
    <w:rsid w:val="0074564A"/>
    <w:rsid w:val="00745D58"/>
    <w:rsid w:val="00746DBE"/>
    <w:rsid w:val="007476D8"/>
    <w:rsid w:val="00750619"/>
    <w:rsid w:val="00751E3A"/>
    <w:rsid w:val="00751E64"/>
    <w:rsid w:val="00752070"/>
    <w:rsid w:val="007530AF"/>
    <w:rsid w:val="00753EF7"/>
    <w:rsid w:val="00755662"/>
    <w:rsid w:val="0076036E"/>
    <w:rsid w:val="00760A1A"/>
    <w:rsid w:val="00761BE9"/>
    <w:rsid w:val="00762458"/>
    <w:rsid w:val="00763984"/>
    <w:rsid w:val="00766B9D"/>
    <w:rsid w:val="007708E1"/>
    <w:rsid w:val="007723DB"/>
    <w:rsid w:val="00772B3E"/>
    <w:rsid w:val="00773F51"/>
    <w:rsid w:val="00774BC7"/>
    <w:rsid w:val="007779D9"/>
    <w:rsid w:val="007815FF"/>
    <w:rsid w:val="00781E3C"/>
    <w:rsid w:val="00783D5F"/>
    <w:rsid w:val="00786786"/>
    <w:rsid w:val="00787074"/>
    <w:rsid w:val="00787E20"/>
    <w:rsid w:val="00787EC7"/>
    <w:rsid w:val="00790C8E"/>
    <w:rsid w:val="00793144"/>
    <w:rsid w:val="007949C9"/>
    <w:rsid w:val="0079528D"/>
    <w:rsid w:val="00795312"/>
    <w:rsid w:val="007A12A8"/>
    <w:rsid w:val="007A43A7"/>
    <w:rsid w:val="007A5038"/>
    <w:rsid w:val="007A5D6C"/>
    <w:rsid w:val="007A6540"/>
    <w:rsid w:val="007A6B3B"/>
    <w:rsid w:val="007B0AD1"/>
    <w:rsid w:val="007B28D1"/>
    <w:rsid w:val="007B3F94"/>
    <w:rsid w:val="007B72B5"/>
    <w:rsid w:val="007B747D"/>
    <w:rsid w:val="007C2359"/>
    <w:rsid w:val="007C4D40"/>
    <w:rsid w:val="007C6189"/>
    <w:rsid w:val="007C6949"/>
    <w:rsid w:val="007D0C79"/>
    <w:rsid w:val="007D1473"/>
    <w:rsid w:val="007D1596"/>
    <w:rsid w:val="007D2932"/>
    <w:rsid w:val="007D2BFD"/>
    <w:rsid w:val="007D472F"/>
    <w:rsid w:val="007D4FFD"/>
    <w:rsid w:val="007D7237"/>
    <w:rsid w:val="007D7BB0"/>
    <w:rsid w:val="007E3495"/>
    <w:rsid w:val="007E5AB5"/>
    <w:rsid w:val="007E5AD6"/>
    <w:rsid w:val="007E79EA"/>
    <w:rsid w:val="007F0B1F"/>
    <w:rsid w:val="007F12FA"/>
    <w:rsid w:val="007F3C09"/>
    <w:rsid w:val="007F51BB"/>
    <w:rsid w:val="007F6F0B"/>
    <w:rsid w:val="0080015E"/>
    <w:rsid w:val="0080149A"/>
    <w:rsid w:val="00801FA7"/>
    <w:rsid w:val="008036EF"/>
    <w:rsid w:val="008047B0"/>
    <w:rsid w:val="0080679A"/>
    <w:rsid w:val="008142B0"/>
    <w:rsid w:val="0081454A"/>
    <w:rsid w:val="00814B2D"/>
    <w:rsid w:val="0081684F"/>
    <w:rsid w:val="00816B6D"/>
    <w:rsid w:val="00820B26"/>
    <w:rsid w:val="00820CC9"/>
    <w:rsid w:val="00822EBB"/>
    <w:rsid w:val="00827EF5"/>
    <w:rsid w:val="008301AB"/>
    <w:rsid w:val="00830821"/>
    <w:rsid w:val="008314D3"/>
    <w:rsid w:val="008324DF"/>
    <w:rsid w:val="008327BB"/>
    <w:rsid w:val="0083312E"/>
    <w:rsid w:val="008376C3"/>
    <w:rsid w:val="0084013B"/>
    <w:rsid w:val="00840919"/>
    <w:rsid w:val="00844B9F"/>
    <w:rsid w:val="0084511B"/>
    <w:rsid w:val="00845717"/>
    <w:rsid w:val="00846F2C"/>
    <w:rsid w:val="00851070"/>
    <w:rsid w:val="0085155E"/>
    <w:rsid w:val="00853DED"/>
    <w:rsid w:val="00854B45"/>
    <w:rsid w:val="00854C95"/>
    <w:rsid w:val="00855B81"/>
    <w:rsid w:val="00857077"/>
    <w:rsid w:val="00857250"/>
    <w:rsid w:val="00857D6E"/>
    <w:rsid w:val="00860F7D"/>
    <w:rsid w:val="008618A0"/>
    <w:rsid w:val="00863356"/>
    <w:rsid w:val="0086698F"/>
    <w:rsid w:val="00871EE5"/>
    <w:rsid w:val="00874219"/>
    <w:rsid w:val="008804E5"/>
    <w:rsid w:val="00881B9F"/>
    <w:rsid w:val="00882FE3"/>
    <w:rsid w:val="00884648"/>
    <w:rsid w:val="0088709F"/>
    <w:rsid w:val="0088723D"/>
    <w:rsid w:val="0088766A"/>
    <w:rsid w:val="008878D6"/>
    <w:rsid w:val="00890834"/>
    <w:rsid w:val="00891361"/>
    <w:rsid w:val="008928F2"/>
    <w:rsid w:val="00892A70"/>
    <w:rsid w:val="00896359"/>
    <w:rsid w:val="00896DDC"/>
    <w:rsid w:val="00897E6D"/>
    <w:rsid w:val="008A04AF"/>
    <w:rsid w:val="008A2835"/>
    <w:rsid w:val="008A2E08"/>
    <w:rsid w:val="008A3787"/>
    <w:rsid w:val="008A4C09"/>
    <w:rsid w:val="008A5168"/>
    <w:rsid w:val="008A60BA"/>
    <w:rsid w:val="008A66EC"/>
    <w:rsid w:val="008B406A"/>
    <w:rsid w:val="008C0531"/>
    <w:rsid w:val="008C08BB"/>
    <w:rsid w:val="008C1836"/>
    <w:rsid w:val="008C1A19"/>
    <w:rsid w:val="008C2617"/>
    <w:rsid w:val="008C4520"/>
    <w:rsid w:val="008C58C3"/>
    <w:rsid w:val="008C58CF"/>
    <w:rsid w:val="008C780B"/>
    <w:rsid w:val="008C7AC5"/>
    <w:rsid w:val="008D0500"/>
    <w:rsid w:val="008D2F4B"/>
    <w:rsid w:val="008D3422"/>
    <w:rsid w:val="008D4AE6"/>
    <w:rsid w:val="008D54FC"/>
    <w:rsid w:val="008E03A8"/>
    <w:rsid w:val="008E0A42"/>
    <w:rsid w:val="008E45D2"/>
    <w:rsid w:val="008E4607"/>
    <w:rsid w:val="008E6B2F"/>
    <w:rsid w:val="008E75CB"/>
    <w:rsid w:val="008F12E8"/>
    <w:rsid w:val="008F50CD"/>
    <w:rsid w:val="008F651D"/>
    <w:rsid w:val="008F6F69"/>
    <w:rsid w:val="008F7AC2"/>
    <w:rsid w:val="008F7CFE"/>
    <w:rsid w:val="0090005A"/>
    <w:rsid w:val="00901F4B"/>
    <w:rsid w:val="00903AA3"/>
    <w:rsid w:val="00905D97"/>
    <w:rsid w:val="00906930"/>
    <w:rsid w:val="00907656"/>
    <w:rsid w:val="00910F26"/>
    <w:rsid w:val="009116D4"/>
    <w:rsid w:val="0091394E"/>
    <w:rsid w:val="00915856"/>
    <w:rsid w:val="00922AC9"/>
    <w:rsid w:val="009303C9"/>
    <w:rsid w:val="00932587"/>
    <w:rsid w:val="0093550F"/>
    <w:rsid w:val="009368F3"/>
    <w:rsid w:val="00941260"/>
    <w:rsid w:val="00943C99"/>
    <w:rsid w:val="00943E3C"/>
    <w:rsid w:val="0094575E"/>
    <w:rsid w:val="00945C4F"/>
    <w:rsid w:val="00946241"/>
    <w:rsid w:val="0094713D"/>
    <w:rsid w:val="00950249"/>
    <w:rsid w:val="00951EE6"/>
    <w:rsid w:val="00952115"/>
    <w:rsid w:val="00952BEF"/>
    <w:rsid w:val="00954A16"/>
    <w:rsid w:val="00954AB1"/>
    <w:rsid w:val="00954FAF"/>
    <w:rsid w:val="00955C40"/>
    <w:rsid w:val="00957247"/>
    <w:rsid w:val="0096156B"/>
    <w:rsid w:val="00961A0C"/>
    <w:rsid w:val="0096334D"/>
    <w:rsid w:val="00963CF8"/>
    <w:rsid w:val="0097038D"/>
    <w:rsid w:val="009708E5"/>
    <w:rsid w:val="00970F18"/>
    <w:rsid w:val="00972B9E"/>
    <w:rsid w:val="00973460"/>
    <w:rsid w:val="00981D06"/>
    <w:rsid w:val="00982A78"/>
    <w:rsid w:val="00982A7A"/>
    <w:rsid w:val="00982ED8"/>
    <w:rsid w:val="0098326B"/>
    <w:rsid w:val="0098344A"/>
    <w:rsid w:val="00983B9D"/>
    <w:rsid w:val="009865E3"/>
    <w:rsid w:val="00986CDF"/>
    <w:rsid w:val="009911D9"/>
    <w:rsid w:val="009919E5"/>
    <w:rsid w:val="009933F3"/>
    <w:rsid w:val="009936ED"/>
    <w:rsid w:val="0099500A"/>
    <w:rsid w:val="0099560A"/>
    <w:rsid w:val="009958AD"/>
    <w:rsid w:val="00996659"/>
    <w:rsid w:val="009A242C"/>
    <w:rsid w:val="009A3B06"/>
    <w:rsid w:val="009A6A03"/>
    <w:rsid w:val="009B0709"/>
    <w:rsid w:val="009B0C7D"/>
    <w:rsid w:val="009B0D81"/>
    <w:rsid w:val="009B0FCA"/>
    <w:rsid w:val="009B2775"/>
    <w:rsid w:val="009B552C"/>
    <w:rsid w:val="009B5A96"/>
    <w:rsid w:val="009B5F26"/>
    <w:rsid w:val="009B769B"/>
    <w:rsid w:val="009B7FFA"/>
    <w:rsid w:val="009C2775"/>
    <w:rsid w:val="009C4CD0"/>
    <w:rsid w:val="009C4EB2"/>
    <w:rsid w:val="009C5A0D"/>
    <w:rsid w:val="009C7D65"/>
    <w:rsid w:val="009D3384"/>
    <w:rsid w:val="009E3769"/>
    <w:rsid w:val="009E4715"/>
    <w:rsid w:val="009E69E0"/>
    <w:rsid w:val="009E7700"/>
    <w:rsid w:val="009F19A6"/>
    <w:rsid w:val="009F5DCE"/>
    <w:rsid w:val="009F5EFC"/>
    <w:rsid w:val="009F648B"/>
    <w:rsid w:val="00A00E8D"/>
    <w:rsid w:val="00A0162E"/>
    <w:rsid w:val="00A02D30"/>
    <w:rsid w:val="00A031B9"/>
    <w:rsid w:val="00A03D18"/>
    <w:rsid w:val="00A0576B"/>
    <w:rsid w:val="00A06980"/>
    <w:rsid w:val="00A0738A"/>
    <w:rsid w:val="00A11293"/>
    <w:rsid w:val="00A13E78"/>
    <w:rsid w:val="00A13EEA"/>
    <w:rsid w:val="00A16E50"/>
    <w:rsid w:val="00A177B9"/>
    <w:rsid w:val="00A220A0"/>
    <w:rsid w:val="00A25215"/>
    <w:rsid w:val="00A2527E"/>
    <w:rsid w:val="00A264A1"/>
    <w:rsid w:val="00A31495"/>
    <w:rsid w:val="00A31A12"/>
    <w:rsid w:val="00A32DA6"/>
    <w:rsid w:val="00A33978"/>
    <w:rsid w:val="00A3522E"/>
    <w:rsid w:val="00A36261"/>
    <w:rsid w:val="00A3651A"/>
    <w:rsid w:val="00A371B6"/>
    <w:rsid w:val="00A37413"/>
    <w:rsid w:val="00A37D43"/>
    <w:rsid w:val="00A44A85"/>
    <w:rsid w:val="00A44B98"/>
    <w:rsid w:val="00A45AC1"/>
    <w:rsid w:val="00A45ADD"/>
    <w:rsid w:val="00A46CEE"/>
    <w:rsid w:val="00A50EB3"/>
    <w:rsid w:val="00A5102B"/>
    <w:rsid w:val="00A51769"/>
    <w:rsid w:val="00A51B6B"/>
    <w:rsid w:val="00A5415B"/>
    <w:rsid w:val="00A5433F"/>
    <w:rsid w:val="00A54EAA"/>
    <w:rsid w:val="00A56205"/>
    <w:rsid w:val="00A56455"/>
    <w:rsid w:val="00A56794"/>
    <w:rsid w:val="00A568FC"/>
    <w:rsid w:val="00A60DD5"/>
    <w:rsid w:val="00A60E0C"/>
    <w:rsid w:val="00A60EBA"/>
    <w:rsid w:val="00A6184D"/>
    <w:rsid w:val="00A61E1A"/>
    <w:rsid w:val="00A63915"/>
    <w:rsid w:val="00A63E16"/>
    <w:rsid w:val="00A6423D"/>
    <w:rsid w:val="00A6528C"/>
    <w:rsid w:val="00A65559"/>
    <w:rsid w:val="00A6732F"/>
    <w:rsid w:val="00A72682"/>
    <w:rsid w:val="00A72751"/>
    <w:rsid w:val="00A73553"/>
    <w:rsid w:val="00A74B5D"/>
    <w:rsid w:val="00A80312"/>
    <w:rsid w:val="00A80F24"/>
    <w:rsid w:val="00A811A3"/>
    <w:rsid w:val="00A81E79"/>
    <w:rsid w:val="00A85D50"/>
    <w:rsid w:val="00A87767"/>
    <w:rsid w:val="00A90F36"/>
    <w:rsid w:val="00A91E8B"/>
    <w:rsid w:val="00A92565"/>
    <w:rsid w:val="00A94014"/>
    <w:rsid w:val="00AA0E2F"/>
    <w:rsid w:val="00AA3A71"/>
    <w:rsid w:val="00AA4816"/>
    <w:rsid w:val="00AA4E66"/>
    <w:rsid w:val="00AA523E"/>
    <w:rsid w:val="00AA621D"/>
    <w:rsid w:val="00AA66B6"/>
    <w:rsid w:val="00AA6C2C"/>
    <w:rsid w:val="00AB1519"/>
    <w:rsid w:val="00AB350E"/>
    <w:rsid w:val="00AB76C7"/>
    <w:rsid w:val="00AC07A8"/>
    <w:rsid w:val="00AC19E1"/>
    <w:rsid w:val="00AC26B4"/>
    <w:rsid w:val="00AC2B1F"/>
    <w:rsid w:val="00AC39B5"/>
    <w:rsid w:val="00AC6577"/>
    <w:rsid w:val="00AC70F9"/>
    <w:rsid w:val="00AC7789"/>
    <w:rsid w:val="00AD1A09"/>
    <w:rsid w:val="00AD47C6"/>
    <w:rsid w:val="00AD7999"/>
    <w:rsid w:val="00AE01B5"/>
    <w:rsid w:val="00AE0C0F"/>
    <w:rsid w:val="00AE3DFB"/>
    <w:rsid w:val="00AE5276"/>
    <w:rsid w:val="00AF1B9D"/>
    <w:rsid w:val="00AF2096"/>
    <w:rsid w:val="00AF2780"/>
    <w:rsid w:val="00AF3B56"/>
    <w:rsid w:val="00AF451A"/>
    <w:rsid w:val="00B03FB3"/>
    <w:rsid w:val="00B05FE5"/>
    <w:rsid w:val="00B1016F"/>
    <w:rsid w:val="00B1114D"/>
    <w:rsid w:val="00B117D5"/>
    <w:rsid w:val="00B133E7"/>
    <w:rsid w:val="00B13995"/>
    <w:rsid w:val="00B13CB3"/>
    <w:rsid w:val="00B13CC5"/>
    <w:rsid w:val="00B14B5B"/>
    <w:rsid w:val="00B163B7"/>
    <w:rsid w:val="00B16573"/>
    <w:rsid w:val="00B245B8"/>
    <w:rsid w:val="00B262BF"/>
    <w:rsid w:val="00B2658A"/>
    <w:rsid w:val="00B3082C"/>
    <w:rsid w:val="00B30B43"/>
    <w:rsid w:val="00B324FB"/>
    <w:rsid w:val="00B34395"/>
    <w:rsid w:val="00B378D9"/>
    <w:rsid w:val="00B44BE9"/>
    <w:rsid w:val="00B453AA"/>
    <w:rsid w:val="00B45A1C"/>
    <w:rsid w:val="00B473E6"/>
    <w:rsid w:val="00B5107C"/>
    <w:rsid w:val="00B521F1"/>
    <w:rsid w:val="00B52D79"/>
    <w:rsid w:val="00B53DBC"/>
    <w:rsid w:val="00B56172"/>
    <w:rsid w:val="00B64563"/>
    <w:rsid w:val="00B7220F"/>
    <w:rsid w:val="00B72F95"/>
    <w:rsid w:val="00B742AD"/>
    <w:rsid w:val="00B77288"/>
    <w:rsid w:val="00B80080"/>
    <w:rsid w:val="00B80FF3"/>
    <w:rsid w:val="00B810EF"/>
    <w:rsid w:val="00B81916"/>
    <w:rsid w:val="00B81CA1"/>
    <w:rsid w:val="00B8424B"/>
    <w:rsid w:val="00B914B9"/>
    <w:rsid w:val="00B91B81"/>
    <w:rsid w:val="00B921BE"/>
    <w:rsid w:val="00B92E90"/>
    <w:rsid w:val="00B933D7"/>
    <w:rsid w:val="00B94E7F"/>
    <w:rsid w:val="00B9582B"/>
    <w:rsid w:val="00B95FFE"/>
    <w:rsid w:val="00B96182"/>
    <w:rsid w:val="00B96869"/>
    <w:rsid w:val="00BA003D"/>
    <w:rsid w:val="00BA23CE"/>
    <w:rsid w:val="00BA3A42"/>
    <w:rsid w:val="00BA43D6"/>
    <w:rsid w:val="00BA53AD"/>
    <w:rsid w:val="00BA762D"/>
    <w:rsid w:val="00BB3F52"/>
    <w:rsid w:val="00BB565F"/>
    <w:rsid w:val="00BB6F37"/>
    <w:rsid w:val="00BC1EDE"/>
    <w:rsid w:val="00BC5129"/>
    <w:rsid w:val="00BC55AA"/>
    <w:rsid w:val="00BC5A51"/>
    <w:rsid w:val="00BC64BE"/>
    <w:rsid w:val="00BD001D"/>
    <w:rsid w:val="00BD0B45"/>
    <w:rsid w:val="00BD0ED7"/>
    <w:rsid w:val="00BD10A4"/>
    <w:rsid w:val="00BD1186"/>
    <w:rsid w:val="00BD306F"/>
    <w:rsid w:val="00BD30A6"/>
    <w:rsid w:val="00BE0F06"/>
    <w:rsid w:val="00BE1170"/>
    <w:rsid w:val="00BE4C6D"/>
    <w:rsid w:val="00BF1B2A"/>
    <w:rsid w:val="00BF3CC4"/>
    <w:rsid w:val="00BF5A5A"/>
    <w:rsid w:val="00BF5EC3"/>
    <w:rsid w:val="00BF6AA4"/>
    <w:rsid w:val="00C00FD2"/>
    <w:rsid w:val="00C03332"/>
    <w:rsid w:val="00C04DCD"/>
    <w:rsid w:val="00C05A8A"/>
    <w:rsid w:val="00C06AF3"/>
    <w:rsid w:val="00C108AC"/>
    <w:rsid w:val="00C12F36"/>
    <w:rsid w:val="00C140F1"/>
    <w:rsid w:val="00C169BA"/>
    <w:rsid w:val="00C16C21"/>
    <w:rsid w:val="00C17A70"/>
    <w:rsid w:val="00C17BBD"/>
    <w:rsid w:val="00C208BF"/>
    <w:rsid w:val="00C228C4"/>
    <w:rsid w:val="00C243CF"/>
    <w:rsid w:val="00C253AF"/>
    <w:rsid w:val="00C2733E"/>
    <w:rsid w:val="00C31EBF"/>
    <w:rsid w:val="00C32938"/>
    <w:rsid w:val="00C32B4B"/>
    <w:rsid w:val="00C3386E"/>
    <w:rsid w:val="00C34329"/>
    <w:rsid w:val="00C352A5"/>
    <w:rsid w:val="00C354B9"/>
    <w:rsid w:val="00C365F5"/>
    <w:rsid w:val="00C37DC4"/>
    <w:rsid w:val="00C40958"/>
    <w:rsid w:val="00C41207"/>
    <w:rsid w:val="00C43416"/>
    <w:rsid w:val="00C473C2"/>
    <w:rsid w:val="00C47D88"/>
    <w:rsid w:val="00C50E3E"/>
    <w:rsid w:val="00C51AD4"/>
    <w:rsid w:val="00C52494"/>
    <w:rsid w:val="00C60326"/>
    <w:rsid w:val="00C611FE"/>
    <w:rsid w:val="00C6463D"/>
    <w:rsid w:val="00C65936"/>
    <w:rsid w:val="00C65C7D"/>
    <w:rsid w:val="00C669B9"/>
    <w:rsid w:val="00C674A4"/>
    <w:rsid w:val="00C71987"/>
    <w:rsid w:val="00C71D78"/>
    <w:rsid w:val="00C72566"/>
    <w:rsid w:val="00C72641"/>
    <w:rsid w:val="00C7363B"/>
    <w:rsid w:val="00C74677"/>
    <w:rsid w:val="00C7580B"/>
    <w:rsid w:val="00C7644A"/>
    <w:rsid w:val="00C76EBA"/>
    <w:rsid w:val="00C801BC"/>
    <w:rsid w:val="00C819E8"/>
    <w:rsid w:val="00C82645"/>
    <w:rsid w:val="00C83706"/>
    <w:rsid w:val="00C867E0"/>
    <w:rsid w:val="00C95814"/>
    <w:rsid w:val="00C97225"/>
    <w:rsid w:val="00CA0988"/>
    <w:rsid w:val="00CA3A40"/>
    <w:rsid w:val="00CA46FF"/>
    <w:rsid w:val="00CA4BB5"/>
    <w:rsid w:val="00CA6B15"/>
    <w:rsid w:val="00CA7CEA"/>
    <w:rsid w:val="00CB1AB3"/>
    <w:rsid w:val="00CB380A"/>
    <w:rsid w:val="00CB398B"/>
    <w:rsid w:val="00CB3E3D"/>
    <w:rsid w:val="00CB7160"/>
    <w:rsid w:val="00CC050F"/>
    <w:rsid w:val="00CC2A80"/>
    <w:rsid w:val="00CC433C"/>
    <w:rsid w:val="00CC5730"/>
    <w:rsid w:val="00CC5DE5"/>
    <w:rsid w:val="00CD04BE"/>
    <w:rsid w:val="00CD1342"/>
    <w:rsid w:val="00CD1CBF"/>
    <w:rsid w:val="00CD6992"/>
    <w:rsid w:val="00CD6C6C"/>
    <w:rsid w:val="00CE2804"/>
    <w:rsid w:val="00CE4DA9"/>
    <w:rsid w:val="00CE7B38"/>
    <w:rsid w:val="00CF23A8"/>
    <w:rsid w:val="00CF2754"/>
    <w:rsid w:val="00CF2945"/>
    <w:rsid w:val="00CF5058"/>
    <w:rsid w:val="00CF5ACD"/>
    <w:rsid w:val="00D01776"/>
    <w:rsid w:val="00D01DB5"/>
    <w:rsid w:val="00D026B8"/>
    <w:rsid w:val="00D02DE5"/>
    <w:rsid w:val="00D035F5"/>
    <w:rsid w:val="00D03D43"/>
    <w:rsid w:val="00D04663"/>
    <w:rsid w:val="00D04C82"/>
    <w:rsid w:val="00D05089"/>
    <w:rsid w:val="00D05422"/>
    <w:rsid w:val="00D11FC5"/>
    <w:rsid w:val="00D121CF"/>
    <w:rsid w:val="00D124B1"/>
    <w:rsid w:val="00D14159"/>
    <w:rsid w:val="00D156E0"/>
    <w:rsid w:val="00D16F31"/>
    <w:rsid w:val="00D17060"/>
    <w:rsid w:val="00D172C1"/>
    <w:rsid w:val="00D2108A"/>
    <w:rsid w:val="00D21420"/>
    <w:rsid w:val="00D215F2"/>
    <w:rsid w:val="00D2210C"/>
    <w:rsid w:val="00D22A1F"/>
    <w:rsid w:val="00D259B4"/>
    <w:rsid w:val="00D25FC1"/>
    <w:rsid w:val="00D2626A"/>
    <w:rsid w:val="00D27AD8"/>
    <w:rsid w:val="00D27E76"/>
    <w:rsid w:val="00D31794"/>
    <w:rsid w:val="00D32060"/>
    <w:rsid w:val="00D322D7"/>
    <w:rsid w:val="00D32A03"/>
    <w:rsid w:val="00D37B33"/>
    <w:rsid w:val="00D40C35"/>
    <w:rsid w:val="00D40CF8"/>
    <w:rsid w:val="00D424EA"/>
    <w:rsid w:val="00D435D8"/>
    <w:rsid w:val="00D43FCD"/>
    <w:rsid w:val="00D445B3"/>
    <w:rsid w:val="00D457F2"/>
    <w:rsid w:val="00D46954"/>
    <w:rsid w:val="00D52BD7"/>
    <w:rsid w:val="00D533C2"/>
    <w:rsid w:val="00D53C7F"/>
    <w:rsid w:val="00D549A8"/>
    <w:rsid w:val="00D55158"/>
    <w:rsid w:val="00D57505"/>
    <w:rsid w:val="00D57D73"/>
    <w:rsid w:val="00D61238"/>
    <w:rsid w:val="00D63037"/>
    <w:rsid w:val="00D653AA"/>
    <w:rsid w:val="00D67853"/>
    <w:rsid w:val="00D67987"/>
    <w:rsid w:val="00D71AEB"/>
    <w:rsid w:val="00D75362"/>
    <w:rsid w:val="00D75716"/>
    <w:rsid w:val="00D7583E"/>
    <w:rsid w:val="00D80ED2"/>
    <w:rsid w:val="00D810A9"/>
    <w:rsid w:val="00D81FD3"/>
    <w:rsid w:val="00D8278D"/>
    <w:rsid w:val="00D82812"/>
    <w:rsid w:val="00D85A9C"/>
    <w:rsid w:val="00D86B80"/>
    <w:rsid w:val="00D873BE"/>
    <w:rsid w:val="00D87BC3"/>
    <w:rsid w:val="00D904DB"/>
    <w:rsid w:val="00D9335B"/>
    <w:rsid w:val="00D93B0C"/>
    <w:rsid w:val="00D93F8B"/>
    <w:rsid w:val="00D95077"/>
    <w:rsid w:val="00D951C1"/>
    <w:rsid w:val="00DA04DF"/>
    <w:rsid w:val="00DA0787"/>
    <w:rsid w:val="00DA0C0A"/>
    <w:rsid w:val="00DA0DAD"/>
    <w:rsid w:val="00DA193C"/>
    <w:rsid w:val="00DA1BD2"/>
    <w:rsid w:val="00DA227B"/>
    <w:rsid w:val="00DA460F"/>
    <w:rsid w:val="00DA4AFD"/>
    <w:rsid w:val="00DA5AB3"/>
    <w:rsid w:val="00DA6DA6"/>
    <w:rsid w:val="00DA6F6A"/>
    <w:rsid w:val="00DB4ABE"/>
    <w:rsid w:val="00DB4AE8"/>
    <w:rsid w:val="00DB541D"/>
    <w:rsid w:val="00DB5D75"/>
    <w:rsid w:val="00DB654B"/>
    <w:rsid w:val="00DB7FAF"/>
    <w:rsid w:val="00DC03D1"/>
    <w:rsid w:val="00DC09B3"/>
    <w:rsid w:val="00DC09B4"/>
    <w:rsid w:val="00DC1487"/>
    <w:rsid w:val="00DC528E"/>
    <w:rsid w:val="00DD03C5"/>
    <w:rsid w:val="00DD1973"/>
    <w:rsid w:val="00DD39B9"/>
    <w:rsid w:val="00DD3D46"/>
    <w:rsid w:val="00DD41B4"/>
    <w:rsid w:val="00DD59DA"/>
    <w:rsid w:val="00DD5EA8"/>
    <w:rsid w:val="00DD7D9D"/>
    <w:rsid w:val="00DE1AEE"/>
    <w:rsid w:val="00DE472E"/>
    <w:rsid w:val="00DE48D0"/>
    <w:rsid w:val="00DE5525"/>
    <w:rsid w:val="00DE68A9"/>
    <w:rsid w:val="00DE6FE7"/>
    <w:rsid w:val="00DF0205"/>
    <w:rsid w:val="00DF0FBC"/>
    <w:rsid w:val="00DF43C5"/>
    <w:rsid w:val="00DF5E2A"/>
    <w:rsid w:val="00DF77D6"/>
    <w:rsid w:val="00E006AC"/>
    <w:rsid w:val="00E07822"/>
    <w:rsid w:val="00E07AF9"/>
    <w:rsid w:val="00E11354"/>
    <w:rsid w:val="00E11EB1"/>
    <w:rsid w:val="00E12D8F"/>
    <w:rsid w:val="00E144E1"/>
    <w:rsid w:val="00E158C5"/>
    <w:rsid w:val="00E163FE"/>
    <w:rsid w:val="00E16E91"/>
    <w:rsid w:val="00E17021"/>
    <w:rsid w:val="00E17762"/>
    <w:rsid w:val="00E20C14"/>
    <w:rsid w:val="00E211F8"/>
    <w:rsid w:val="00E23C91"/>
    <w:rsid w:val="00E2778C"/>
    <w:rsid w:val="00E27DDA"/>
    <w:rsid w:val="00E30D01"/>
    <w:rsid w:val="00E32085"/>
    <w:rsid w:val="00E364F7"/>
    <w:rsid w:val="00E37F0B"/>
    <w:rsid w:val="00E43234"/>
    <w:rsid w:val="00E44490"/>
    <w:rsid w:val="00E44A7A"/>
    <w:rsid w:val="00E473A3"/>
    <w:rsid w:val="00E52E67"/>
    <w:rsid w:val="00E5539C"/>
    <w:rsid w:val="00E56BF3"/>
    <w:rsid w:val="00E61791"/>
    <w:rsid w:val="00E61D19"/>
    <w:rsid w:val="00E62906"/>
    <w:rsid w:val="00E640E2"/>
    <w:rsid w:val="00E64679"/>
    <w:rsid w:val="00E652CF"/>
    <w:rsid w:val="00E72FBA"/>
    <w:rsid w:val="00E73B0F"/>
    <w:rsid w:val="00E74216"/>
    <w:rsid w:val="00E76347"/>
    <w:rsid w:val="00E7644C"/>
    <w:rsid w:val="00E76F93"/>
    <w:rsid w:val="00E77C1B"/>
    <w:rsid w:val="00E82B38"/>
    <w:rsid w:val="00E84C87"/>
    <w:rsid w:val="00E854CC"/>
    <w:rsid w:val="00E85BDC"/>
    <w:rsid w:val="00E85C86"/>
    <w:rsid w:val="00E9136A"/>
    <w:rsid w:val="00E916E4"/>
    <w:rsid w:val="00E91CA9"/>
    <w:rsid w:val="00E91D19"/>
    <w:rsid w:val="00E95578"/>
    <w:rsid w:val="00E95A5A"/>
    <w:rsid w:val="00E97163"/>
    <w:rsid w:val="00EA02E4"/>
    <w:rsid w:val="00EA258D"/>
    <w:rsid w:val="00EA2DEA"/>
    <w:rsid w:val="00EA3A43"/>
    <w:rsid w:val="00EA4E32"/>
    <w:rsid w:val="00EB269B"/>
    <w:rsid w:val="00EB36CC"/>
    <w:rsid w:val="00EB3EBA"/>
    <w:rsid w:val="00EB6ED2"/>
    <w:rsid w:val="00EC0140"/>
    <w:rsid w:val="00EC24BC"/>
    <w:rsid w:val="00EC2EA1"/>
    <w:rsid w:val="00EC7C73"/>
    <w:rsid w:val="00EC7E9B"/>
    <w:rsid w:val="00ED0E9C"/>
    <w:rsid w:val="00ED562C"/>
    <w:rsid w:val="00ED5C34"/>
    <w:rsid w:val="00ED5CB8"/>
    <w:rsid w:val="00ED7397"/>
    <w:rsid w:val="00EE14E2"/>
    <w:rsid w:val="00EE3CE7"/>
    <w:rsid w:val="00EE4FE1"/>
    <w:rsid w:val="00EE66AC"/>
    <w:rsid w:val="00EE78B7"/>
    <w:rsid w:val="00EE7A58"/>
    <w:rsid w:val="00EF144F"/>
    <w:rsid w:val="00EF204D"/>
    <w:rsid w:val="00EF289B"/>
    <w:rsid w:val="00EF4537"/>
    <w:rsid w:val="00EF4853"/>
    <w:rsid w:val="00EF5155"/>
    <w:rsid w:val="00EF5D89"/>
    <w:rsid w:val="00EF67F0"/>
    <w:rsid w:val="00F00579"/>
    <w:rsid w:val="00F01666"/>
    <w:rsid w:val="00F02390"/>
    <w:rsid w:val="00F02776"/>
    <w:rsid w:val="00F0325C"/>
    <w:rsid w:val="00F0402C"/>
    <w:rsid w:val="00F04746"/>
    <w:rsid w:val="00F06060"/>
    <w:rsid w:val="00F0721C"/>
    <w:rsid w:val="00F11B6B"/>
    <w:rsid w:val="00F11CF9"/>
    <w:rsid w:val="00F1201A"/>
    <w:rsid w:val="00F14AA8"/>
    <w:rsid w:val="00F20762"/>
    <w:rsid w:val="00F21997"/>
    <w:rsid w:val="00F2331F"/>
    <w:rsid w:val="00F23969"/>
    <w:rsid w:val="00F2483F"/>
    <w:rsid w:val="00F2578B"/>
    <w:rsid w:val="00F26655"/>
    <w:rsid w:val="00F274CC"/>
    <w:rsid w:val="00F36CC8"/>
    <w:rsid w:val="00F469AA"/>
    <w:rsid w:val="00F5590C"/>
    <w:rsid w:val="00F600BA"/>
    <w:rsid w:val="00F6027C"/>
    <w:rsid w:val="00F614DC"/>
    <w:rsid w:val="00F62894"/>
    <w:rsid w:val="00F62FAF"/>
    <w:rsid w:val="00F63746"/>
    <w:rsid w:val="00F640EA"/>
    <w:rsid w:val="00F64345"/>
    <w:rsid w:val="00F64E2F"/>
    <w:rsid w:val="00F65068"/>
    <w:rsid w:val="00F65550"/>
    <w:rsid w:val="00F66696"/>
    <w:rsid w:val="00F67138"/>
    <w:rsid w:val="00F6751F"/>
    <w:rsid w:val="00F67979"/>
    <w:rsid w:val="00F71890"/>
    <w:rsid w:val="00F729DA"/>
    <w:rsid w:val="00F72B8C"/>
    <w:rsid w:val="00F72C6A"/>
    <w:rsid w:val="00F73AC7"/>
    <w:rsid w:val="00F802DF"/>
    <w:rsid w:val="00F82063"/>
    <w:rsid w:val="00F8511B"/>
    <w:rsid w:val="00F85258"/>
    <w:rsid w:val="00F85DF6"/>
    <w:rsid w:val="00F8775B"/>
    <w:rsid w:val="00F90149"/>
    <w:rsid w:val="00F90497"/>
    <w:rsid w:val="00F95E04"/>
    <w:rsid w:val="00F970F3"/>
    <w:rsid w:val="00FA0B93"/>
    <w:rsid w:val="00FA1673"/>
    <w:rsid w:val="00FA3C2B"/>
    <w:rsid w:val="00FA4C1B"/>
    <w:rsid w:val="00FA73B5"/>
    <w:rsid w:val="00FA7866"/>
    <w:rsid w:val="00FA7A70"/>
    <w:rsid w:val="00FA7BCF"/>
    <w:rsid w:val="00FB0B15"/>
    <w:rsid w:val="00FB2494"/>
    <w:rsid w:val="00FB2BCB"/>
    <w:rsid w:val="00FB404A"/>
    <w:rsid w:val="00FB65A9"/>
    <w:rsid w:val="00FB7451"/>
    <w:rsid w:val="00FC2F5F"/>
    <w:rsid w:val="00FD2235"/>
    <w:rsid w:val="00FD298D"/>
    <w:rsid w:val="00FD38A2"/>
    <w:rsid w:val="00FD45C9"/>
    <w:rsid w:val="00FD5FC1"/>
    <w:rsid w:val="00FD6058"/>
    <w:rsid w:val="00FD7F62"/>
    <w:rsid w:val="00FE0C51"/>
    <w:rsid w:val="00FE2518"/>
    <w:rsid w:val="00FE2AA6"/>
    <w:rsid w:val="00FE42A3"/>
    <w:rsid w:val="00FE517F"/>
    <w:rsid w:val="00FE6707"/>
    <w:rsid w:val="00FF0C5A"/>
    <w:rsid w:val="00FF0ECA"/>
    <w:rsid w:val="00FF2795"/>
    <w:rsid w:val="00FF2987"/>
    <w:rsid w:val="00FF2EAA"/>
    <w:rsid w:val="00FF4CAD"/>
    <w:rsid w:val="00FF6E90"/>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183A"/>
  <w15:docId w15:val="{7B994A1C-7CDA-3B4F-9CAE-49EEFA3A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C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E3E"/>
  </w:style>
  <w:style w:type="paragraph" w:styleId="Heading1">
    <w:name w:val="heading 1"/>
    <w:basedOn w:val="Normal"/>
    <w:next w:val="Normal"/>
    <w:link w:val="Heading1Char"/>
    <w:uiPriority w:val="9"/>
    <w:qFormat/>
    <w:pPr>
      <w:widowControl/>
      <w:pBdr>
        <w:top w:val="nil"/>
        <w:left w:val="nil"/>
        <w:bottom w:val="nil"/>
        <w:right w:val="nil"/>
        <w:between w:val="nil"/>
      </w:pBdr>
      <w:spacing w:before="400" w:after="20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widowControl/>
      <w:pBdr>
        <w:top w:val="nil"/>
        <w:left w:val="nil"/>
        <w:bottom w:val="nil"/>
        <w:right w:val="nil"/>
        <w:between w:val="nil"/>
      </w:pBdr>
      <w:spacing w:before="300" w:after="150"/>
      <w:outlineLvl w:val="1"/>
    </w:pPr>
    <w:rPr>
      <w:rFonts w:eastAsia="Times New Roman"/>
      <w:b/>
      <w:bCs/>
      <w:color w:val="000000"/>
      <w:sz w:val="26"/>
      <w:szCs w:val="26"/>
    </w:rPr>
  </w:style>
  <w:style w:type="paragraph" w:styleId="Heading3">
    <w:name w:val="heading 3"/>
    <w:basedOn w:val="Normal"/>
    <w:next w:val="Normal"/>
    <w:uiPriority w:val="9"/>
    <w:semiHidden/>
    <w:unhideWhenUsed/>
    <w:qFormat/>
    <w:pPr>
      <w:widowControl/>
      <w:pBdr>
        <w:top w:val="nil"/>
        <w:left w:val="nil"/>
        <w:bottom w:val="nil"/>
        <w:right w:val="nil"/>
        <w:between w:val="nil"/>
      </w:pBdr>
      <w:outlineLvl w:val="2"/>
    </w:pPr>
    <w:rPr>
      <w:rFonts w:eastAsia="Times New Roman"/>
      <w:color w:val="1F4D78"/>
    </w:rPr>
  </w:style>
  <w:style w:type="paragraph" w:styleId="Heading4">
    <w:name w:val="heading 4"/>
    <w:basedOn w:val="Normal"/>
    <w:next w:val="Normal"/>
    <w:uiPriority w:val="9"/>
    <w:semiHidden/>
    <w:unhideWhenUsed/>
    <w:qFormat/>
    <w:pPr>
      <w:widowControl/>
      <w:pBdr>
        <w:top w:val="nil"/>
        <w:left w:val="nil"/>
        <w:bottom w:val="nil"/>
        <w:right w:val="nil"/>
        <w:between w:val="nil"/>
      </w:pBdr>
      <w:outlineLvl w:val="3"/>
    </w:pPr>
    <w:rPr>
      <w:rFonts w:eastAsia="Times New Roman"/>
      <w:i/>
      <w:iCs/>
      <w:color w:val="2E74B5"/>
    </w:rPr>
  </w:style>
  <w:style w:type="paragraph" w:styleId="Heading5">
    <w:name w:val="heading 5"/>
    <w:basedOn w:val="Normal"/>
    <w:next w:val="Normal"/>
    <w:uiPriority w:val="9"/>
    <w:semiHidden/>
    <w:unhideWhenUsed/>
    <w:qFormat/>
    <w:pPr>
      <w:widowControl/>
      <w:pBdr>
        <w:top w:val="nil"/>
        <w:left w:val="nil"/>
        <w:bottom w:val="nil"/>
        <w:right w:val="nil"/>
        <w:between w:val="nil"/>
      </w:pBdr>
      <w:outlineLvl w:val="4"/>
    </w:pPr>
    <w:rPr>
      <w:rFonts w:eastAsia="Times New Roman"/>
      <w:color w:val="2E74B5"/>
    </w:rPr>
  </w:style>
  <w:style w:type="paragraph" w:styleId="Heading6">
    <w:name w:val="heading 6"/>
    <w:basedOn w:val="Normal"/>
    <w:next w:val="Normal"/>
    <w:uiPriority w:val="9"/>
    <w:semiHidden/>
    <w:unhideWhenUsed/>
    <w:qFormat/>
    <w:pPr>
      <w:widowControl/>
      <w:pBdr>
        <w:top w:val="nil"/>
        <w:left w:val="nil"/>
        <w:bottom w:val="nil"/>
        <w:right w:val="nil"/>
        <w:between w:val="nil"/>
      </w:pBdr>
      <w:outlineLvl w:val="5"/>
    </w:pPr>
    <w:rPr>
      <w:rFonts w:eastAsia="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pBdr>
        <w:top w:val="nil"/>
        <w:left w:val="nil"/>
        <w:bottom w:val="nil"/>
        <w:right w:val="nil"/>
        <w:between w:val="nil"/>
      </w:pBdr>
      <w:spacing w:after="200"/>
      <w:jc w:val="center"/>
    </w:pPr>
    <w:rPr>
      <w:rFonts w:eastAsia="Times New Roman"/>
      <w:b/>
      <w:bCs/>
      <w:color w:val="000000"/>
      <w:sz w:val="32"/>
      <w:szCs w:val="32"/>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904175"/>
    <w:pPr>
      <w:tabs>
        <w:tab w:val="center" w:pos="4680"/>
        <w:tab w:val="right" w:pos="9360"/>
      </w:tabs>
      <w:snapToGrid w:val="0"/>
      <w:jc w:val="center"/>
    </w:pPr>
    <w:rPr>
      <w:sz w:val="18"/>
      <w:szCs w:val="18"/>
    </w:rPr>
  </w:style>
  <w:style w:type="character" w:customStyle="1" w:styleId="HeaderChar">
    <w:name w:val="Header Char"/>
    <w:basedOn w:val="DefaultParagraphFont"/>
    <w:link w:val="Header"/>
    <w:uiPriority w:val="99"/>
    <w:rsid w:val="00904175"/>
    <w:rPr>
      <w:sz w:val="18"/>
      <w:szCs w:val="18"/>
    </w:rPr>
  </w:style>
  <w:style w:type="paragraph" w:styleId="Footer">
    <w:name w:val="footer"/>
    <w:basedOn w:val="Normal"/>
    <w:link w:val="FooterChar"/>
    <w:uiPriority w:val="99"/>
    <w:unhideWhenUsed/>
    <w:rsid w:val="00904175"/>
    <w:pPr>
      <w:tabs>
        <w:tab w:val="center" w:pos="4680"/>
        <w:tab w:val="right" w:pos="9360"/>
      </w:tabs>
      <w:snapToGrid w:val="0"/>
    </w:pPr>
    <w:rPr>
      <w:sz w:val="18"/>
      <w:szCs w:val="18"/>
    </w:rPr>
  </w:style>
  <w:style w:type="character" w:customStyle="1" w:styleId="FooterChar">
    <w:name w:val="Footer Char"/>
    <w:basedOn w:val="DefaultParagraphFont"/>
    <w:link w:val="Footer"/>
    <w:uiPriority w:val="99"/>
    <w:rsid w:val="00904175"/>
    <w:rPr>
      <w:sz w:val="18"/>
      <w:szCs w:val="18"/>
    </w:rPr>
  </w:style>
  <w:style w:type="character" w:styleId="UnresolvedMention">
    <w:name w:val="Unresolved Mention"/>
    <w:basedOn w:val="DefaultParagraphFont"/>
    <w:uiPriority w:val="99"/>
    <w:semiHidden/>
    <w:unhideWhenUsed/>
    <w:rsid w:val="002F2C8B"/>
    <w:rPr>
      <w:color w:val="605E5C"/>
      <w:shd w:val="clear" w:color="auto" w:fill="E1DFDD"/>
    </w:rPr>
  </w:style>
  <w:style w:type="paragraph" w:customStyle="1" w:styleId="FigureCaption">
    <w:name w:val="Figure Caption"/>
    <w:rsid w:val="00750EC8"/>
    <w:pPr>
      <w:spacing w:before="120" w:after="240"/>
      <w:jc w:val="both"/>
    </w:pPr>
    <w:rPr>
      <w:rFonts w:eastAsia="Times New Roman"/>
      <w:sz w:val="22"/>
      <w:szCs w:val="22"/>
    </w:rPr>
  </w:style>
  <w:style w:type="character" w:styleId="Strong">
    <w:name w:val="Strong"/>
    <w:basedOn w:val="DefaultParagraphFont"/>
    <w:uiPriority w:val="22"/>
    <w:qFormat/>
    <w:rsid w:val="00750EC8"/>
    <w:rPr>
      <w:b/>
      <w:bCs/>
    </w:rPr>
  </w:style>
  <w:style w:type="paragraph" w:customStyle="1" w:styleId="font-claude-response-body">
    <w:name w:val="font-claude-response-body"/>
    <w:basedOn w:val="Normal"/>
    <w:rsid w:val="00750EC8"/>
    <w:pPr>
      <w:widowControl/>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F97881"/>
    <w:rPr>
      <w:rFonts w:eastAsia="Times New Roman"/>
      <w:b/>
      <w:bCs/>
      <w:sz w:val="28"/>
      <w:szCs w:val="28"/>
    </w:rPr>
  </w:style>
  <w:style w:type="character" w:styleId="LineNumber">
    <w:name w:val="line number"/>
    <w:basedOn w:val="DefaultParagraphFont"/>
    <w:uiPriority w:val="99"/>
    <w:semiHidden/>
    <w:unhideWhenUsed/>
    <w:rsid w:val="00D14075"/>
  </w:style>
  <w:style w:type="paragraph" w:styleId="Revision">
    <w:name w:val="Revision"/>
    <w:hidden/>
    <w:uiPriority w:val="99"/>
    <w:semiHidden/>
    <w:rsid w:val="00DC6972"/>
  </w:style>
  <w:style w:type="paragraph" w:styleId="CommentText">
    <w:name w:val="annotation text"/>
    <w:basedOn w:val="Normal"/>
    <w:link w:val="CommentTextChar"/>
    <w:rsid w:val="00551F84"/>
    <w:pPr>
      <w:widowControl/>
    </w:pPr>
    <w:rPr>
      <w:rFonts w:eastAsia="SimSun"/>
      <w:sz w:val="20"/>
      <w:szCs w:val="20"/>
      <w:lang w:val="en-US" w:eastAsia="en-US"/>
    </w:rPr>
  </w:style>
  <w:style w:type="character" w:customStyle="1" w:styleId="CommentTextChar">
    <w:name w:val="Comment Text Char"/>
    <w:basedOn w:val="DefaultParagraphFont"/>
    <w:link w:val="CommentText"/>
    <w:rsid w:val="00551F84"/>
    <w:rPr>
      <w:rFonts w:eastAsia="SimSun"/>
      <w:sz w:val="20"/>
      <w:szCs w:val="20"/>
      <w:lang w:val="en-US" w:eastAsia="en-US"/>
    </w:rPr>
  </w:style>
  <w:style w:type="character" w:styleId="CommentReference">
    <w:name w:val="annotation reference"/>
    <w:rsid w:val="00551F84"/>
    <w:rPr>
      <w:sz w:val="16"/>
      <w:szCs w:val="16"/>
    </w:rPr>
  </w:style>
  <w:style w:type="paragraph" w:customStyle="1" w:styleId="Text">
    <w:name w:val="Text"/>
    <w:basedOn w:val="Normal"/>
    <w:next w:val="Normal"/>
    <w:qFormat/>
    <w:rsid w:val="00551F84"/>
    <w:pPr>
      <w:widowControl/>
      <w:spacing w:line="480" w:lineRule="auto"/>
      <w:ind w:firstLine="425"/>
      <w:jc w:val="both"/>
    </w:pPr>
    <w:rPr>
      <w:rFonts w:eastAsia="SimSun"/>
      <w:lang w:val="en-US" w:eastAsia="en-US"/>
    </w:rPr>
  </w:style>
  <w:style w:type="paragraph" w:customStyle="1" w:styleId="Equation">
    <w:name w:val="Equation"/>
    <w:basedOn w:val="Normal"/>
    <w:qFormat/>
    <w:rsid w:val="00551F84"/>
    <w:pPr>
      <w:widowControl/>
      <w:spacing w:before="240" w:line="480" w:lineRule="auto"/>
      <w:jc w:val="right"/>
    </w:pPr>
    <w:rPr>
      <w:rFonts w:eastAsia="SimSun"/>
      <w:lang w:val="en-US" w:eastAsia="en-US"/>
    </w:rPr>
  </w:style>
  <w:style w:type="paragraph" w:customStyle="1" w:styleId="BodyA">
    <w:name w:val="Body A"/>
    <w:link w:val="BodyA0"/>
    <w:qFormat/>
    <w:rsid w:val="00982064"/>
    <w:rPr>
      <w:rFonts w:ascii="Arial" w:eastAsia="SimSun" w:hAnsi="Arial" w:cs="Arial Unicode MS"/>
      <w:color w:val="000000"/>
      <w:u w:color="000000"/>
      <w:lang w:val="en-US"/>
    </w:rPr>
  </w:style>
  <w:style w:type="character" w:customStyle="1" w:styleId="BodyA0">
    <w:name w:val="Body A 字符"/>
    <w:basedOn w:val="DefaultParagraphFont"/>
    <w:link w:val="BodyA"/>
    <w:qFormat/>
    <w:rsid w:val="00982064"/>
    <w:rPr>
      <w:rFonts w:ascii="Arial" w:eastAsia="SimSun" w:hAnsi="Arial" w:cs="Arial Unicode MS"/>
      <w:color w:val="000000"/>
      <w:u w:color="000000"/>
      <w:lang w:val="en-US"/>
    </w:rPr>
  </w:style>
  <w:style w:type="paragraph" w:customStyle="1" w:styleId="EndNoteBibliographyTitle">
    <w:name w:val="EndNote Bibliography Title"/>
    <w:basedOn w:val="Normal"/>
    <w:link w:val="EndNoteBibliographyTitleChar"/>
    <w:rsid w:val="003623F0"/>
    <w:pPr>
      <w:jc w:val="center"/>
    </w:pPr>
  </w:style>
  <w:style w:type="character" w:customStyle="1" w:styleId="EndNoteBibliographyTitleChar">
    <w:name w:val="EndNote Bibliography Title Char"/>
    <w:basedOn w:val="DefaultParagraphFont"/>
    <w:link w:val="EndNoteBibliographyTitle"/>
    <w:rsid w:val="003623F0"/>
  </w:style>
  <w:style w:type="paragraph" w:customStyle="1" w:styleId="EndNoteBibliography">
    <w:name w:val="EndNote Bibliography"/>
    <w:basedOn w:val="Normal"/>
    <w:link w:val="EndNoteBibliographyChar"/>
    <w:rsid w:val="003623F0"/>
    <w:pPr>
      <w:jc w:val="both"/>
    </w:pPr>
  </w:style>
  <w:style w:type="character" w:customStyle="1" w:styleId="EndNoteBibliographyChar">
    <w:name w:val="EndNote Bibliography Char"/>
    <w:basedOn w:val="DefaultParagraphFont"/>
    <w:link w:val="EndNoteBibliography"/>
    <w:rsid w:val="003623F0"/>
  </w:style>
  <w:style w:type="character" w:styleId="FollowedHyperlink">
    <w:name w:val="FollowedHyperlink"/>
    <w:basedOn w:val="DefaultParagraphFont"/>
    <w:uiPriority w:val="99"/>
    <w:semiHidden/>
    <w:unhideWhenUsed/>
    <w:rsid w:val="002634CA"/>
    <w:rPr>
      <w:color w:val="954F72" w:themeColor="followedHyperlink"/>
      <w:u w:val="single"/>
    </w:rPr>
  </w:style>
  <w:style w:type="character" w:styleId="PlaceholderText">
    <w:name w:val="Placeholder Text"/>
    <w:basedOn w:val="DefaultParagraphFont"/>
    <w:uiPriority w:val="99"/>
    <w:semiHidden/>
    <w:rsid w:val="00E71A4B"/>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Subject">
    <w:name w:val="annotation subject"/>
    <w:basedOn w:val="CommentText"/>
    <w:next w:val="CommentText"/>
    <w:link w:val="CommentSubjectChar"/>
    <w:uiPriority w:val="99"/>
    <w:semiHidden/>
    <w:unhideWhenUsed/>
    <w:rsid w:val="000958F3"/>
    <w:pPr>
      <w:widowControl w:val="0"/>
    </w:pPr>
    <w:rPr>
      <w:rFonts w:eastAsiaTheme="minorEastAsia"/>
      <w:b/>
      <w:bCs/>
      <w:sz w:val="24"/>
      <w:szCs w:val="24"/>
      <w:lang w:val="en-CN" w:eastAsia="zh-CN"/>
    </w:rPr>
  </w:style>
  <w:style w:type="character" w:customStyle="1" w:styleId="CommentSubjectChar">
    <w:name w:val="Comment Subject Char"/>
    <w:basedOn w:val="CommentTextChar"/>
    <w:link w:val="CommentSubject"/>
    <w:uiPriority w:val="99"/>
    <w:semiHidden/>
    <w:rsid w:val="000958F3"/>
    <w:rPr>
      <w:rFonts w:eastAsia="SimSun"/>
      <w:b/>
      <w:bCs/>
      <w:sz w:val="20"/>
      <w:szCs w:val="20"/>
      <w:lang w:val="en-US" w:eastAsia="en-US"/>
    </w:rPr>
  </w:style>
  <w:style w:type="paragraph" w:styleId="HTMLPreformatted">
    <w:name w:val="HTML Preformatted"/>
    <w:basedOn w:val="Normal"/>
    <w:link w:val="HTMLPreformattedChar"/>
    <w:uiPriority w:val="99"/>
    <w:semiHidden/>
    <w:unhideWhenUsed/>
    <w:rsid w:val="005D5A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D5A9F"/>
    <w:rPr>
      <w:rFonts w:ascii="Courier New" w:eastAsia="Times New Roman" w:hAnsi="Courier New" w:cs="Courier New"/>
      <w:sz w:val="20"/>
      <w:szCs w:val="20"/>
    </w:rPr>
  </w:style>
  <w:style w:type="character" w:styleId="HTMLCode">
    <w:name w:val="HTML Code"/>
    <w:basedOn w:val="DefaultParagraphFont"/>
    <w:uiPriority w:val="99"/>
    <w:semiHidden/>
    <w:unhideWhenUsed/>
    <w:rsid w:val="005D5A9F"/>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C12F36"/>
    <w:rPr>
      <w:rFonts w:eastAsia="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meVzrbzlpvrtTG5m+Xb+aLN/w==">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</go:docsCustomData>
</go:gDocsCustomXmlDataStorage>
</file>

<file path=customXml/itemProps1.xml><?xml version="1.0" encoding="utf-8"?>
<ds:datastoreItem xmlns:ds="http://schemas.openxmlformats.org/officeDocument/2006/customXml" ds:itemID="{03A9A8D4-245C-154A-90B6-E61065B25FE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8</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Microsoft Office User</cp:lastModifiedBy>
  <cp:revision>1732</cp:revision>
  <cp:lastPrinted>2026-03-06T02:23:00Z</cp:lastPrinted>
  <dcterms:created xsi:type="dcterms:W3CDTF">2025-12-28T14:08:00Z</dcterms:created>
  <dcterms:modified xsi:type="dcterms:W3CDTF">2026-03-06T04:10:00Z</dcterms:modified>
</cp:coreProperties>
</file>