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07027" w14:textId="77777777" w:rsidR="00E058C7" w:rsidRPr="00E058C7" w:rsidRDefault="00E058C7" w:rsidP="00E058C7">
      <w:pPr>
        <w:pStyle w:val="SOMHead"/>
        <w:spacing w:before="0" w:line="480" w:lineRule="auto"/>
        <w:ind w:rightChars="-216" w:right="-475"/>
        <w:jc w:val="center"/>
        <w:outlineLvl w:val="9"/>
        <w:rPr>
          <w:rFonts w:ascii="SimSun" w:eastAsia="SimSun" w:hAnsi="SimSun" w:cs="SimSun"/>
          <w:sz w:val="28"/>
          <w:szCs w:val="28"/>
          <w:lang w:eastAsia="zh-CN"/>
        </w:rPr>
      </w:pPr>
      <w:r w:rsidRPr="00AF477A">
        <w:rPr>
          <w:sz w:val="28"/>
          <w:szCs w:val="28"/>
        </w:rPr>
        <w:t>Supplementary I</w:t>
      </w:r>
      <w:r w:rsidRPr="00AF477A">
        <w:rPr>
          <w:rFonts w:hint="eastAsia"/>
          <w:sz w:val="28"/>
          <w:szCs w:val="28"/>
          <w:lang w:eastAsia="zh-CN"/>
        </w:rPr>
        <w:t>nformation</w:t>
      </w:r>
      <w:r w:rsidRPr="00AF477A">
        <w:rPr>
          <w:sz w:val="28"/>
          <w:szCs w:val="28"/>
          <w:lang w:eastAsia="zh-CN"/>
        </w:rPr>
        <w:t xml:space="preserve"> </w:t>
      </w:r>
      <w:r w:rsidRPr="00AF477A">
        <w:rPr>
          <w:rFonts w:hint="eastAsia"/>
          <w:sz w:val="28"/>
          <w:szCs w:val="28"/>
          <w:lang w:eastAsia="zh-CN"/>
        </w:rPr>
        <w:t>for</w:t>
      </w:r>
      <w:r w:rsidRPr="00AF477A">
        <w:rPr>
          <w:rFonts w:ascii="SimSun" w:eastAsia="SimSun" w:hAnsi="SimSun" w:cs="SimSun"/>
          <w:sz w:val="28"/>
          <w:szCs w:val="28"/>
          <w:lang w:eastAsia="zh-CN"/>
        </w:rPr>
        <w:t>:</w:t>
      </w:r>
    </w:p>
    <w:p w14:paraId="54FB76D6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4E0AD485" w14:textId="77777777" w:rsidR="00E058C7" w:rsidRPr="00E058C7" w:rsidRDefault="00E058C7" w:rsidP="00E058C7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8C7">
        <w:rPr>
          <w:rFonts w:ascii="Times New Roman" w:hAnsi="Times New Roman" w:cs="Times New Roman"/>
          <w:b/>
          <w:sz w:val="24"/>
          <w:szCs w:val="24"/>
        </w:rPr>
        <w:t>Chebulagic acid limits mTOR activity leading to TFEB-driven autophagy and lysosomal biogenesis to suppress the arecoline-induced NLRP3-mediated inflammasome axis in OSCC</w:t>
      </w:r>
    </w:p>
    <w:p w14:paraId="1087D7EC" w14:textId="77777777" w:rsidR="00E058C7" w:rsidRPr="00E058C7" w:rsidRDefault="00E058C7" w:rsidP="00E058C7">
      <w:pPr>
        <w:pStyle w:val="Paragraph"/>
        <w:spacing w:before="0" w:line="480" w:lineRule="auto"/>
        <w:ind w:rightChars="50" w:right="110" w:firstLine="360"/>
        <w:jc w:val="both"/>
        <w:rPr>
          <w:b/>
          <w:bCs/>
          <w:color w:val="000000" w:themeColor="text1"/>
          <w:sz w:val="22"/>
          <w:szCs w:val="22"/>
        </w:rPr>
      </w:pPr>
      <w:r w:rsidRPr="00D66406">
        <w:rPr>
          <w:b/>
          <w:bCs/>
          <w:color w:val="000000" w:themeColor="text1"/>
          <w:sz w:val="22"/>
          <w:szCs w:val="22"/>
        </w:rPr>
        <w:t>Authors:</w:t>
      </w:r>
    </w:p>
    <w:p w14:paraId="201B301A" w14:textId="77777777" w:rsidR="008A7428" w:rsidRDefault="008A7428" w:rsidP="008A742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Prakash Kumar Senapati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Amruta Singh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Rakesh Kumar Kar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Kewal Kumar Mahapatra</w:t>
      </w:r>
      <w:r>
        <w:rPr>
          <w:rFonts w:ascii="Times New Roman" w:hAnsi="Times New Roman" w:cs="Times New Roman"/>
          <w:sz w:val="24"/>
          <w:szCs w:val="32"/>
          <w:vertAlign w:val="superscript"/>
        </w:rPr>
        <w:t>2</w:t>
      </w:r>
      <w:r>
        <w:rPr>
          <w:rFonts w:ascii="Times New Roman" w:hAnsi="Times New Roman" w:cs="Times New Roman"/>
          <w:sz w:val="24"/>
          <w:szCs w:val="32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Swatilekha Maiti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Mrutyunjay Jena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Sujit Kumar Bhutia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</w:rPr>
        <w:t xml:space="preserve"> *</w:t>
      </w:r>
    </w:p>
    <w:p w14:paraId="4D34511D" w14:textId="77777777" w:rsidR="00E058C7" w:rsidRPr="00C6477E" w:rsidRDefault="00E058C7" w:rsidP="00E058C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6477E">
        <w:rPr>
          <w:rFonts w:ascii="Times New Roman" w:hAnsi="Times New Roman" w:cs="Times New Roman"/>
          <w:sz w:val="24"/>
          <w:szCs w:val="24"/>
        </w:rPr>
        <w:t>Cancer and Cell Death Laboratory, Department of Life Science, National Institute of Technology Rourkela, Rourkela, 769008, Odisha, India</w:t>
      </w:r>
    </w:p>
    <w:p w14:paraId="6B18A837" w14:textId="77777777" w:rsidR="00E058C7" w:rsidRPr="00442686" w:rsidRDefault="00E058C7" w:rsidP="00E058C7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686">
        <w:rPr>
          <w:rFonts w:ascii="Times New Roman" w:hAnsi="Times New Roman" w:cs="Times New Roman"/>
          <w:b/>
          <w:sz w:val="24"/>
          <w:szCs w:val="24"/>
        </w:rPr>
        <w:t>*Corresponding Author</w:t>
      </w:r>
    </w:p>
    <w:p w14:paraId="2BFA284A" w14:textId="77777777" w:rsidR="00E058C7" w:rsidRPr="00442686" w:rsidRDefault="00E058C7" w:rsidP="00E058C7">
      <w:pPr>
        <w:spacing w:line="360" w:lineRule="auto"/>
        <w:ind w:left="360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Sujit Kumar</w:t>
      </w:r>
      <w:r w:rsidRPr="00442686">
        <w:rPr>
          <w:rFonts w:ascii="Times New Roman" w:hAnsi="Times New Roman" w:cs="Times New Roman"/>
          <w:sz w:val="24"/>
          <w:szCs w:val="24"/>
        </w:rPr>
        <w:t xml:space="preserve"> Bhutia, Professor, Department of Life Science, National Institute of Technology Rourkela, Rourkela-769008, Odisha, India, Phone: 91-6612462686, Fax. 91661-2472926, E-mail: sujitb@nitrkl.ac.in, </w:t>
      </w:r>
      <w:hyperlink r:id="rId6" w:history="1">
        <w:r w:rsidRPr="00442686">
          <w:rPr>
            <w:rStyle w:val="Hyperlink"/>
            <w:rFonts w:ascii="Times New Roman" w:hAnsi="Times New Roman" w:cs="Times New Roman"/>
            <w:sz w:val="24"/>
            <w:szCs w:val="24"/>
          </w:rPr>
          <w:t>bhutiask@gmail.com</w:t>
        </w:r>
      </w:hyperlink>
    </w:p>
    <w:p w14:paraId="36E85E59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0B785068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21B1519E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2A94D7D7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2B292AD9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655D9534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5231EBF1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603566A6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7BAFCFEF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22C8F7AA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12D207B5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1E7E6127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7161EA0F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545D39EF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0B8A7209" w14:textId="4354B086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2304D05C" w14:textId="77777777" w:rsidR="008A7428" w:rsidRDefault="008A7428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5945753F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58AFD1A5" w14:textId="77777777" w:rsidR="007E6524" w:rsidRDefault="007E6524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6C0A8606" w14:textId="3E48CB19" w:rsidR="00333816" w:rsidRPr="00CC00AD" w:rsidRDefault="00CC00AD" w:rsidP="00CC00AD">
      <w:pPr>
        <w:pStyle w:val="NormalWeb"/>
        <w:spacing w:before="0" w:beforeAutospacing="0" w:after="0" w:afterAutospacing="0"/>
        <w:rPr>
          <w:b/>
          <w:sz w:val="28"/>
        </w:rPr>
      </w:pPr>
      <w:r w:rsidRPr="00CC00AD">
        <w:rPr>
          <w:b/>
          <w:sz w:val="28"/>
        </w:rPr>
        <w:lastRenderedPageBreak/>
        <w:t>Fig</w:t>
      </w:r>
      <w:r w:rsidR="00080ABD">
        <w:rPr>
          <w:b/>
          <w:sz w:val="28"/>
        </w:rPr>
        <w:t>.</w:t>
      </w:r>
      <w:r w:rsidRPr="00CC00AD">
        <w:rPr>
          <w:b/>
          <w:sz w:val="28"/>
        </w:rPr>
        <w:t xml:space="preserve"> S1</w:t>
      </w:r>
    </w:p>
    <w:p w14:paraId="6AC48146" w14:textId="77777777" w:rsidR="00CC00AD" w:rsidRDefault="007E6524">
      <w:r w:rsidRPr="00CC00AD">
        <w:rPr>
          <w:b/>
          <w:noProof/>
          <w:sz w:val="28"/>
        </w:rPr>
        <w:drawing>
          <wp:anchor distT="0" distB="0" distL="114300" distR="114300" simplePos="0" relativeHeight="251668480" behindDoc="1" locked="0" layoutInCell="1" allowOverlap="1" wp14:anchorId="08F292B1" wp14:editId="413D02D1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6210300" cy="73342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04641" w14:textId="433434D7" w:rsidR="00E058C7" w:rsidRPr="007E6524" w:rsidRDefault="00E058C7" w:rsidP="007E65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8C7">
        <w:rPr>
          <w:rFonts w:ascii="Times New Roman" w:hAnsi="Times New Roman" w:cs="Times New Roman"/>
          <w:b/>
          <w:sz w:val="24"/>
          <w:szCs w:val="24"/>
        </w:rPr>
        <w:t>Fig</w:t>
      </w:r>
      <w:r w:rsidR="00080ABD">
        <w:rPr>
          <w:rFonts w:ascii="Times New Roman" w:hAnsi="Times New Roman" w:cs="Times New Roman"/>
          <w:b/>
          <w:sz w:val="24"/>
          <w:szCs w:val="24"/>
        </w:rPr>
        <w:t>.</w:t>
      </w:r>
      <w:r w:rsidRPr="00E058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0C7C">
        <w:rPr>
          <w:rFonts w:ascii="Times New Roman" w:hAnsi="Times New Roman" w:cs="Times New Roman"/>
          <w:b/>
          <w:sz w:val="24"/>
          <w:szCs w:val="24"/>
        </w:rPr>
        <w:t>S</w:t>
      </w:r>
      <w:r w:rsidRPr="00E058C7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Pr="007E6524">
        <w:rPr>
          <w:rFonts w:ascii="Times New Roman" w:hAnsi="Times New Roman" w:cs="Times New Roman"/>
          <w:sz w:val="24"/>
          <w:szCs w:val="24"/>
        </w:rPr>
        <w:t xml:space="preserve">List of bioactive compounds (µg/g) Present in the various parts of </w:t>
      </w:r>
      <w:r w:rsidRPr="00B70C7C">
        <w:rPr>
          <w:rFonts w:ascii="Times New Roman" w:hAnsi="Times New Roman" w:cs="Times New Roman"/>
          <w:i/>
          <w:sz w:val="24"/>
          <w:szCs w:val="24"/>
        </w:rPr>
        <w:t>Terminalia bellerica</w:t>
      </w:r>
      <w:r w:rsidRPr="007E6524">
        <w:rPr>
          <w:rFonts w:ascii="Times New Roman" w:hAnsi="Times New Roman" w:cs="Times New Roman"/>
          <w:sz w:val="24"/>
          <w:szCs w:val="24"/>
        </w:rPr>
        <w:t xml:space="preserve"> </w:t>
      </w:r>
      <w:r w:rsidR="007E6524" w:rsidRPr="007E6524">
        <w:rPr>
          <w:rFonts w:ascii="Times New Roman" w:hAnsi="Times New Roman" w:cs="Times New Roman"/>
          <w:sz w:val="24"/>
          <w:szCs w:val="24"/>
        </w:rPr>
        <w:t>and their best docking score with the mTOR kinase domain (4JSV-AC chain).</w:t>
      </w:r>
    </w:p>
    <w:p w14:paraId="12B3EDC7" w14:textId="77777777" w:rsidR="00E058C7" w:rsidRDefault="00E058C7">
      <w:pPr>
        <w:rPr>
          <w:rFonts w:ascii="Times New Roman" w:hAnsi="Times New Roman" w:cs="Times New Roman"/>
          <w:b/>
          <w:sz w:val="28"/>
          <w:szCs w:val="24"/>
        </w:rPr>
      </w:pPr>
    </w:p>
    <w:p w14:paraId="1BB5ADAF" w14:textId="44DBFBCA" w:rsidR="00CC00AD" w:rsidRPr="00CC00AD" w:rsidRDefault="00CC00AD">
      <w:pPr>
        <w:rPr>
          <w:rFonts w:ascii="Times New Roman" w:hAnsi="Times New Roman" w:cs="Times New Roman"/>
          <w:b/>
          <w:sz w:val="28"/>
          <w:szCs w:val="24"/>
        </w:rPr>
      </w:pPr>
      <w:r w:rsidRPr="00CC00AD">
        <w:rPr>
          <w:rFonts w:ascii="Times New Roman" w:hAnsi="Times New Roman" w:cs="Times New Roman"/>
          <w:b/>
          <w:sz w:val="28"/>
          <w:szCs w:val="24"/>
        </w:rPr>
        <w:t>Fig</w:t>
      </w:r>
      <w:r w:rsidR="00080ABD">
        <w:rPr>
          <w:rFonts w:ascii="Times New Roman" w:hAnsi="Times New Roman" w:cs="Times New Roman"/>
          <w:b/>
          <w:sz w:val="28"/>
          <w:szCs w:val="24"/>
        </w:rPr>
        <w:t>.</w:t>
      </w:r>
      <w:r w:rsidRPr="00CC00AD">
        <w:rPr>
          <w:rFonts w:ascii="Times New Roman" w:hAnsi="Times New Roman" w:cs="Times New Roman"/>
          <w:b/>
          <w:sz w:val="28"/>
          <w:szCs w:val="24"/>
        </w:rPr>
        <w:t xml:space="preserve"> S2</w:t>
      </w:r>
    </w:p>
    <w:p w14:paraId="23D4C381" w14:textId="77777777" w:rsidR="00842ACF" w:rsidRDefault="00E058C7">
      <w:r>
        <w:rPr>
          <w:noProof/>
        </w:rPr>
        <w:drawing>
          <wp:anchor distT="0" distB="0" distL="114300" distR="114300" simplePos="0" relativeHeight="251669504" behindDoc="1" locked="0" layoutInCell="1" allowOverlap="1" wp14:anchorId="57E21B26" wp14:editId="1838703A">
            <wp:simplePos x="0" y="0"/>
            <wp:positionH relativeFrom="margin">
              <wp:posOffset>-177800</wp:posOffset>
            </wp:positionH>
            <wp:positionV relativeFrom="paragraph">
              <wp:posOffset>128270</wp:posOffset>
            </wp:positionV>
            <wp:extent cx="6545580" cy="4422140"/>
            <wp:effectExtent l="0" t="0" r="7620" b="0"/>
            <wp:wrapTight wrapText="bothSides">
              <wp:wrapPolygon edited="0">
                <wp:start x="1823" y="93"/>
                <wp:lineTo x="1823" y="651"/>
                <wp:lineTo x="2452" y="1768"/>
                <wp:lineTo x="2703" y="1768"/>
                <wp:lineTo x="2200" y="2326"/>
                <wp:lineTo x="2137" y="5676"/>
                <wp:lineTo x="2640" y="6234"/>
                <wp:lineTo x="3080" y="6607"/>
                <wp:lineTo x="3269" y="7723"/>
                <wp:lineTo x="2892" y="8002"/>
                <wp:lineTo x="3080" y="8468"/>
                <wp:lineTo x="12384" y="9212"/>
                <wp:lineTo x="10875" y="10701"/>
                <wp:lineTo x="126" y="10701"/>
                <wp:lineTo x="126" y="11817"/>
                <wp:lineTo x="7795" y="12190"/>
                <wp:lineTo x="1257" y="12283"/>
                <wp:lineTo x="189" y="12469"/>
                <wp:lineTo x="189" y="17214"/>
                <wp:lineTo x="880" y="18145"/>
                <wp:lineTo x="1257" y="19634"/>
                <wp:lineTo x="880" y="20099"/>
                <wp:lineTo x="1257" y="20471"/>
                <wp:lineTo x="8047" y="21122"/>
                <wp:lineTo x="8047" y="21308"/>
                <wp:lineTo x="8361" y="21308"/>
                <wp:lineTo x="8361" y="21122"/>
                <wp:lineTo x="20556" y="20750"/>
                <wp:lineTo x="21374" y="19913"/>
                <wp:lineTo x="20934" y="19634"/>
                <wp:lineTo x="21499" y="18610"/>
                <wp:lineTo x="21562" y="18424"/>
                <wp:lineTo x="21311" y="16470"/>
                <wp:lineTo x="18545" y="15446"/>
                <wp:lineTo x="17665" y="14888"/>
                <wp:lineTo x="15590" y="13678"/>
                <wp:lineTo x="15716" y="12469"/>
                <wp:lineTo x="14899" y="12376"/>
                <wp:lineTo x="19488" y="12003"/>
                <wp:lineTo x="19551" y="11538"/>
                <wp:lineTo x="10813" y="10701"/>
                <wp:lineTo x="13641" y="10422"/>
                <wp:lineTo x="18482" y="9491"/>
                <wp:lineTo x="18545" y="9212"/>
                <wp:lineTo x="18545" y="8188"/>
                <wp:lineTo x="18419" y="7723"/>
                <wp:lineTo x="18733" y="7723"/>
                <wp:lineTo x="18796" y="7165"/>
                <wp:lineTo x="18545" y="6234"/>
                <wp:lineTo x="18608" y="5676"/>
                <wp:lineTo x="16973" y="5118"/>
                <wp:lineTo x="14333" y="4559"/>
                <wp:lineTo x="13830" y="3908"/>
                <wp:lineTo x="13076" y="3257"/>
                <wp:lineTo x="13013" y="1768"/>
                <wp:lineTo x="16785" y="1210"/>
                <wp:lineTo x="16659" y="651"/>
                <wp:lineTo x="2452" y="93"/>
                <wp:lineTo x="1823" y="93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442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CF6CB" w14:textId="77777777" w:rsidR="00E058C7" w:rsidRDefault="00E058C7"/>
    <w:p w14:paraId="6D7495CC" w14:textId="77777777" w:rsidR="00E058C7" w:rsidRDefault="00E058C7"/>
    <w:p w14:paraId="2CA39AF6" w14:textId="77777777" w:rsidR="00842ACF" w:rsidRDefault="00842ACF"/>
    <w:p w14:paraId="1B7C9FEB" w14:textId="77777777" w:rsidR="00842ACF" w:rsidRDefault="00842ACF"/>
    <w:p w14:paraId="170FB7F7" w14:textId="77777777" w:rsidR="00CC00AD" w:rsidRDefault="00CC00AD"/>
    <w:p w14:paraId="51113E0B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1D86187F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3C667436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41851EAC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2AF68B45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4F49A74A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57A397D3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3A04609B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54FAE3D0" w14:textId="3C2F38ED" w:rsidR="00E058C7" w:rsidRDefault="00E058C7" w:rsidP="00E058C7">
      <w:pPr>
        <w:pStyle w:val="ListParagraph"/>
        <w:spacing w:line="360" w:lineRule="auto"/>
        <w:ind w:left="0" w:right="-1" w:firstLine="0"/>
        <w:rPr>
          <w:b w:val="0"/>
          <w:sz w:val="20"/>
          <w:szCs w:val="20"/>
        </w:rPr>
      </w:pPr>
      <w:r>
        <w:rPr>
          <w:sz w:val="20"/>
          <w:szCs w:val="20"/>
        </w:rPr>
        <w:t>Fig</w:t>
      </w:r>
      <w:r w:rsidR="00080ABD">
        <w:rPr>
          <w:sz w:val="20"/>
          <w:szCs w:val="20"/>
        </w:rPr>
        <w:t xml:space="preserve">. </w:t>
      </w:r>
      <w:r w:rsidR="00B70C7C">
        <w:rPr>
          <w:sz w:val="20"/>
          <w:szCs w:val="20"/>
        </w:rPr>
        <w:t>S</w:t>
      </w:r>
      <w:r>
        <w:rPr>
          <w:sz w:val="20"/>
          <w:szCs w:val="20"/>
        </w:rPr>
        <w:t>2: Cell viability assay</w:t>
      </w:r>
      <w:r w:rsidRPr="008439A9">
        <w:rPr>
          <w:sz w:val="20"/>
          <w:szCs w:val="20"/>
        </w:rPr>
        <w:t xml:space="preserve"> of </w:t>
      </w:r>
      <w:r w:rsidRPr="00E058C7">
        <w:rPr>
          <w:b w:val="0"/>
          <w:sz w:val="20"/>
          <w:szCs w:val="20"/>
        </w:rPr>
        <w:t>(a)</w:t>
      </w:r>
      <w:r w:rsidRPr="008439A9">
        <w:rPr>
          <w:sz w:val="20"/>
          <w:szCs w:val="20"/>
        </w:rPr>
        <w:t xml:space="preserve"> </w:t>
      </w:r>
      <w:r w:rsidRPr="004079A8">
        <w:rPr>
          <w:b w:val="0"/>
          <w:sz w:val="20"/>
          <w:szCs w:val="20"/>
        </w:rPr>
        <w:t xml:space="preserve">Quinic acid, (b) Gallic acid, (c) Ellagic acid, (d)Chebulagic acid, and (e) Chebulinic </w:t>
      </w:r>
      <w:r>
        <w:rPr>
          <w:b w:val="0"/>
          <w:sz w:val="20"/>
          <w:szCs w:val="20"/>
        </w:rPr>
        <w:t>acid by</w:t>
      </w:r>
      <w:r w:rsidRPr="004079A8">
        <w:rPr>
          <w:b w:val="0"/>
          <w:sz w:val="20"/>
          <w:szCs w:val="20"/>
        </w:rPr>
        <w:t xml:space="preserve"> using the CAL33 cell line. All data are represented as the mean ± SD of three different experiments. Error bars: ± S.D. ns: not significant, *p &lt; 0.05, **p &lt; 0.01, and ***p &lt; 0.001, ****p &lt; 0.0001.</w:t>
      </w:r>
    </w:p>
    <w:p w14:paraId="380283AC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5382208B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42276424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7C398547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45BAEA95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2EC61E49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0184AD4A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59F8B065" w14:textId="77777777" w:rsidR="00E058C7" w:rsidRDefault="00E058C7" w:rsidP="00CC00AD">
      <w:pPr>
        <w:pStyle w:val="NormalWeb"/>
        <w:spacing w:before="0" w:beforeAutospacing="0" w:after="0" w:afterAutospacing="0"/>
        <w:rPr>
          <w:b/>
          <w:sz w:val="28"/>
        </w:rPr>
      </w:pPr>
    </w:p>
    <w:p w14:paraId="3493FB98" w14:textId="3D6B68FF" w:rsidR="00CC00AD" w:rsidRPr="00CC00AD" w:rsidRDefault="00CC00AD" w:rsidP="00CC00AD">
      <w:pPr>
        <w:pStyle w:val="NormalWeb"/>
        <w:spacing w:before="0" w:beforeAutospacing="0" w:after="0" w:afterAutospacing="0"/>
        <w:rPr>
          <w:b/>
          <w:sz w:val="28"/>
        </w:rPr>
      </w:pPr>
      <w:r w:rsidRPr="00CC00AD">
        <w:rPr>
          <w:b/>
          <w:sz w:val="28"/>
        </w:rPr>
        <w:lastRenderedPageBreak/>
        <w:t>Fig</w:t>
      </w:r>
      <w:r w:rsidR="00080ABD">
        <w:rPr>
          <w:b/>
          <w:sz w:val="28"/>
        </w:rPr>
        <w:t>.</w:t>
      </w:r>
      <w:r w:rsidRPr="00CC00AD">
        <w:rPr>
          <w:b/>
          <w:sz w:val="28"/>
        </w:rPr>
        <w:t xml:space="preserve"> S3</w:t>
      </w:r>
    </w:p>
    <w:p w14:paraId="2C27C08D" w14:textId="77777777" w:rsidR="00842ACF" w:rsidRDefault="00842ACF"/>
    <w:p w14:paraId="0C129BE5" w14:textId="2ACE7A4B" w:rsidR="00842ACF" w:rsidRDefault="00C97C74">
      <w:r>
        <w:rPr>
          <w:noProof/>
        </w:rPr>
        <w:drawing>
          <wp:inline distT="0" distB="0" distL="0" distR="0" wp14:anchorId="3F45BCE3" wp14:editId="48BABC41">
            <wp:extent cx="5982647" cy="51009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99" cy="5115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35C49" w14:textId="77777777" w:rsidR="007E6524" w:rsidRDefault="007E6524"/>
    <w:p w14:paraId="532829EB" w14:textId="51CE241E" w:rsidR="007E6524" w:rsidRDefault="007E6524" w:rsidP="007E6524">
      <w:pPr>
        <w:pStyle w:val="ListParagraph"/>
        <w:spacing w:line="360" w:lineRule="auto"/>
        <w:ind w:left="0" w:right="-1" w:firstLine="0"/>
        <w:rPr>
          <w:b w:val="0"/>
          <w:sz w:val="20"/>
          <w:szCs w:val="20"/>
        </w:rPr>
      </w:pPr>
      <w:r>
        <w:rPr>
          <w:sz w:val="20"/>
          <w:szCs w:val="20"/>
        </w:rPr>
        <w:t>Fi</w:t>
      </w:r>
      <w:r w:rsidR="00080ABD">
        <w:rPr>
          <w:sz w:val="20"/>
          <w:szCs w:val="20"/>
        </w:rPr>
        <w:t>g.</w:t>
      </w:r>
      <w:r>
        <w:rPr>
          <w:sz w:val="20"/>
          <w:szCs w:val="20"/>
        </w:rPr>
        <w:t xml:space="preserve"> </w:t>
      </w:r>
      <w:r w:rsidR="00B70C7C">
        <w:rPr>
          <w:sz w:val="20"/>
          <w:szCs w:val="20"/>
        </w:rPr>
        <w:t>S</w:t>
      </w:r>
      <w:r>
        <w:rPr>
          <w:sz w:val="20"/>
          <w:szCs w:val="20"/>
        </w:rPr>
        <w:t xml:space="preserve">3: </w:t>
      </w:r>
      <w:r w:rsidRPr="007E6524">
        <w:rPr>
          <w:sz w:val="20"/>
          <w:szCs w:val="20"/>
        </w:rPr>
        <w:t>Screening of autophagy and mTOR-inducing potential of selected compounds of Terminalia bellirica.</w:t>
      </w:r>
      <w:r>
        <w:rPr>
          <w:sz w:val="20"/>
          <w:szCs w:val="20"/>
        </w:rPr>
        <w:t xml:space="preserve"> </w:t>
      </w:r>
      <w:r w:rsidR="005E30A3">
        <w:rPr>
          <w:b w:val="0"/>
          <w:sz w:val="20"/>
          <w:szCs w:val="20"/>
        </w:rPr>
        <w:t>(A</w:t>
      </w:r>
      <w:r w:rsidRPr="00E058C7">
        <w:rPr>
          <w:b w:val="0"/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7E6524">
        <w:rPr>
          <w:b w:val="0"/>
          <w:sz w:val="20"/>
          <w:szCs w:val="20"/>
        </w:rPr>
        <w:t>Western blot analysis of LC3 I to LC3 II conversion</w:t>
      </w:r>
      <w:r>
        <w:rPr>
          <w:b w:val="0"/>
          <w:sz w:val="20"/>
          <w:szCs w:val="20"/>
        </w:rPr>
        <w:t xml:space="preserve">, </w:t>
      </w:r>
      <w:r w:rsidR="005E30A3">
        <w:rPr>
          <w:b w:val="0"/>
          <w:sz w:val="20"/>
          <w:szCs w:val="20"/>
        </w:rPr>
        <w:t>(B</w:t>
      </w:r>
      <w:r w:rsidRPr="004079A8">
        <w:rPr>
          <w:b w:val="0"/>
          <w:sz w:val="20"/>
          <w:szCs w:val="20"/>
        </w:rPr>
        <w:t>)</w:t>
      </w:r>
      <w:r>
        <w:rPr>
          <w:b w:val="0"/>
          <w:sz w:val="20"/>
          <w:szCs w:val="20"/>
        </w:rPr>
        <w:t xml:space="preserve"> normalized expression of LC3 turnover, </w:t>
      </w:r>
      <w:r w:rsidR="005E30A3">
        <w:rPr>
          <w:b w:val="0"/>
          <w:sz w:val="20"/>
          <w:szCs w:val="20"/>
        </w:rPr>
        <w:t xml:space="preserve">(C) LC3 puncta analysis, (D) quantification of number of LC3 puncta/cell, </w:t>
      </w:r>
      <w:r>
        <w:rPr>
          <w:b w:val="0"/>
          <w:sz w:val="20"/>
          <w:szCs w:val="20"/>
        </w:rPr>
        <w:t>(</w:t>
      </w:r>
      <w:r w:rsidR="005E30A3">
        <w:rPr>
          <w:b w:val="0"/>
          <w:sz w:val="20"/>
          <w:szCs w:val="20"/>
        </w:rPr>
        <w:t>E</w:t>
      </w:r>
      <w:r>
        <w:rPr>
          <w:b w:val="0"/>
          <w:sz w:val="20"/>
          <w:szCs w:val="20"/>
        </w:rPr>
        <w:t xml:space="preserve">) LysoTracker staining of selected bioactive </w:t>
      </w:r>
      <w:r w:rsidR="005E30A3">
        <w:rPr>
          <w:b w:val="0"/>
          <w:sz w:val="20"/>
          <w:szCs w:val="20"/>
        </w:rPr>
        <w:t>compounds</w:t>
      </w:r>
      <w:r w:rsidRPr="004079A8">
        <w:rPr>
          <w:b w:val="0"/>
          <w:sz w:val="20"/>
          <w:szCs w:val="20"/>
        </w:rPr>
        <w:t xml:space="preserve">, </w:t>
      </w:r>
      <w:r w:rsidR="005E30A3">
        <w:rPr>
          <w:b w:val="0"/>
          <w:sz w:val="20"/>
          <w:szCs w:val="20"/>
        </w:rPr>
        <w:t>and (F) mean LysoTracker fluorescence intensity quantification</w:t>
      </w:r>
      <w:r w:rsidRPr="004079A8">
        <w:rPr>
          <w:b w:val="0"/>
          <w:sz w:val="20"/>
          <w:szCs w:val="20"/>
        </w:rPr>
        <w:t>. All data are represented as the mean ± SD of three different experiments. Error bars: ± S.D. ns: not significant, *p &lt; 0.05, **p &lt; 0.01, and ***p &lt; 0.001, ****p &lt; 0.0001.</w:t>
      </w:r>
    </w:p>
    <w:p w14:paraId="46DD0E90" w14:textId="77777777" w:rsidR="00842ACF" w:rsidRDefault="00842ACF"/>
    <w:p w14:paraId="29847D43" w14:textId="5CA1DA13" w:rsidR="00842ACF" w:rsidRDefault="00842ACF"/>
    <w:p w14:paraId="4837F60D" w14:textId="77777777" w:rsidR="008A7428" w:rsidRDefault="008A7428"/>
    <w:p w14:paraId="5AC629BD" w14:textId="03AFCC63" w:rsidR="00CC00AD" w:rsidRPr="00CC00AD" w:rsidRDefault="00CC00AD" w:rsidP="00CC00AD">
      <w:pPr>
        <w:pStyle w:val="NormalWeb"/>
        <w:spacing w:before="0" w:beforeAutospacing="0" w:after="0" w:afterAutospacing="0"/>
        <w:rPr>
          <w:b/>
          <w:sz w:val="28"/>
        </w:rPr>
      </w:pPr>
      <w:r w:rsidRPr="00CC00AD">
        <w:rPr>
          <w:b/>
          <w:sz w:val="28"/>
        </w:rPr>
        <w:lastRenderedPageBreak/>
        <w:t>Fig</w:t>
      </w:r>
      <w:r w:rsidR="00080ABD">
        <w:rPr>
          <w:b/>
          <w:sz w:val="28"/>
        </w:rPr>
        <w:t>.</w:t>
      </w:r>
      <w:r w:rsidRPr="00CC00AD">
        <w:rPr>
          <w:b/>
          <w:sz w:val="28"/>
        </w:rPr>
        <w:t xml:space="preserve"> S4</w:t>
      </w:r>
    </w:p>
    <w:p w14:paraId="7F3C0C8D" w14:textId="77777777" w:rsidR="00842ACF" w:rsidRDefault="00322007">
      <w:r>
        <w:rPr>
          <w:noProof/>
        </w:rPr>
        <w:drawing>
          <wp:anchor distT="0" distB="0" distL="114300" distR="114300" simplePos="0" relativeHeight="251661312" behindDoc="1" locked="0" layoutInCell="1" allowOverlap="1" wp14:anchorId="7DF12337" wp14:editId="26E0FCAD">
            <wp:simplePos x="0" y="0"/>
            <wp:positionH relativeFrom="margin">
              <wp:posOffset>-256540</wp:posOffset>
            </wp:positionH>
            <wp:positionV relativeFrom="paragraph">
              <wp:posOffset>285750</wp:posOffset>
            </wp:positionV>
            <wp:extent cx="6571272" cy="2207260"/>
            <wp:effectExtent l="0" t="0" r="0" b="0"/>
            <wp:wrapTight wrapText="bothSides">
              <wp:wrapPolygon edited="0">
                <wp:start x="11084" y="559"/>
                <wp:lineTo x="188" y="932"/>
                <wp:lineTo x="125" y="3728"/>
                <wp:lineTo x="939" y="4474"/>
                <wp:lineTo x="188" y="5033"/>
                <wp:lineTo x="188" y="15846"/>
                <wp:lineTo x="1190" y="18829"/>
                <wp:lineTo x="1252" y="19574"/>
                <wp:lineTo x="9456" y="20693"/>
                <wp:lineTo x="15906" y="21066"/>
                <wp:lineTo x="16845" y="21066"/>
                <wp:lineTo x="19788" y="20693"/>
                <wp:lineTo x="21228" y="20133"/>
                <wp:lineTo x="21103" y="18829"/>
                <wp:lineTo x="21416" y="16032"/>
                <wp:lineTo x="21291" y="1864"/>
                <wp:lineTo x="20665" y="1305"/>
                <wp:lineTo x="17847" y="559"/>
                <wp:lineTo x="11084" y="559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72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A75B5" w14:textId="77777777" w:rsidR="00842ACF" w:rsidRDefault="00842ACF"/>
    <w:p w14:paraId="35427D97" w14:textId="77777777" w:rsidR="007E6524" w:rsidRDefault="007E6524" w:rsidP="007E6524">
      <w:pPr>
        <w:pStyle w:val="ListParagraph"/>
        <w:spacing w:line="360" w:lineRule="auto"/>
        <w:ind w:left="0" w:right="-1" w:firstLine="0"/>
        <w:rPr>
          <w:sz w:val="20"/>
          <w:szCs w:val="20"/>
        </w:rPr>
      </w:pPr>
    </w:p>
    <w:p w14:paraId="52D8E5B7" w14:textId="369EC31C" w:rsidR="007E6524" w:rsidRDefault="007E6524" w:rsidP="007E6524">
      <w:pPr>
        <w:pStyle w:val="ListParagraph"/>
        <w:spacing w:line="360" w:lineRule="auto"/>
        <w:ind w:left="0" w:right="-1" w:firstLine="0"/>
        <w:rPr>
          <w:b w:val="0"/>
          <w:sz w:val="20"/>
          <w:szCs w:val="20"/>
        </w:rPr>
      </w:pPr>
      <w:r>
        <w:rPr>
          <w:sz w:val="20"/>
          <w:szCs w:val="20"/>
        </w:rPr>
        <w:t>Fig</w:t>
      </w:r>
      <w:r w:rsidR="00080ABD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B70C7C">
        <w:rPr>
          <w:sz w:val="20"/>
          <w:szCs w:val="20"/>
        </w:rPr>
        <w:t>S</w:t>
      </w:r>
      <w:r>
        <w:rPr>
          <w:sz w:val="20"/>
          <w:szCs w:val="20"/>
        </w:rPr>
        <w:t xml:space="preserve">4: </w:t>
      </w:r>
      <w:r w:rsidRPr="007E6524">
        <w:rPr>
          <w:sz w:val="20"/>
          <w:szCs w:val="20"/>
        </w:rPr>
        <w:t>Normalized expression levels of</w:t>
      </w:r>
      <w:r>
        <w:rPr>
          <w:sz w:val="20"/>
          <w:szCs w:val="20"/>
        </w:rPr>
        <w:t xml:space="preserve"> key autophagy-related proteins </w:t>
      </w:r>
      <w:r w:rsidR="00B70C7C">
        <w:rPr>
          <w:b w:val="0"/>
          <w:sz w:val="20"/>
          <w:szCs w:val="20"/>
        </w:rPr>
        <w:t>(A</w:t>
      </w:r>
      <w:r w:rsidRPr="00E058C7">
        <w:rPr>
          <w:b w:val="0"/>
          <w:sz w:val="20"/>
          <w:szCs w:val="20"/>
        </w:rPr>
        <w:t>)</w:t>
      </w:r>
      <w:r w:rsidRPr="008439A9">
        <w:rPr>
          <w:sz w:val="20"/>
          <w:szCs w:val="20"/>
        </w:rPr>
        <w:t xml:space="preserve"> </w:t>
      </w:r>
      <w:r>
        <w:rPr>
          <w:b w:val="0"/>
          <w:sz w:val="20"/>
          <w:szCs w:val="20"/>
        </w:rPr>
        <w:t>p62</w:t>
      </w:r>
      <w:r w:rsidRPr="004079A8">
        <w:rPr>
          <w:b w:val="0"/>
          <w:sz w:val="20"/>
          <w:szCs w:val="20"/>
        </w:rPr>
        <w:t xml:space="preserve">, (b) </w:t>
      </w:r>
      <w:r>
        <w:rPr>
          <w:b w:val="0"/>
          <w:sz w:val="20"/>
          <w:szCs w:val="20"/>
        </w:rPr>
        <w:t>ATG5</w:t>
      </w:r>
      <w:r w:rsidR="00B70C7C">
        <w:rPr>
          <w:b w:val="0"/>
          <w:sz w:val="20"/>
          <w:szCs w:val="20"/>
        </w:rPr>
        <w:t>, (C</w:t>
      </w:r>
      <w:r w:rsidRPr="004079A8">
        <w:rPr>
          <w:b w:val="0"/>
          <w:sz w:val="20"/>
          <w:szCs w:val="20"/>
        </w:rPr>
        <w:t xml:space="preserve">) </w:t>
      </w:r>
      <w:r>
        <w:rPr>
          <w:b w:val="0"/>
          <w:sz w:val="20"/>
          <w:szCs w:val="20"/>
        </w:rPr>
        <w:t>LC3</w:t>
      </w:r>
      <w:r w:rsidR="00B70C7C">
        <w:rPr>
          <w:b w:val="0"/>
          <w:sz w:val="20"/>
          <w:szCs w:val="20"/>
        </w:rPr>
        <w:t>, (D</w:t>
      </w:r>
      <w:r w:rsidRPr="004079A8">
        <w:rPr>
          <w:b w:val="0"/>
          <w:sz w:val="20"/>
          <w:szCs w:val="20"/>
        </w:rPr>
        <w:t>)</w:t>
      </w:r>
      <w:r>
        <w:rPr>
          <w:b w:val="0"/>
          <w:sz w:val="20"/>
          <w:szCs w:val="20"/>
        </w:rPr>
        <w:t>ULK1</w:t>
      </w:r>
      <w:r w:rsidR="00B70C7C">
        <w:rPr>
          <w:b w:val="0"/>
          <w:sz w:val="20"/>
          <w:szCs w:val="20"/>
        </w:rPr>
        <w:t>, and (E</w:t>
      </w:r>
      <w:r w:rsidRPr="004079A8">
        <w:rPr>
          <w:b w:val="0"/>
          <w:sz w:val="20"/>
          <w:szCs w:val="20"/>
        </w:rPr>
        <w:t xml:space="preserve">) </w:t>
      </w:r>
      <w:r>
        <w:rPr>
          <w:b w:val="0"/>
          <w:sz w:val="20"/>
          <w:szCs w:val="20"/>
        </w:rPr>
        <w:t xml:space="preserve">AMPK.  </w:t>
      </w:r>
      <w:r w:rsidRPr="004079A8">
        <w:rPr>
          <w:b w:val="0"/>
          <w:sz w:val="20"/>
          <w:szCs w:val="20"/>
        </w:rPr>
        <w:t>Error bars: ± S.D. ns: not significant, *p &lt; 0.05, **p &lt; 0.01, and ***p &lt; 0.001, ****p &lt; 0.0001.</w:t>
      </w:r>
    </w:p>
    <w:p w14:paraId="65F191D8" w14:textId="77777777" w:rsidR="00842ACF" w:rsidRDefault="00842ACF"/>
    <w:p w14:paraId="7F74E8AD" w14:textId="77777777" w:rsidR="00842ACF" w:rsidRDefault="00842ACF"/>
    <w:p w14:paraId="430F338D" w14:textId="77777777" w:rsidR="00842ACF" w:rsidRDefault="00842ACF"/>
    <w:p w14:paraId="3939880F" w14:textId="77777777" w:rsidR="00842ACF" w:rsidRDefault="00842ACF"/>
    <w:p w14:paraId="6F256723" w14:textId="77777777" w:rsidR="00842ACF" w:rsidRDefault="00842ACF"/>
    <w:sectPr w:rsidR="00842A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38D4E" w14:textId="77777777" w:rsidR="007F7191" w:rsidRDefault="007F7191" w:rsidP="00CC00AD">
      <w:pPr>
        <w:spacing w:after="0" w:line="240" w:lineRule="auto"/>
      </w:pPr>
      <w:r>
        <w:separator/>
      </w:r>
    </w:p>
  </w:endnote>
  <w:endnote w:type="continuationSeparator" w:id="0">
    <w:p w14:paraId="017DFD45" w14:textId="77777777" w:rsidR="007F7191" w:rsidRDefault="007F7191" w:rsidP="00CC0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19C3B" w14:textId="77777777" w:rsidR="007F7191" w:rsidRDefault="007F7191" w:rsidP="00CC00AD">
      <w:pPr>
        <w:spacing w:after="0" w:line="240" w:lineRule="auto"/>
      </w:pPr>
      <w:r>
        <w:separator/>
      </w:r>
    </w:p>
  </w:footnote>
  <w:footnote w:type="continuationSeparator" w:id="0">
    <w:p w14:paraId="2D3C3724" w14:textId="77777777" w:rsidR="007F7191" w:rsidRDefault="007F7191" w:rsidP="00CC00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4C9"/>
    <w:rsid w:val="00080ABD"/>
    <w:rsid w:val="00125E2C"/>
    <w:rsid w:val="0013216E"/>
    <w:rsid w:val="001944C9"/>
    <w:rsid w:val="00240CFE"/>
    <w:rsid w:val="00270E5D"/>
    <w:rsid w:val="00322007"/>
    <w:rsid w:val="00333816"/>
    <w:rsid w:val="00344D85"/>
    <w:rsid w:val="004036EB"/>
    <w:rsid w:val="00536F12"/>
    <w:rsid w:val="005E30A3"/>
    <w:rsid w:val="007B0AB9"/>
    <w:rsid w:val="007E6524"/>
    <w:rsid w:val="007F7191"/>
    <w:rsid w:val="00842ACF"/>
    <w:rsid w:val="008A7428"/>
    <w:rsid w:val="008B6B6A"/>
    <w:rsid w:val="00944A27"/>
    <w:rsid w:val="009B63CF"/>
    <w:rsid w:val="00B70C7C"/>
    <w:rsid w:val="00C97C74"/>
    <w:rsid w:val="00CC00AD"/>
    <w:rsid w:val="00E058C7"/>
    <w:rsid w:val="00E3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FAB8E"/>
  <w15:chartTrackingRefBased/>
  <w15:docId w15:val="{AB57B884-F6BF-45D8-95DE-C6186F0F4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94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C00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0AD"/>
  </w:style>
  <w:style w:type="paragraph" w:styleId="Footer">
    <w:name w:val="footer"/>
    <w:basedOn w:val="Normal"/>
    <w:link w:val="FooterChar"/>
    <w:uiPriority w:val="99"/>
    <w:unhideWhenUsed/>
    <w:rsid w:val="00CC00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0AD"/>
  </w:style>
  <w:style w:type="character" w:styleId="Hyperlink">
    <w:name w:val="Hyperlink"/>
    <w:basedOn w:val="DefaultParagraphFont"/>
    <w:uiPriority w:val="99"/>
    <w:unhideWhenUsed/>
    <w:rsid w:val="00E058C7"/>
    <w:rPr>
      <w:color w:val="0563C1" w:themeColor="hyperlink"/>
      <w:u w:val="single"/>
    </w:rPr>
  </w:style>
  <w:style w:type="paragraph" w:customStyle="1" w:styleId="SOMHead">
    <w:name w:val="SOMHead"/>
    <w:basedOn w:val="Normal"/>
    <w:rsid w:val="00E058C7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b/>
      <w:kern w:val="28"/>
      <w:sz w:val="24"/>
      <w:szCs w:val="24"/>
    </w:rPr>
  </w:style>
  <w:style w:type="paragraph" w:customStyle="1" w:styleId="Paragraph">
    <w:name w:val="Paragraph"/>
    <w:basedOn w:val="Normal"/>
    <w:rsid w:val="00E058C7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058C7"/>
    <w:pPr>
      <w:spacing w:after="272" w:line="248" w:lineRule="auto"/>
      <w:ind w:left="720" w:hanging="10"/>
      <w:contextualSpacing/>
      <w:jc w:val="both"/>
    </w:pPr>
    <w:rPr>
      <w:rFonts w:ascii="Times New Roman" w:eastAsia="Times New Roman" w:hAnsi="Times New Roman" w:cs="Times New Roman"/>
      <w:b/>
      <w:color w:val="000000"/>
      <w:sz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3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hutiask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523ls2003 (PRAKASHKUMAR SENAPATI)</cp:lastModifiedBy>
  <cp:revision>7</cp:revision>
  <dcterms:created xsi:type="dcterms:W3CDTF">2026-03-05T09:38:00Z</dcterms:created>
  <dcterms:modified xsi:type="dcterms:W3CDTF">2026-03-10T04:26:00Z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da2b6c5d-eaa6-4109-982c-0015f393d2a0</vt:lpwstr>
  </property>
</Properties>
</file>