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EB92C" w14:textId="77777777" w:rsidR="00C12B17" w:rsidRPr="00267769" w:rsidRDefault="00C12B17" w:rsidP="00C12B17">
      <w:pPr>
        <w:spacing w:beforeLines="50" w:before="120" w:afterLines="50" w:after="120"/>
        <w:rPr>
          <w:rFonts w:ascii="Times New Roman" w:hAnsi="Times New Roman" w:cs="Times New Roman"/>
          <w:b/>
          <w:bCs/>
          <w:sz w:val="24"/>
          <w:szCs w:val="32"/>
        </w:rPr>
      </w:pPr>
      <w:r w:rsidRPr="00267769">
        <w:rPr>
          <w:rFonts w:ascii="Times New Roman" w:hAnsi="Times New Roman" w:cs="Times New Roman" w:hint="eastAsia"/>
          <w:b/>
          <w:bCs/>
          <w:sz w:val="24"/>
          <w:szCs w:val="32"/>
        </w:rPr>
        <w:t>Figure Legends</w:t>
      </w:r>
    </w:p>
    <w:p w14:paraId="352289D4" w14:textId="77777777" w:rsidR="00C12B17" w:rsidRPr="00267769" w:rsidRDefault="00C12B17" w:rsidP="00C12B17">
      <w:pPr>
        <w:spacing w:beforeLines="50" w:before="120" w:afterLines="50" w:after="120"/>
        <w:rPr>
          <w:rFonts w:ascii="Times New Roman" w:hAnsi="Times New Roman" w:cs="Times New Roman"/>
          <w:b/>
          <w:bCs/>
        </w:rPr>
      </w:pPr>
      <w:r w:rsidRPr="00267769">
        <w:rPr>
          <w:rFonts w:ascii="Times New Roman" w:hAnsi="Times New Roman" w:cs="Times New Roman" w:hint="eastAsia"/>
          <w:b/>
          <w:bCs/>
        </w:rPr>
        <w:t>Figure 1. The flow chart of this meta-analysis</w:t>
      </w:r>
    </w:p>
    <w:p w14:paraId="090E5061" w14:textId="77777777" w:rsidR="00C12B17" w:rsidRPr="00267769" w:rsidRDefault="00C12B17" w:rsidP="00C12B17">
      <w:pPr>
        <w:spacing w:beforeLines="50" w:before="120" w:afterLines="50" w:after="120"/>
        <w:rPr>
          <w:rFonts w:ascii="Times New Roman" w:hAnsi="Times New Roman" w:cs="Times New Roman"/>
        </w:rPr>
      </w:pPr>
    </w:p>
    <w:p w14:paraId="052E3BDC" w14:textId="77777777" w:rsidR="00C12B17" w:rsidRPr="00267769" w:rsidRDefault="00C12B17" w:rsidP="00C12B17">
      <w:pPr>
        <w:spacing w:beforeLines="50" w:before="120" w:afterLines="50" w:after="120"/>
        <w:rPr>
          <w:rFonts w:ascii="Times New Roman" w:hAnsi="Times New Roman" w:cs="Times New Roman"/>
        </w:rPr>
      </w:pPr>
      <w:r w:rsidRPr="00267769">
        <w:rPr>
          <w:rFonts w:ascii="Times New Roman" w:hAnsi="Times New Roman" w:cs="Times New Roman" w:hint="eastAsia"/>
          <w:b/>
          <w:bCs/>
        </w:rPr>
        <w:t>Legend</w:t>
      </w:r>
      <w:r w:rsidRPr="00267769">
        <w:rPr>
          <w:rFonts w:ascii="Times New Roman" w:hAnsi="Times New Roman" w:cs="Times New Roman" w:hint="eastAsia"/>
        </w:rPr>
        <w:t>: This figure shows the detailed process of this combined meta-analysis. A total of 178938 results were searched and screened, and 45 studies including 18 case-control designed studies and 27 crossover designed studies were eventually considered eligible for the analysis.</w:t>
      </w:r>
    </w:p>
    <w:p w14:paraId="59BB1740" w14:textId="77777777" w:rsidR="00C12B17" w:rsidRPr="00267769" w:rsidRDefault="00C12B17" w:rsidP="00C12B17">
      <w:pPr>
        <w:rPr>
          <w:rFonts w:ascii="Times New Roman" w:hAnsi="Times New Roman" w:cs="Times New Roman"/>
          <w:b/>
          <w:bCs/>
        </w:rPr>
      </w:pPr>
      <w:r w:rsidRPr="00267769">
        <w:rPr>
          <w:rFonts w:ascii="Times New Roman" w:hAnsi="Times New Roman" w:cs="Times New Roman" w:hint="eastAsia"/>
          <w:b/>
          <w:bCs/>
        </w:rPr>
        <w:br w:type="page"/>
      </w:r>
    </w:p>
    <w:p w14:paraId="7977D228" w14:textId="77777777" w:rsidR="00C12B17" w:rsidRPr="00267769" w:rsidRDefault="00C12B17" w:rsidP="00C12B17">
      <w:pPr>
        <w:spacing w:beforeLines="50" w:before="120" w:afterLines="50" w:after="120"/>
        <w:rPr>
          <w:rFonts w:ascii="Times New Roman" w:hAnsi="Times New Roman" w:cs="Times New Roman"/>
          <w:b/>
          <w:bCs/>
        </w:rPr>
      </w:pPr>
      <w:r w:rsidRPr="00267769">
        <w:rPr>
          <w:rFonts w:ascii="Times New Roman" w:hAnsi="Times New Roman" w:cs="Times New Roman" w:hint="eastAsia"/>
          <w:b/>
          <w:bCs/>
        </w:rPr>
        <w:lastRenderedPageBreak/>
        <w:t>Figure 2. Network maps, funnel plots, SUCRA curve, and league tables of disordered sleep on BMI, fasting glucose, TC, and TG released by network meta-analysis.</w:t>
      </w:r>
    </w:p>
    <w:p w14:paraId="04C6358E" w14:textId="77777777" w:rsidR="00C12B17" w:rsidRPr="00267769" w:rsidRDefault="00C12B17" w:rsidP="00C12B17">
      <w:pPr>
        <w:spacing w:beforeLines="50" w:before="120" w:afterLines="50" w:after="120"/>
        <w:rPr>
          <w:rFonts w:ascii="Times New Roman" w:hAnsi="Times New Roman" w:cs="Times New Roman"/>
        </w:rPr>
      </w:pPr>
    </w:p>
    <w:p w14:paraId="43014727" w14:textId="77777777" w:rsidR="00C12B17" w:rsidRPr="00267769" w:rsidRDefault="00C12B17" w:rsidP="00C12B17">
      <w:pPr>
        <w:spacing w:beforeLines="50" w:before="120" w:afterLines="50" w:after="120"/>
        <w:rPr>
          <w:rFonts w:ascii="Times New Roman" w:hAnsi="Times New Roman" w:cs="Times New Roman"/>
        </w:rPr>
      </w:pPr>
      <w:r w:rsidRPr="00267769">
        <w:rPr>
          <w:rFonts w:ascii="Times New Roman" w:hAnsi="Times New Roman" w:cs="Times New Roman" w:hint="eastAsia"/>
          <w:b/>
          <w:bCs/>
        </w:rPr>
        <w:t>Legend</w:t>
      </w:r>
      <w:r w:rsidRPr="00267769">
        <w:rPr>
          <w:rFonts w:ascii="Times New Roman" w:hAnsi="Times New Roman" w:cs="Times New Roman" w:hint="eastAsia"/>
        </w:rPr>
        <w:t>: Mean difference and 95% CI of every individual intervention compared with every other are presented in this figure. The network maps present all interventions with direct comparisons. Size of the blue dots is in accord with the number of participants, and the width of the black line refers to the number of direct comparisons. The funnel plots display the effect estimate on the x-axis against a measure of its precision, that is, the standard error, on the inverted y-axis. Under the null of no bias the cloud should resemble a symmetric inverted funnel, whereas visible asymmetry - missing corners, a skewed tail, or a hollow base - suggests small-study effects such as, and especially, publication bias. Formal tests such as Egger</w:t>
      </w:r>
      <w:r w:rsidRPr="00267769">
        <w:rPr>
          <w:rFonts w:ascii="Times New Roman" w:hAnsi="Times New Roman" w:cs="Times New Roman"/>
        </w:rPr>
        <w:t>’</w:t>
      </w:r>
      <w:r w:rsidRPr="00267769">
        <w:rPr>
          <w:rFonts w:ascii="Times New Roman" w:hAnsi="Times New Roman" w:cs="Times New Roman" w:hint="eastAsia"/>
        </w:rPr>
        <w:t>s test which was used in this combined meta-analysis, can quantify the degree of this departure from symmetry, thus helping judge the robustness of the pooled meta-analytic estimate. The SUCRA graph shows the probability that each intervention is the best option in a network meta-analysis. The SUCRA plot translates the result of a network-meta-analysis (value presented in league tables) into a single 0-1 curve for each intervention. The higher the surface under its curve, the greater the probability that the treatment is the best, second-best, etc., among all competing options, thereby ranking every therapy simultaneously while accounting for the uncertainty in the evidence. The league tables present all head-to-head results of the network meta-analysis, in which some comparisons were highlighted. In the lower triangles, comparisons with statistical significance were marked blue. Comparisons of no significance with a positive mean were marked orange, and those with a negative mean were marked green. In the upper triangles, direct comparisons were marked red, of which pairs with statistical significance were marked yellow. Plot 2a-d: BMI; Plot 2e-h: fasting blood glucose; Plot 2i-l: TC; Plot 2m-p: TG.</w:t>
      </w:r>
    </w:p>
    <w:p w14:paraId="23137059" w14:textId="77777777" w:rsidR="00C12B17" w:rsidRPr="00267769" w:rsidRDefault="00C12B17" w:rsidP="00C12B17">
      <w:pPr>
        <w:spacing w:beforeLines="50" w:before="120" w:afterLines="50" w:after="120"/>
        <w:rPr>
          <w:rFonts w:ascii="Times New Roman" w:hAnsi="Times New Roman" w:cs="Times New Roman"/>
        </w:rPr>
      </w:pPr>
      <w:r w:rsidRPr="00267769">
        <w:rPr>
          <w:rFonts w:ascii="Times New Roman" w:hAnsi="Times New Roman" w:cs="Times New Roman" w:hint="eastAsia"/>
          <w:b/>
          <w:bCs/>
        </w:rPr>
        <w:t>Abbreviations</w:t>
      </w:r>
      <w:r w:rsidRPr="00267769">
        <w:rPr>
          <w:rFonts w:ascii="Times New Roman" w:hAnsi="Times New Roman" w:cs="Times New Roman" w:hint="eastAsia"/>
        </w:rPr>
        <w:t xml:space="preserve">: BMI: body mass index; TC: </w:t>
      </w:r>
      <w:r w:rsidRPr="00267769">
        <w:rPr>
          <w:rFonts w:ascii="Times New Roman" w:hAnsi="Times New Roman" w:cs="Times New Roman"/>
        </w:rPr>
        <w:t>total cholesterol</w:t>
      </w:r>
      <w:r w:rsidRPr="00267769">
        <w:rPr>
          <w:rFonts w:ascii="Times New Roman" w:hAnsi="Times New Roman" w:cs="Times New Roman" w:hint="eastAsia"/>
        </w:rPr>
        <w:t xml:space="preserve">; TG: </w:t>
      </w:r>
      <w:r w:rsidRPr="00267769">
        <w:rPr>
          <w:rFonts w:ascii="Times New Roman" w:hAnsi="Times New Roman" w:cs="Times New Roman"/>
        </w:rPr>
        <w:t>total triglycerides</w:t>
      </w:r>
      <w:r w:rsidRPr="00267769">
        <w:rPr>
          <w:rFonts w:ascii="Times New Roman" w:hAnsi="Times New Roman" w:cs="Times New Roman" w:hint="eastAsia"/>
        </w:rPr>
        <w:t>; CI: credible interval.</w:t>
      </w:r>
    </w:p>
    <w:p w14:paraId="3BC9BD41" w14:textId="77777777" w:rsidR="00C12B17" w:rsidRPr="00267769" w:rsidRDefault="00C12B17" w:rsidP="00C12B17">
      <w:pPr>
        <w:rPr>
          <w:rFonts w:ascii="Times New Roman" w:hAnsi="Times New Roman" w:cs="Times New Roman"/>
          <w:b/>
          <w:bCs/>
        </w:rPr>
      </w:pPr>
      <w:r w:rsidRPr="00267769">
        <w:rPr>
          <w:rFonts w:ascii="Times New Roman" w:hAnsi="Times New Roman" w:cs="Times New Roman" w:hint="eastAsia"/>
          <w:b/>
          <w:bCs/>
        </w:rPr>
        <w:br w:type="page"/>
      </w:r>
    </w:p>
    <w:p w14:paraId="456E45EC" w14:textId="77777777" w:rsidR="00C12B17" w:rsidRPr="00267769" w:rsidRDefault="00C12B17" w:rsidP="00C12B17">
      <w:pPr>
        <w:spacing w:beforeLines="50" w:before="120" w:afterLines="50" w:after="120"/>
        <w:rPr>
          <w:rFonts w:ascii="Times New Roman" w:hAnsi="Times New Roman" w:cs="Times New Roman"/>
          <w:b/>
          <w:bCs/>
        </w:rPr>
      </w:pPr>
      <w:r w:rsidRPr="00267769">
        <w:rPr>
          <w:rFonts w:ascii="Times New Roman" w:hAnsi="Times New Roman" w:cs="Times New Roman" w:hint="eastAsia"/>
          <w:b/>
          <w:bCs/>
        </w:rPr>
        <w:lastRenderedPageBreak/>
        <w:t>Figure 3. Forest plots summarizing results of planar meta-analysis.</w:t>
      </w:r>
    </w:p>
    <w:p w14:paraId="327D4A5F" w14:textId="77777777" w:rsidR="00C12B17" w:rsidRPr="00267769" w:rsidRDefault="00C12B17" w:rsidP="00C12B17">
      <w:pPr>
        <w:spacing w:beforeLines="50" w:before="120" w:afterLines="50" w:after="120"/>
        <w:rPr>
          <w:rFonts w:ascii="Times New Roman" w:hAnsi="Times New Roman" w:cs="Times New Roman"/>
        </w:rPr>
      </w:pPr>
    </w:p>
    <w:p w14:paraId="0B9AFDF9" w14:textId="77777777" w:rsidR="00C12B17" w:rsidRPr="00267769" w:rsidRDefault="00C12B17" w:rsidP="00C12B17">
      <w:pPr>
        <w:spacing w:beforeLines="50" w:before="120" w:afterLines="50" w:after="120"/>
        <w:rPr>
          <w:rFonts w:ascii="Times New Roman" w:hAnsi="Times New Roman" w:cs="Times New Roman"/>
        </w:rPr>
      </w:pPr>
      <w:r w:rsidRPr="00267769">
        <w:rPr>
          <w:rFonts w:ascii="Times New Roman" w:hAnsi="Times New Roman" w:cs="Times New Roman" w:hint="eastAsia"/>
          <w:b/>
          <w:bCs/>
        </w:rPr>
        <w:t>Legend</w:t>
      </w:r>
      <w:r w:rsidRPr="00267769">
        <w:rPr>
          <w:rFonts w:ascii="Times New Roman" w:hAnsi="Times New Roman" w:cs="Times New Roman" w:hint="eastAsia"/>
        </w:rPr>
        <w:t>: The forest plots present mean value, 95% CI, and weight for each included study, while the pooled effect size and heterogeneity (I</w:t>
      </w:r>
      <w:r w:rsidRPr="00267769">
        <w:rPr>
          <w:rFonts w:ascii="Times New Roman" w:hAnsi="Times New Roman" w:cs="Times New Roman" w:hint="eastAsia"/>
          <w:vertAlign w:val="superscript"/>
        </w:rPr>
        <w:t>2</w:t>
      </w:r>
      <w:r w:rsidRPr="00267769">
        <w:rPr>
          <w:rFonts w:ascii="Times New Roman" w:hAnsi="Times New Roman" w:cs="Times New Roman" w:hint="eastAsia"/>
        </w:rPr>
        <w:t>) were also generated. Size of the black diamonds is proportional to the observed effect size, the gray squares represent weight of the trial, and the black lines show the 95% CI. The dark blue hollow diamonds at the bottom of each subgroup represent the polled effect. In this combined meta-analysis, both random effects model and fixed effects model were applied for each analyzing group and sub-group, while only results based on random effects model were presented in forest plots. In this figure, plot a-c refer to case-control designed studies, and plot d-f refer to crossover designed studies. All plots present the overall pooled effects and effects of subgroups divided by observation.</w:t>
      </w:r>
    </w:p>
    <w:p w14:paraId="540DFCAB" w14:textId="77777777" w:rsidR="00C12B17" w:rsidRPr="00267769" w:rsidRDefault="00C12B17" w:rsidP="00C12B17">
      <w:pPr>
        <w:spacing w:beforeLines="50" w:before="120" w:afterLines="50" w:after="120"/>
        <w:rPr>
          <w:rFonts w:ascii="Times New Roman" w:hAnsi="Times New Roman" w:cs="Times New Roman"/>
        </w:rPr>
      </w:pPr>
      <w:r w:rsidRPr="00267769">
        <w:rPr>
          <w:rFonts w:ascii="Times New Roman" w:hAnsi="Times New Roman" w:cs="Times New Roman" w:hint="eastAsia"/>
          <w:b/>
          <w:bCs/>
        </w:rPr>
        <w:t>Abbreviations</w:t>
      </w:r>
      <w:r w:rsidRPr="00267769">
        <w:rPr>
          <w:rFonts w:ascii="Times New Roman" w:hAnsi="Times New Roman" w:cs="Times New Roman" w:hint="eastAsia"/>
        </w:rPr>
        <w:t xml:space="preserve">: CI: confident interval; BMI: body mass index; </w:t>
      </w:r>
      <w:r w:rsidRPr="00267769">
        <w:rPr>
          <w:rFonts w:ascii="Times New Roman" w:hAnsi="Times New Roman" w:cs="Times New Roman"/>
        </w:rPr>
        <w:t>LDL: low-density lipoprotein cholesterol; HDL: high-density lipoprotein cholesterol</w:t>
      </w:r>
      <w:r w:rsidRPr="00267769">
        <w:rPr>
          <w:rFonts w:ascii="Times New Roman" w:hAnsi="Times New Roman" w:cs="Times New Roman" w:hint="eastAsia"/>
        </w:rPr>
        <w:t>.</w:t>
      </w:r>
    </w:p>
    <w:p w14:paraId="37A30357" w14:textId="77777777" w:rsidR="00C12B17" w:rsidRPr="00267769" w:rsidRDefault="00C12B17" w:rsidP="00C12B17">
      <w:pPr>
        <w:rPr>
          <w:rFonts w:ascii="Times New Roman" w:hAnsi="Times New Roman" w:cs="Times New Roman"/>
          <w:b/>
          <w:bCs/>
          <w:sz w:val="24"/>
          <w:szCs w:val="32"/>
        </w:rPr>
      </w:pPr>
      <w:r w:rsidRPr="00267769">
        <w:rPr>
          <w:rFonts w:ascii="Times New Roman" w:hAnsi="Times New Roman" w:cs="Times New Roman"/>
          <w:b/>
          <w:bCs/>
          <w:sz w:val="24"/>
          <w:szCs w:val="32"/>
        </w:rPr>
        <w:br w:type="page"/>
      </w:r>
    </w:p>
    <w:p w14:paraId="45C9AF6D"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17"/>
    <w:rsid w:val="000C4033"/>
    <w:rsid w:val="004B42CB"/>
    <w:rsid w:val="005F2B46"/>
    <w:rsid w:val="0067308E"/>
    <w:rsid w:val="006E1731"/>
    <w:rsid w:val="00B260B7"/>
    <w:rsid w:val="00B85331"/>
    <w:rsid w:val="00C12B17"/>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BEAA1"/>
  <w15:chartTrackingRefBased/>
  <w15:docId w15:val="{B86C2097-CB9D-4CD2-92A3-0C605CEF8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17"/>
    <w:pPr>
      <w:widowControl w:val="0"/>
      <w:spacing w:after="0" w:line="240" w:lineRule="auto"/>
      <w:jc w:val="both"/>
    </w:pPr>
    <w:rPr>
      <w:rFonts w:eastAsiaTheme="minorEastAsia"/>
      <w:sz w:val="21"/>
      <w:lang w:val="en-US" w:eastAsia="zh-CN"/>
      <w14:ligatures w14:val="none"/>
    </w:rPr>
  </w:style>
  <w:style w:type="paragraph" w:styleId="Heading1">
    <w:name w:val="heading 1"/>
    <w:basedOn w:val="Normal"/>
    <w:next w:val="Normal"/>
    <w:link w:val="Heading1Char"/>
    <w:uiPriority w:val="9"/>
    <w:qFormat/>
    <w:rsid w:val="00C12B17"/>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C12B17"/>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C12B17"/>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C12B17"/>
    <w:pPr>
      <w:keepNext/>
      <w:keepLines/>
      <w:widowControl/>
      <w:spacing w:before="80" w:after="40" w:line="278" w:lineRule="auto"/>
      <w:jc w:val="left"/>
      <w:outlineLvl w:val="3"/>
    </w:pPr>
    <w:rPr>
      <w:rFonts w:eastAsiaTheme="majorEastAsia" w:cstheme="majorBidi"/>
      <w:i/>
      <w:iCs/>
      <w:color w:val="0F4761" w:themeColor="accent1" w:themeShade="BF"/>
      <w:sz w:val="24"/>
      <w:lang w:val="en-IN" w:eastAsia="en-US"/>
      <w14:ligatures w14:val="standardContextual"/>
    </w:rPr>
  </w:style>
  <w:style w:type="paragraph" w:styleId="Heading5">
    <w:name w:val="heading 5"/>
    <w:basedOn w:val="Normal"/>
    <w:next w:val="Normal"/>
    <w:link w:val="Heading5Char"/>
    <w:uiPriority w:val="9"/>
    <w:semiHidden/>
    <w:unhideWhenUsed/>
    <w:qFormat/>
    <w:rsid w:val="00C12B17"/>
    <w:pPr>
      <w:keepNext/>
      <w:keepLines/>
      <w:widowControl/>
      <w:spacing w:before="80" w:after="40" w:line="278" w:lineRule="auto"/>
      <w:jc w:val="left"/>
      <w:outlineLvl w:val="4"/>
    </w:pPr>
    <w:rPr>
      <w:rFonts w:eastAsiaTheme="majorEastAsia" w:cstheme="majorBidi"/>
      <w:color w:val="0F4761" w:themeColor="accent1" w:themeShade="BF"/>
      <w:sz w:val="24"/>
      <w:lang w:val="en-IN" w:eastAsia="en-US"/>
      <w14:ligatures w14:val="standardContextual"/>
    </w:rPr>
  </w:style>
  <w:style w:type="paragraph" w:styleId="Heading6">
    <w:name w:val="heading 6"/>
    <w:basedOn w:val="Normal"/>
    <w:next w:val="Normal"/>
    <w:link w:val="Heading6Char"/>
    <w:uiPriority w:val="9"/>
    <w:semiHidden/>
    <w:unhideWhenUsed/>
    <w:qFormat/>
    <w:rsid w:val="00C12B17"/>
    <w:pPr>
      <w:keepNext/>
      <w:keepLines/>
      <w:widowControl/>
      <w:spacing w:before="40" w:line="278" w:lineRule="auto"/>
      <w:jc w:val="left"/>
      <w:outlineLvl w:val="5"/>
    </w:pPr>
    <w:rPr>
      <w:rFonts w:eastAsiaTheme="majorEastAsia" w:cstheme="majorBidi"/>
      <w:i/>
      <w:iCs/>
      <w:color w:val="595959" w:themeColor="text1" w:themeTint="A6"/>
      <w:sz w:val="24"/>
      <w:lang w:val="en-IN" w:eastAsia="en-US"/>
      <w14:ligatures w14:val="standardContextual"/>
    </w:rPr>
  </w:style>
  <w:style w:type="paragraph" w:styleId="Heading7">
    <w:name w:val="heading 7"/>
    <w:basedOn w:val="Normal"/>
    <w:next w:val="Normal"/>
    <w:link w:val="Heading7Char"/>
    <w:uiPriority w:val="9"/>
    <w:semiHidden/>
    <w:unhideWhenUsed/>
    <w:qFormat/>
    <w:rsid w:val="00C12B17"/>
    <w:pPr>
      <w:keepNext/>
      <w:keepLines/>
      <w:widowControl/>
      <w:spacing w:before="40" w:line="278" w:lineRule="auto"/>
      <w:jc w:val="left"/>
      <w:outlineLvl w:val="6"/>
    </w:pPr>
    <w:rPr>
      <w:rFonts w:eastAsiaTheme="majorEastAsia" w:cstheme="majorBidi"/>
      <w:color w:val="595959" w:themeColor="text1" w:themeTint="A6"/>
      <w:sz w:val="24"/>
      <w:lang w:val="en-IN" w:eastAsia="en-US"/>
      <w14:ligatures w14:val="standardContextual"/>
    </w:rPr>
  </w:style>
  <w:style w:type="paragraph" w:styleId="Heading8">
    <w:name w:val="heading 8"/>
    <w:basedOn w:val="Normal"/>
    <w:next w:val="Normal"/>
    <w:link w:val="Heading8Char"/>
    <w:uiPriority w:val="9"/>
    <w:semiHidden/>
    <w:unhideWhenUsed/>
    <w:qFormat/>
    <w:rsid w:val="00C12B17"/>
    <w:pPr>
      <w:keepNext/>
      <w:keepLines/>
      <w:widowControl/>
      <w:spacing w:line="278" w:lineRule="auto"/>
      <w:jc w:val="left"/>
      <w:outlineLvl w:val="7"/>
    </w:pPr>
    <w:rPr>
      <w:rFonts w:eastAsiaTheme="majorEastAsia" w:cstheme="majorBidi"/>
      <w:i/>
      <w:iCs/>
      <w:color w:val="272727" w:themeColor="text1" w:themeTint="D8"/>
      <w:sz w:val="24"/>
      <w:lang w:val="en-IN" w:eastAsia="en-US"/>
      <w14:ligatures w14:val="standardContextual"/>
    </w:rPr>
  </w:style>
  <w:style w:type="paragraph" w:styleId="Heading9">
    <w:name w:val="heading 9"/>
    <w:basedOn w:val="Normal"/>
    <w:next w:val="Normal"/>
    <w:link w:val="Heading9Char"/>
    <w:uiPriority w:val="9"/>
    <w:semiHidden/>
    <w:unhideWhenUsed/>
    <w:qFormat/>
    <w:rsid w:val="00C12B17"/>
    <w:pPr>
      <w:keepNext/>
      <w:keepLines/>
      <w:widowControl/>
      <w:spacing w:line="278" w:lineRule="auto"/>
      <w:jc w:val="left"/>
      <w:outlineLvl w:val="8"/>
    </w:pPr>
    <w:rPr>
      <w:rFonts w:eastAsiaTheme="majorEastAsia" w:cstheme="majorBidi"/>
      <w:color w:val="272727" w:themeColor="text1" w:themeTint="D8"/>
      <w:sz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2B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2B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2B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2B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2B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2B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2B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2B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2B17"/>
    <w:rPr>
      <w:rFonts w:eastAsiaTheme="majorEastAsia" w:cstheme="majorBidi"/>
      <w:color w:val="272727" w:themeColor="text1" w:themeTint="D8"/>
    </w:rPr>
  </w:style>
  <w:style w:type="paragraph" w:styleId="Title">
    <w:name w:val="Title"/>
    <w:basedOn w:val="Normal"/>
    <w:next w:val="Normal"/>
    <w:link w:val="TitleChar"/>
    <w:uiPriority w:val="10"/>
    <w:qFormat/>
    <w:rsid w:val="00C12B17"/>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C12B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2B17"/>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C12B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2B17"/>
    <w:pPr>
      <w:widowControl/>
      <w:spacing w:before="160" w:after="160" w:line="278" w:lineRule="auto"/>
      <w:jc w:val="center"/>
    </w:pPr>
    <w:rPr>
      <w:rFonts w:eastAsiaTheme="minorHAnsi"/>
      <w:i/>
      <w:iCs/>
      <w:color w:val="404040" w:themeColor="text1" w:themeTint="BF"/>
      <w:sz w:val="24"/>
      <w:lang w:val="en-IN" w:eastAsia="en-US"/>
      <w14:ligatures w14:val="standardContextual"/>
    </w:rPr>
  </w:style>
  <w:style w:type="character" w:customStyle="1" w:styleId="QuoteChar">
    <w:name w:val="Quote Char"/>
    <w:basedOn w:val="DefaultParagraphFont"/>
    <w:link w:val="Quote"/>
    <w:uiPriority w:val="29"/>
    <w:rsid w:val="00C12B17"/>
    <w:rPr>
      <w:i/>
      <w:iCs/>
      <w:color w:val="404040" w:themeColor="text1" w:themeTint="BF"/>
    </w:rPr>
  </w:style>
  <w:style w:type="paragraph" w:styleId="ListParagraph">
    <w:name w:val="List Paragraph"/>
    <w:basedOn w:val="Normal"/>
    <w:uiPriority w:val="34"/>
    <w:qFormat/>
    <w:rsid w:val="00C12B17"/>
    <w:pPr>
      <w:widowControl/>
      <w:spacing w:after="160" w:line="278" w:lineRule="auto"/>
      <w:ind w:left="720"/>
      <w:contextualSpacing/>
      <w:jc w:val="left"/>
    </w:pPr>
    <w:rPr>
      <w:rFonts w:eastAsiaTheme="minorHAnsi"/>
      <w:sz w:val="24"/>
      <w:lang w:val="en-IN" w:eastAsia="en-US"/>
      <w14:ligatures w14:val="standardContextual"/>
    </w:rPr>
  </w:style>
  <w:style w:type="character" w:styleId="IntenseEmphasis">
    <w:name w:val="Intense Emphasis"/>
    <w:basedOn w:val="DefaultParagraphFont"/>
    <w:uiPriority w:val="21"/>
    <w:qFormat/>
    <w:rsid w:val="00C12B17"/>
    <w:rPr>
      <w:i/>
      <w:iCs/>
      <w:color w:val="0F4761" w:themeColor="accent1" w:themeShade="BF"/>
    </w:rPr>
  </w:style>
  <w:style w:type="paragraph" w:styleId="IntenseQuote">
    <w:name w:val="Intense Quote"/>
    <w:basedOn w:val="Normal"/>
    <w:next w:val="Normal"/>
    <w:link w:val="IntenseQuoteChar"/>
    <w:uiPriority w:val="30"/>
    <w:qFormat/>
    <w:rsid w:val="00C12B17"/>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val="en-IN" w:eastAsia="en-US"/>
      <w14:ligatures w14:val="standardContextual"/>
    </w:rPr>
  </w:style>
  <w:style w:type="character" w:customStyle="1" w:styleId="IntenseQuoteChar">
    <w:name w:val="Intense Quote Char"/>
    <w:basedOn w:val="DefaultParagraphFont"/>
    <w:link w:val="IntenseQuote"/>
    <w:uiPriority w:val="30"/>
    <w:rsid w:val="00C12B17"/>
    <w:rPr>
      <w:i/>
      <w:iCs/>
      <w:color w:val="0F4761" w:themeColor="accent1" w:themeShade="BF"/>
    </w:rPr>
  </w:style>
  <w:style w:type="character" w:styleId="IntenseReference">
    <w:name w:val="Intense Reference"/>
    <w:basedOn w:val="DefaultParagraphFont"/>
    <w:uiPriority w:val="32"/>
    <w:qFormat/>
    <w:rsid w:val="00C12B1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549</Words>
  <Characters>3081</Characters>
  <Application>Microsoft Office Word</Application>
  <DocSecurity>0</DocSecurity>
  <Lines>90</Lines>
  <Paragraphs>44</Paragraphs>
  <ScaleCrop>false</ScaleCrop>
  <Company/>
  <LinksUpToDate>false</LinksUpToDate>
  <CharactersWithSpaces>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2026-04-08T23:53:00Z</dcterms:created>
  <dcterms:modified xsi:type="dcterms:W3CDTF">2026-04-08T23:53:00Z</dcterms:modified>
</cp:coreProperties>
</file>