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8C4EB"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Supplementary figure</w:t>
      </w:r>
    </w:p>
    <w:p w14:paraId="206748CF" w14:textId="77777777" w:rsidR="00A64416" w:rsidRPr="00EF4A42" w:rsidRDefault="00A64416" w:rsidP="00A64416">
      <w:pPr>
        <w:spacing w:line="480" w:lineRule="auto"/>
        <w:rPr>
          <w:rFonts w:ascii="Times New Roman" w:hAnsi="Times New Roman" w:cs="Times New Roman"/>
          <w:sz w:val="24"/>
          <w:szCs w:val="24"/>
        </w:rPr>
      </w:pPr>
      <w:r w:rsidRPr="00EF4A42">
        <w:rPr>
          <w:rFonts w:ascii="Times New Roman" w:hAnsi="Times New Roman" w:cs="Times New Roman"/>
          <w:noProof/>
          <w:sz w:val="24"/>
          <w:szCs w:val="24"/>
        </w:rPr>
        <w:drawing>
          <wp:inline distT="0" distB="0" distL="0" distR="0" wp14:anchorId="3B228990" wp14:editId="370437A6">
            <wp:extent cx="5760000" cy="455732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4"/>
                    <a:stretch>
                      <a:fillRect/>
                    </a:stretch>
                  </pic:blipFill>
                  <pic:spPr bwMode="auto">
                    <a:xfrm>
                      <a:off x="0" y="0"/>
                      <a:ext cx="5760000" cy="4557327"/>
                    </a:xfrm>
                    <a:prstGeom prst="rect">
                      <a:avLst/>
                    </a:prstGeom>
                    <a:noFill/>
                    <a:ln>
                      <a:noFill/>
                    </a:ln>
                  </pic:spPr>
                </pic:pic>
              </a:graphicData>
            </a:graphic>
          </wp:inline>
        </w:drawing>
      </w:r>
    </w:p>
    <w:p w14:paraId="3560F415"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Fig S1. NRP2 is critical for CHIKV infection.</w:t>
      </w:r>
    </w:p>
    <w:p w14:paraId="63809D06"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a. Relative m</w:t>
      </w:r>
      <w:r w:rsidRPr="00EF4A42">
        <w:rPr>
          <w:rFonts w:ascii="Times New Roman" w:hAnsi="Times New Roman" w:cs="Times New Roman"/>
          <w:color w:val="0F1115"/>
          <w:sz w:val="24"/>
          <w:szCs w:val="24"/>
          <w:shd w:val="clear" w:color="auto" w:fill="FFFFFF"/>
        </w:rPr>
        <w:t>RNA levels of 32 candidate molecules and MXRA8 in HEK-293T, HCT-116, HuH-7, SH-SY5Y, U-2 OS, and U</w:t>
      </w:r>
      <w:r w:rsidRPr="00EF4A42">
        <w:rPr>
          <w:rFonts w:ascii="Times New Roman" w:hAnsi="Times New Roman" w:cs="Times New Roman"/>
          <w:color w:val="0F1115"/>
          <w:sz w:val="24"/>
          <w:szCs w:val="24"/>
          <w:shd w:val="clear" w:color="auto" w:fill="FFFFFF"/>
        </w:rPr>
        <w:noBreakHyphen/>
        <w:t>87 MG cells were measured by RT</w:t>
      </w:r>
      <w:r w:rsidRPr="00EF4A42">
        <w:rPr>
          <w:rFonts w:ascii="Times New Roman" w:hAnsi="Times New Roman" w:cs="Times New Roman"/>
          <w:color w:val="0F1115"/>
          <w:sz w:val="24"/>
          <w:szCs w:val="24"/>
          <w:shd w:val="clear" w:color="auto" w:fill="FFFFFF"/>
        </w:rPr>
        <w:noBreakHyphen/>
        <w:t xml:space="preserve">qPCR. </w:t>
      </w:r>
      <w:r w:rsidRPr="00EF4A42">
        <w:rPr>
          <w:rFonts w:ascii="Times New Roman" w:hAnsi="Times New Roman" w:cs="Times New Roman"/>
          <w:sz w:val="24"/>
          <w:szCs w:val="24"/>
        </w:rPr>
        <w:t>b. Protein levels were analyzed by western blotting with anti-NRP2 and anti-MXRA8 antibodies. GAPDH was used as a loading control. c. SH-SY5Y and U-87 MG cells were transfected with 33 different siRNAs. The knockdown efficiency was</w:t>
      </w:r>
      <w:r w:rsidRPr="00EF4A42" w:rsidDel="00306198">
        <w:rPr>
          <w:rFonts w:ascii="Times New Roman" w:hAnsi="Times New Roman" w:cs="Times New Roman"/>
          <w:sz w:val="24"/>
          <w:szCs w:val="24"/>
        </w:rPr>
        <w:t xml:space="preserve"> </w:t>
      </w:r>
      <w:r w:rsidRPr="00EF4A42">
        <w:rPr>
          <w:rFonts w:ascii="Times New Roman" w:hAnsi="Times New Roman" w:cs="Times New Roman"/>
          <w:sz w:val="24"/>
          <w:szCs w:val="24"/>
        </w:rPr>
        <w:t xml:space="preserve">measured by RT-qPCR. d-e. SH-SY5Y, U-87 MG, HuH-7, and U-2 OS cells were transfected with three distinct siRNAs specifically targeting NRP2 and inoculated with CHIKV. d. CHIKV-positive cells were assessed by IF. e. Representative plaque assay images from </w:t>
      </w:r>
      <w:r w:rsidRPr="00EF4A42">
        <w:rPr>
          <w:rFonts w:ascii="Times New Roman" w:hAnsi="Times New Roman" w:cs="Times New Roman"/>
          <w:sz w:val="24"/>
          <w:szCs w:val="24"/>
        </w:rPr>
        <w:lastRenderedPageBreak/>
        <w:t>Fig 1e. f. Sanger sequencing of NRP2 in WT and KO U-87 MG cells. Sequencing data shows an alignment and individual out-of-frame deletions. g-h. Cell viability of NRP2-knockdown (g) or NRP2-knockout (h) was assessed using the CCK-8 assay.</w:t>
      </w:r>
      <w:bookmarkStart w:id="0" w:name="OLE_LINK46"/>
      <w:r w:rsidRPr="00EF4A42">
        <w:rPr>
          <w:rFonts w:ascii="Times New Roman" w:hAnsi="Times New Roman" w:cs="Times New Roman"/>
          <w:sz w:val="24"/>
          <w:szCs w:val="24"/>
        </w:rPr>
        <w:t xml:space="preserve"> Data are mean ± SD of 3 independent experiments.</w:t>
      </w:r>
      <w:r w:rsidRPr="002A2969">
        <w:rPr>
          <w:rFonts w:ascii="Times New Roman" w:hAnsi="Times New Roman" w:cs="Times New Roman"/>
          <w:color w:val="0F1115"/>
          <w:sz w:val="24"/>
          <w:szCs w:val="24"/>
          <w:shd w:val="clear" w:color="auto" w:fill="FFFFFF"/>
        </w:rPr>
        <w:t xml:space="preserve"> Scale bar: </w:t>
      </w:r>
      <w:r>
        <w:rPr>
          <w:rFonts w:ascii="Times New Roman" w:hAnsi="Times New Roman" w:cs="Times New Roman" w:hint="eastAsia"/>
          <w:color w:val="0F1115"/>
          <w:sz w:val="24"/>
          <w:szCs w:val="24"/>
          <w:shd w:val="clear" w:color="auto" w:fill="FFFFFF"/>
        </w:rPr>
        <w:t>400</w:t>
      </w:r>
      <w:r w:rsidRPr="002A2969">
        <w:rPr>
          <w:rFonts w:ascii="Times New Roman" w:hAnsi="Times New Roman" w:cs="Times New Roman"/>
          <w:color w:val="0F1115"/>
          <w:sz w:val="24"/>
          <w:szCs w:val="24"/>
          <w:shd w:val="clear" w:color="auto" w:fill="FFFFFF"/>
        </w:rPr>
        <w:t xml:space="preserve"> μm.</w:t>
      </w:r>
      <w:r w:rsidRPr="00EF4A42">
        <w:rPr>
          <w:rFonts w:ascii="Times New Roman" w:hAnsi="Times New Roman" w:cs="Times New Roman"/>
          <w:sz w:val="24"/>
          <w:szCs w:val="24"/>
        </w:rPr>
        <w:t xml:space="preserve"> **</w:t>
      </w:r>
      <w:r w:rsidRPr="00EF4A42">
        <w:rPr>
          <w:rFonts w:ascii="Times New Roman" w:hAnsi="Times New Roman" w:cs="Times New Roman"/>
          <w:i/>
          <w:iCs/>
          <w:sz w:val="24"/>
          <w:szCs w:val="24"/>
        </w:rPr>
        <w:t>p</w:t>
      </w:r>
      <w:r w:rsidRPr="00EF4A42">
        <w:rPr>
          <w:rFonts w:ascii="Times New Roman" w:hAnsi="Times New Roman" w:cs="Times New Roman" w:hint="eastAsia"/>
          <w:sz w:val="24"/>
          <w:szCs w:val="24"/>
        </w:rPr>
        <w:t>＜</w:t>
      </w:r>
      <w:r w:rsidRPr="00EF4A42">
        <w:rPr>
          <w:rFonts w:ascii="Times New Roman" w:hAnsi="Times New Roman" w:cs="Times New Roman"/>
          <w:sz w:val="24"/>
          <w:szCs w:val="24"/>
        </w:rPr>
        <w:t>0.01, ***</w:t>
      </w:r>
      <w:r w:rsidRPr="00EF4A42">
        <w:rPr>
          <w:rFonts w:ascii="Times New Roman" w:hAnsi="Times New Roman" w:cs="Times New Roman"/>
          <w:i/>
          <w:iCs/>
          <w:sz w:val="24"/>
          <w:szCs w:val="24"/>
        </w:rPr>
        <w:t>p</w:t>
      </w:r>
      <w:r w:rsidRPr="00EF4A42">
        <w:rPr>
          <w:rFonts w:ascii="Times New Roman" w:hAnsi="Times New Roman" w:cs="Times New Roman" w:hint="eastAsia"/>
          <w:sz w:val="24"/>
          <w:szCs w:val="24"/>
        </w:rPr>
        <w:t>＜</w:t>
      </w:r>
      <w:r w:rsidRPr="00EF4A42">
        <w:rPr>
          <w:rFonts w:ascii="Times New Roman" w:hAnsi="Times New Roman" w:cs="Times New Roman"/>
          <w:sz w:val="24"/>
          <w:szCs w:val="24"/>
        </w:rPr>
        <w:t>0.001.</w:t>
      </w:r>
      <w:bookmarkEnd w:id="0"/>
      <w:r w:rsidRPr="00250FC6">
        <w:rPr>
          <w:rFonts w:ascii="Times New Roman" w:hAnsi="Times New Roman" w:cs="Times New Roman"/>
          <w:kern w:val="0"/>
          <w:sz w:val="24"/>
          <w:szCs w:val="24"/>
        </w:rPr>
        <w:t xml:space="preserve"> </w:t>
      </w:r>
      <w:r w:rsidRPr="00250FC6">
        <w:rPr>
          <w:rFonts w:ascii="Times New Roman" w:hAnsi="Times New Roman" w:cs="Times New Roman"/>
          <w:sz w:val="24"/>
          <w:szCs w:val="24"/>
        </w:rPr>
        <w:t>(by one</w:t>
      </w:r>
      <w:r w:rsidRPr="00250FC6">
        <w:rPr>
          <w:rFonts w:ascii="Times New Roman" w:hAnsi="Times New Roman" w:cs="Times New Roman"/>
          <w:sz w:val="24"/>
          <w:szCs w:val="24"/>
        </w:rPr>
        <w:noBreakHyphen/>
        <w:t>way ANOVA).</w:t>
      </w:r>
    </w:p>
    <w:p w14:paraId="5814CF63" w14:textId="77777777" w:rsidR="00A64416" w:rsidRPr="00EF4A42" w:rsidRDefault="00A64416" w:rsidP="00A64416">
      <w:pPr>
        <w:spacing w:line="480" w:lineRule="auto"/>
        <w:ind w:firstLineChars="200" w:firstLine="480"/>
        <w:rPr>
          <w:rFonts w:ascii="Times New Roman" w:hAnsi="Times New Roman" w:cs="Times New Roman"/>
          <w:sz w:val="24"/>
          <w:szCs w:val="24"/>
        </w:rPr>
      </w:pPr>
    </w:p>
    <w:p w14:paraId="3164EB7F"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noProof/>
          <w:sz w:val="24"/>
          <w:szCs w:val="24"/>
        </w:rPr>
        <w:drawing>
          <wp:inline distT="0" distB="0" distL="0" distR="0" wp14:anchorId="37D7A915" wp14:editId="677E52EF">
            <wp:extent cx="2880000" cy="52025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a:stretch>
                      <a:fillRect/>
                    </a:stretch>
                  </pic:blipFill>
                  <pic:spPr bwMode="auto">
                    <a:xfrm>
                      <a:off x="0" y="0"/>
                      <a:ext cx="2880000" cy="5202580"/>
                    </a:xfrm>
                    <a:prstGeom prst="rect">
                      <a:avLst/>
                    </a:prstGeom>
                    <a:noFill/>
                    <a:ln>
                      <a:noFill/>
                    </a:ln>
                  </pic:spPr>
                </pic:pic>
              </a:graphicData>
            </a:graphic>
          </wp:inline>
        </w:drawing>
      </w:r>
    </w:p>
    <w:p w14:paraId="07AB3B82"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Fig S2. NRP2 facilitates CHIKV entry.</w:t>
      </w:r>
    </w:p>
    <w:p w14:paraId="4F16B1EF"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a. Representative IF images described in Fig 2b.</w:t>
      </w:r>
      <w:r w:rsidRPr="002A2969">
        <w:rPr>
          <w:rFonts w:ascii="Times New Roman" w:hAnsi="Times New Roman" w:cs="Times New Roman"/>
          <w:color w:val="0F1115"/>
          <w:sz w:val="24"/>
          <w:szCs w:val="24"/>
          <w:shd w:val="clear" w:color="auto" w:fill="FFFFFF"/>
        </w:rPr>
        <w:t xml:space="preserve"> Scale bar: </w:t>
      </w:r>
      <w:r>
        <w:rPr>
          <w:rFonts w:ascii="Times New Roman" w:hAnsi="Times New Roman" w:cs="Times New Roman" w:hint="eastAsia"/>
          <w:color w:val="0F1115"/>
          <w:sz w:val="24"/>
          <w:szCs w:val="24"/>
          <w:shd w:val="clear" w:color="auto" w:fill="FFFFFF"/>
        </w:rPr>
        <w:t>400</w:t>
      </w:r>
      <w:r w:rsidRPr="002A2969">
        <w:rPr>
          <w:rFonts w:ascii="Times New Roman" w:hAnsi="Times New Roman" w:cs="Times New Roman"/>
          <w:color w:val="0F1115"/>
          <w:sz w:val="24"/>
          <w:szCs w:val="24"/>
          <w:shd w:val="clear" w:color="auto" w:fill="FFFFFF"/>
        </w:rPr>
        <w:t xml:space="preserve"> μm.</w:t>
      </w:r>
      <w:r w:rsidRPr="00EF4A42">
        <w:rPr>
          <w:rFonts w:ascii="Times New Roman" w:hAnsi="Times New Roman" w:cs="Times New Roman"/>
          <w:sz w:val="24"/>
          <w:szCs w:val="24"/>
        </w:rPr>
        <w:t xml:space="preserve"> b. SH-SY5Y and HuH-7 cells were treated with anti-NRP2 or rabbit IgG antibodies 1h before </w:t>
      </w:r>
      <w:r w:rsidRPr="00EF4A42">
        <w:rPr>
          <w:rFonts w:ascii="Times New Roman" w:hAnsi="Times New Roman" w:cs="Times New Roman"/>
          <w:sz w:val="24"/>
          <w:szCs w:val="24"/>
        </w:rPr>
        <w:lastRenderedPageBreak/>
        <w:t xml:space="preserve">infection with CHIKV (MOI=1). CHIKV-positive cells were determined by IF, and the infection rate data points were fitted using nonlinear regression. c. The effect of NRP2 knockout on CHIKV (MOI=20) binding and internalization in U-87 MG and SH-SY5Y cells and knockdown efficiency were assessed by RT-qPCR. Data were normalized to the siNC control group. d. Co-localization of CHIKV particles (MOI=10) with the NRP2 protein on the plasma membrane of WT and NRP2-knockdown U-87 MG cells was observed by confocal microscopy. NRP2 was stained with a human anti-NRP2-B1 antibody, and CHIKV was stained with a rabbit anti-CHIKV antibody. </w:t>
      </w:r>
      <w:r w:rsidRPr="002A2969">
        <w:rPr>
          <w:rFonts w:ascii="Times New Roman" w:hAnsi="Times New Roman" w:cs="Times New Roman"/>
          <w:color w:val="0F1115"/>
          <w:sz w:val="24"/>
          <w:szCs w:val="24"/>
          <w:shd w:val="clear" w:color="auto" w:fill="FFFFFF"/>
        </w:rPr>
        <w:t xml:space="preserve">Scale bar: </w:t>
      </w:r>
      <w:r>
        <w:rPr>
          <w:rFonts w:ascii="Times New Roman" w:hAnsi="Times New Roman" w:cs="Times New Roman" w:hint="eastAsia"/>
          <w:color w:val="0F1115"/>
          <w:sz w:val="24"/>
          <w:szCs w:val="24"/>
          <w:shd w:val="clear" w:color="auto" w:fill="FFFFFF"/>
        </w:rPr>
        <w:t>10</w:t>
      </w:r>
      <w:r w:rsidRPr="002A2969">
        <w:rPr>
          <w:rFonts w:ascii="Times New Roman" w:hAnsi="Times New Roman" w:cs="Times New Roman"/>
          <w:color w:val="0F1115"/>
          <w:sz w:val="24"/>
          <w:szCs w:val="24"/>
          <w:shd w:val="clear" w:color="auto" w:fill="FFFFFF"/>
        </w:rPr>
        <w:t xml:space="preserve"> μm.</w:t>
      </w:r>
      <w:r>
        <w:rPr>
          <w:rFonts w:ascii="Times New Roman" w:hAnsi="Times New Roman" w:cs="Times New Roman" w:hint="eastAsia"/>
          <w:color w:val="0F1115"/>
          <w:sz w:val="24"/>
          <w:szCs w:val="24"/>
          <w:shd w:val="clear" w:color="auto" w:fill="FFFFFF"/>
        </w:rPr>
        <w:t xml:space="preserve"> </w:t>
      </w:r>
      <w:r>
        <w:rPr>
          <w:rFonts w:ascii="Times New Roman" w:hAnsi="Times New Roman" w:cs="Times New Roman" w:hint="eastAsia"/>
          <w:sz w:val="24"/>
          <w:szCs w:val="24"/>
        </w:rPr>
        <w:t>e</w:t>
      </w:r>
      <w:r w:rsidRPr="00EF4A42">
        <w:rPr>
          <w:rFonts w:ascii="Times New Roman" w:hAnsi="Times New Roman" w:cs="Times New Roman"/>
          <w:sz w:val="24"/>
          <w:szCs w:val="24"/>
        </w:rPr>
        <w:t>. CHIKV virions (MOI=10) binding to the plasma membrane of WT and NRP2-knockdown U-87 MG cells was observed by confocal microscopy. CHIKV was stained with a mouse anti-CHIKV antibody, and the membrane was labeled with a rabbit anti-Na</w:t>
      </w:r>
      <w:r w:rsidRPr="00EF4A42">
        <w:rPr>
          <w:rFonts w:ascii="Times New Roman" w:hAnsi="Times New Roman" w:cs="Times New Roman"/>
          <w:sz w:val="24"/>
          <w:szCs w:val="24"/>
          <w:vertAlign w:val="superscript"/>
        </w:rPr>
        <w:t>+</w:t>
      </w:r>
      <w:r w:rsidRPr="00EF4A42">
        <w:rPr>
          <w:rFonts w:ascii="Times New Roman" w:hAnsi="Times New Roman" w:cs="Times New Roman"/>
          <w:sz w:val="24"/>
          <w:szCs w:val="24"/>
        </w:rPr>
        <w:t>/K</w:t>
      </w:r>
      <w:r w:rsidRPr="00EF4A42">
        <w:rPr>
          <w:rFonts w:ascii="Times New Roman" w:hAnsi="Times New Roman" w:cs="Times New Roman"/>
          <w:sz w:val="24"/>
          <w:szCs w:val="24"/>
          <w:vertAlign w:val="superscript"/>
        </w:rPr>
        <w:t>+</w:t>
      </w:r>
      <w:r w:rsidRPr="00EF4A42">
        <w:rPr>
          <w:rFonts w:ascii="Times New Roman" w:hAnsi="Times New Roman" w:cs="Times New Roman"/>
          <w:sz w:val="24"/>
          <w:szCs w:val="24"/>
        </w:rPr>
        <w:t xml:space="preserve">-ATPase antibody. </w:t>
      </w:r>
      <w:r w:rsidRPr="002A2969">
        <w:rPr>
          <w:rFonts w:ascii="Times New Roman" w:hAnsi="Times New Roman" w:cs="Times New Roman"/>
          <w:color w:val="0F1115"/>
          <w:sz w:val="24"/>
          <w:szCs w:val="24"/>
          <w:shd w:val="clear" w:color="auto" w:fill="FFFFFF"/>
        </w:rPr>
        <w:t xml:space="preserve">Scale bar: </w:t>
      </w:r>
      <w:r>
        <w:rPr>
          <w:rFonts w:ascii="Times New Roman" w:hAnsi="Times New Roman" w:cs="Times New Roman" w:hint="eastAsia"/>
          <w:color w:val="0F1115"/>
          <w:sz w:val="24"/>
          <w:szCs w:val="24"/>
          <w:shd w:val="clear" w:color="auto" w:fill="FFFFFF"/>
        </w:rPr>
        <w:t>10</w:t>
      </w:r>
      <w:r w:rsidRPr="002A2969">
        <w:rPr>
          <w:rFonts w:ascii="Times New Roman" w:hAnsi="Times New Roman" w:cs="Times New Roman"/>
          <w:color w:val="0F1115"/>
          <w:sz w:val="24"/>
          <w:szCs w:val="24"/>
          <w:shd w:val="clear" w:color="auto" w:fill="FFFFFF"/>
        </w:rPr>
        <w:t xml:space="preserve"> μm.</w:t>
      </w:r>
      <w:r>
        <w:rPr>
          <w:rFonts w:ascii="Times New Roman" w:hAnsi="Times New Roman" w:cs="Times New Roman" w:hint="eastAsia"/>
          <w:color w:val="0F1115"/>
          <w:sz w:val="24"/>
          <w:szCs w:val="24"/>
          <w:shd w:val="clear" w:color="auto" w:fill="FFFFFF"/>
        </w:rPr>
        <w:t xml:space="preserve"> </w:t>
      </w:r>
      <w:r w:rsidRPr="00EF4A42">
        <w:rPr>
          <w:rFonts w:ascii="Times New Roman" w:hAnsi="Times New Roman" w:cs="Times New Roman"/>
          <w:sz w:val="24"/>
          <w:szCs w:val="24"/>
        </w:rPr>
        <w:t>Data are mean ± SD of 3 independent experiments. *</w:t>
      </w:r>
      <w:r w:rsidRPr="00EF4A42">
        <w:rPr>
          <w:rFonts w:ascii="Times New Roman" w:hAnsi="Times New Roman" w:cs="Times New Roman"/>
          <w:i/>
          <w:iCs/>
          <w:sz w:val="24"/>
          <w:szCs w:val="24"/>
        </w:rPr>
        <w:t>p</w:t>
      </w:r>
      <w:r w:rsidRPr="00EF4A42">
        <w:rPr>
          <w:rFonts w:ascii="Times New Roman" w:hAnsi="Times New Roman" w:cs="Times New Roman" w:hint="eastAsia"/>
          <w:sz w:val="24"/>
          <w:szCs w:val="24"/>
        </w:rPr>
        <w:t>＜</w:t>
      </w:r>
      <w:r w:rsidRPr="00EF4A42">
        <w:rPr>
          <w:rFonts w:ascii="Times New Roman" w:hAnsi="Times New Roman" w:cs="Times New Roman"/>
          <w:sz w:val="24"/>
          <w:szCs w:val="24"/>
        </w:rPr>
        <w:t>0.05, **</w:t>
      </w:r>
      <w:r w:rsidRPr="00EF4A42">
        <w:rPr>
          <w:rFonts w:ascii="Times New Roman" w:hAnsi="Times New Roman" w:cs="Times New Roman"/>
          <w:i/>
          <w:iCs/>
          <w:sz w:val="24"/>
          <w:szCs w:val="24"/>
        </w:rPr>
        <w:t>p</w:t>
      </w:r>
      <w:r w:rsidRPr="00EF4A42">
        <w:rPr>
          <w:rFonts w:ascii="Times New Roman" w:hAnsi="Times New Roman" w:cs="Times New Roman" w:hint="eastAsia"/>
          <w:sz w:val="24"/>
          <w:szCs w:val="24"/>
        </w:rPr>
        <w:t>＜</w:t>
      </w:r>
      <w:r w:rsidRPr="00EF4A42">
        <w:rPr>
          <w:rFonts w:ascii="Times New Roman" w:hAnsi="Times New Roman" w:cs="Times New Roman"/>
          <w:sz w:val="24"/>
          <w:szCs w:val="24"/>
        </w:rPr>
        <w:t>0.01, ***</w:t>
      </w:r>
      <w:r w:rsidRPr="00EF4A42">
        <w:rPr>
          <w:rFonts w:ascii="Times New Roman" w:hAnsi="Times New Roman" w:cs="Times New Roman"/>
          <w:i/>
          <w:iCs/>
          <w:sz w:val="24"/>
          <w:szCs w:val="24"/>
        </w:rPr>
        <w:t>p</w:t>
      </w:r>
      <w:r w:rsidRPr="00EF4A42">
        <w:rPr>
          <w:rFonts w:ascii="Times New Roman" w:hAnsi="Times New Roman" w:cs="Times New Roman" w:hint="eastAsia"/>
          <w:sz w:val="24"/>
          <w:szCs w:val="24"/>
        </w:rPr>
        <w:t>＜</w:t>
      </w:r>
      <w:r w:rsidRPr="00EF4A42">
        <w:rPr>
          <w:rFonts w:ascii="Times New Roman" w:hAnsi="Times New Roman" w:cs="Times New Roman"/>
          <w:sz w:val="24"/>
          <w:szCs w:val="24"/>
        </w:rPr>
        <w:t>0.001.</w:t>
      </w:r>
      <w:r w:rsidRPr="00250FC6">
        <w:rPr>
          <w:rFonts w:ascii="Times New Roman" w:hAnsi="Times New Roman" w:cs="Times New Roman"/>
          <w:color w:val="0F1115"/>
          <w:kern w:val="0"/>
          <w:sz w:val="24"/>
          <w:szCs w:val="24"/>
          <w:shd w:val="clear" w:color="auto" w:fill="FFFFFF"/>
        </w:rPr>
        <w:t xml:space="preserve"> </w:t>
      </w:r>
      <w:r>
        <w:rPr>
          <w:rFonts w:ascii="Times New Roman" w:hAnsi="Times New Roman" w:cs="Times New Roman" w:hint="eastAsia"/>
          <w:color w:val="0F1115"/>
          <w:kern w:val="0"/>
          <w:sz w:val="24"/>
          <w:szCs w:val="24"/>
          <w:shd w:val="clear" w:color="auto" w:fill="FFFFFF"/>
        </w:rPr>
        <w:t xml:space="preserve">(by </w:t>
      </w:r>
      <w:r w:rsidRPr="00250FC6">
        <w:rPr>
          <w:rFonts w:ascii="Times New Roman" w:hAnsi="Times New Roman" w:cs="Times New Roman"/>
          <w:sz w:val="24"/>
          <w:szCs w:val="24"/>
        </w:rPr>
        <w:t>Student’s t</w:t>
      </w:r>
      <w:r w:rsidRPr="00250FC6">
        <w:rPr>
          <w:rFonts w:ascii="Times New Roman" w:hAnsi="Times New Roman" w:cs="Times New Roman"/>
          <w:sz w:val="24"/>
          <w:szCs w:val="24"/>
        </w:rPr>
        <w:noBreakHyphen/>
        <w:t>test</w:t>
      </w:r>
      <w:r>
        <w:rPr>
          <w:rFonts w:ascii="Times New Roman" w:hAnsi="Times New Roman" w:cs="Times New Roman" w:hint="eastAsia"/>
          <w:sz w:val="24"/>
          <w:szCs w:val="24"/>
        </w:rPr>
        <w:t>).</w:t>
      </w:r>
    </w:p>
    <w:p w14:paraId="34B4F125" w14:textId="77777777" w:rsidR="00A64416" w:rsidRPr="00EF4A42" w:rsidRDefault="00A64416" w:rsidP="00A64416">
      <w:pPr>
        <w:spacing w:line="480" w:lineRule="auto"/>
        <w:ind w:firstLineChars="200" w:firstLine="480"/>
        <w:rPr>
          <w:rFonts w:ascii="Times New Roman" w:hAnsi="Times New Roman" w:cs="Times New Roman"/>
          <w:sz w:val="24"/>
          <w:szCs w:val="24"/>
        </w:rPr>
      </w:pPr>
    </w:p>
    <w:p w14:paraId="1C93F1AF" w14:textId="77777777" w:rsidR="00A64416" w:rsidRPr="00EF4A42" w:rsidRDefault="00A64416" w:rsidP="00A64416">
      <w:pPr>
        <w:spacing w:line="480" w:lineRule="auto"/>
        <w:rPr>
          <w:rFonts w:ascii="Times New Roman" w:hAnsi="Times New Roman" w:cs="Times New Roman"/>
          <w:sz w:val="24"/>
          <w:szCs w:val="24"/>
        </w:rPr>
      </w:pPr>
      <w:r w:rsidRPr="00EF4A42">
        <w:rPr>
          <w:rFonts w:ascii="Times New Roman" w:hAnsi="Times New Roman" w:cs="Times New Roman"/>
          <w:noProof/>
          <w:sz w:val="24"/>
          <w:szCs w:val="24"/>
        </w:rPr>
        <w:lastRenderedPageBreak/>
        <w:drawing>
          <wp:inline distT="0" distB="0" distL="0" distR="0" wp14:anchorId="74407F86" wp14:editId="69693CAD">
            <wp:extent cx="2880000" cy="4886293"/>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stretch>
                      <a:fillRect/>
                    </a:stretch>
                  </pic:blipFill>
                  <pic:spPr bwMode="auto">
                    <a:xfrm>
                      <a:off x="0" y="0"/>
                      <a:ext cx="2880000" cy="4886293"/>
                    </a:xfrm>
                    <a:prstGeom prst="rect">
                      <a:avLst/>
                    </a:prstGeom>
                    <a:noFill/>
                    <a:ln>
                      <a:noFill/>
                    </a:ln>
                  </pic:spPr>
                </pic:pic>
              </a:graphicData>
            </a:graphic>
          </wp:inline>
        </w:drawing>
      </w:r>
    </w:p>
    <w:p w14:paraId="72AB86DC"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Fig S3. Mapping the Intracellular NRP2-CHIKV E2 Interaction to the A2-B1-B2 Domains.</w:t>
      </w:r>
    </w:p>
    <w:p w14:paraId="3961A048"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 xml:space="preserve">a. SDS-PAGE of purified NRP2-Fc. b. Sensograms of NRP2-Fc binding to CHIKV virus-like particles. c. Representative IF images described in Fig 3e. d-i. HEK293T cells were co-transfected with plasmids encoding his-tagged E2 and flag-tagged A (d), B (e), A1 (f), A2 (g), B1 (h), or B2 (i) for 48 h. Cell lysates were subjected to immunoprecipitation (IP) using anti-flag or anti-his antibodies, followed by immunoblotting (IB) with rabbit anti-flag or anti-CHIKV E2 antibodies. j. HCT116 cells overexpressing vector control, flag-tagged </w:t>
      </w:r>
      <w:r w:rsidRPr="00EF4A42">
        <w:rPr>
          <w:rFonts w:ascii="Times New Roman" w:hAnsi="Times New Roman" w:cs="Times New Roman" w:hint="eastAsia"/>
          <w:sz w:val="24"/>
          <w:szCs w:val="24"/>
        </w:rPr>
        <w:t>Δ</w:t>
      </w:r>
      <w:r w:rsidRPr="00EF4A42">
        <w:rPr>
          <w:rFonts w:ascii="Times New Roman" w:hAnsi="Times New Roman" w:cs="Times New Roman"/>
          <w:sz w:val="24"/>
          <w:szCs w:val="24"/>
        </w:rPr>
        <w:t xml:space="preserve">A1 truncations were infected with CHIKV and analyzed by western blotting. k-m. HCT116 cells overexpressing vector </w:t>
      </w:r>
      <w:r w:rsidRPr="00EF4A42">
        <w:rPr>
          <w:rFonts w:ascii="Times New Roman" w:hAnsi="Times New Roman" w:cs="Times New Roman"/>
          <w:sz w:val="24"/>
          <w:szCs w:val="24"/>
        </w:rPr>
        <w:lastRenderedPageBreak/>
        <w:t xml:space="preserve">control, flag-tagged full-length NRP2, or the NRP2 truncations described in Fig 3g were infected with CHIKV. The infection rate (k), CHIKV RNA levels (l), </w:t>
      </w:r>
      <w:bookmarkStart w:id="1" w:name="OLE_LINK32"/>
      <w:r w:rsidRPr="00EF4A42">
        <w:rPr>
          <w:rFonts w:ascii="Times New Roman" w:hAnsi="Times New Roman" w:cs="Times New Roman"/>
          <w:sz w:val="24"/>
          <w:szCs w:val="24"/>
        </w:rPr>
        <w:t>and viral titers in supernatants (m) were measured by IF, RT-qPCR, or plaque assay.</w:t>
      </w:r>
      <w:bookmarkEnd w:id="1"/>
      <w:r w:rsidRPr="00EF4A42">
        <w:rPr>
          <w:rFonts w:ascii="Times New Roman" w:hAnsi="Times New Roman" w:cs="Times New Roman"/>
          <w:sz w:val="24"/>
          <w:szCs w:val="24"/>
        </w:rPr>
        <w:t xml:space="preserve"> n-o. HCT116 cells were transfected with either an empty vector control, full-length flag-tagged NRP2, or flag-tagged </w:t>
      </w:r>
      <w:bookmarkStart w:id="2" w:name="OLE_LINK30"/>
      <w:r w:rsidRPr="00EF4A42">
        <w:rPr>
          <w:rFonts w:ascii="Times New Roman" w:hAnsi="Times New Roman" w:cs="Times New Roman"/>
          <w:sz w:val="24"/>
          <w:szCs w:val="24"/>
        </w:rPr>
        <w:t>NRP2 carrying the mutated key amino acids</w:t>
      </w:r>
      <w:bookmarkEnd w:id="2"/>
      <w:r w:rsidRPr="00EF4A42">
        <w:rPr>
          <w:rFonts w:ascii="Times New Roman" w:hAnsi="Times New Roman" w:cs="Times New Roman"/>
          <w:sz w:val="24"/>
          <w:szCs w:val="24"/>
        </w:rPr>
        <w:t xml:space="preserve"> and inoculated with CHIKV. CHIKV RNA levels of binding and internalization (n) </w:t>
      </w:r>
      <w:bookmarkStart w:id="3" w:name="OLE_LINK37"/>
      <w:r w:rsidRPr="00EF4A42">
        <w:rPr>
          <w:rFonts w:ascii="Times New Roman" w:hAnsi="Times New Roman" w:cs="Times New Roman"/>
          <w:sz w:val="24"/>
          <w:szCs w:val="24"/>
        </w:rPr>
        <w:t>and viral titers in supernatants (o) were assessed.</w:t>
      </w:r>
      <w:bookmarkEnd w:id="3"/>
      <w:r w:rsidRPr="00EF4A42">
        <w:rPr>
          <w:rFonts w:ascii="Times New Roman" w:hAnsi="Times New Roman" w:cs="Times New Roman"/>
          <w:sz w:val="24"/>
          <w:szCs w:val="24"/>
        </w:rPr>
        <w:t xml:space="preserve"> </w:t>
      </w:r>
      <w:r w:rsidRPr="002A2969">
        <w:rPr>
          <w:rFonts w:ascii="Times New Roman" w:hAnsi="Times New Roman" w:cs="Times New Roman"/>
          <w:color w:val="0F1115"/>
          <w:sz w:val="24"/>
          <w:szCs w:val="24"/>
          <w:shd w:val="clear" w:color="auto" w:fill="FFFFFF"/>
        </w:rPr>
        <w:t xml:space="preserve">Scale bar: </w:t>
      </w:r>
      <w:r>
        <w:rPr>
          <w:rFonts w:ascii="Times New Roman" w:hAnsi="Times New Roman" w:cs="Times New Roman" w:hint="eastAsia"/>
          <w:color w:val="0F1115"/>
          <w:sz w:val="24"/>
          <w:szCs w:val="24"/>
          <w:shd w:val="clear" w:color="auto" w:fill="FFFFFF"/>
        </w:rPr>
        <w:t>400</w:t>
      </w:r>
      <w:r w:rsidRPr="002A2969">
        <w:rPr>
          <w:rFonts w:ascii="Times New Roman" w:hAnsi="Times New Roman" w:cs="Times New Roman"/>
          <w:color w:val="0F1115"/>
          <w:sz w:val="24"/>
          <w:szCs w:val="24"/>
          <w:shd w:val="clear" w:color="auto" w:fill="FFFFFF"/>
        </w:rPr>
        <w:t xml:space="preserve"> μm.</w:t>
      </w:r>
      <w:r>
        <w:rPr>
          <w:rFonts w:ascii="Times New Roman" w:hAnsi="Times New Roman" w:cs="Times New Roman" w:hint="eastAsia"/>
          <w:color w:val="0F1115"/>
          <w:sz w:val="24"/>
          <w:szCs w:val="24"/>
          <w:shd w:val="clear" w:color="auto" w:fill="FFFFFF"/>
        </w:rPr>
        <w:t xml:space="preserve"> </w:t>
      </w:r>
      <w:r w:rsidRPr="00EF4A42">
        <w:rPr>
          <w:rFonts w:ascii="Times New Roman" w:hAnsi="Times New Roman" w:cs="Times New Roman"/>
          <w:sz w:val="24"/>
          <w:szCs w:val="24"/>
        </w:rPr>
        <w:t>Data are mean ± SD of 3 independent experiments.</w:t>
      </w:r>
      <w:r w:rsidRPr="00250FC6">
        <w:rPr>
          <w:rFonts w:ascii="Times New Roman" w:hAnsi="Times New Roman" w:cs="Times New Roman"/>
          <w:kern w:val="0"/>
          <w:sz w:val="24"/>
          <w:szCs w:val="24"/>
        </w:rPr>
        <w:t xml:space="preserve"> </w:t>
      </w:r>
      <w:r w:rsidRPr="00250FC6">
        <w:rPr>
          <w:rFonts w:ascii="Times New Roman" w:hAnsi="Times New Roman" w:cs="Times New Roman"/>
          <w:sz w:val="24"/>
          <w:szCs w:val="24"/>
        </w:rPr>
        <w:t>*</w:t>
      </w:r>
      <w:r w:rsidRPr="00250FC6">
        <w:rPr>
          <w:rFonts w:ascii="Times New Roman" w:hAnsi="Times New Roman" w:cs="Times New Roman"/>
          <w:i/>
          <w:iCs/>
          <w:sz w:val="24"/>
          <w:szCs w:val="24"/>
        </w:rPr>
        <w:t>p</w:t>
      </w:r>
      <w:r w:rsidRPr="00250FC6">
        <w:rPr>
          <w:rFonts w:ascii="Times New Roman" w:hAnsi="Times New Roman" w:cs="Times New Roman" w:hint="eastAsia"/>
          <w:sz w:val="24"/>
          <w:szCs w:val="24"/>
        </w:rPr>
        <w:t>＜</w:t>
      </w:r>
      <w:r w:rsidRPr="00250FC6">
        <w:rPr>
          <w:rFonts w:ascii="Times New Roman" w:hAnsi="Times New Roman" w:cs="Times New Roman"/>
          <w:sz w:val="24"/>
          <w:szCs w:val="24"/>
        </w:rPr>
        <w:t>0.0</w:t>
      </w:r>
      <w:r>
        <w:rPr>
          <w:rFonts w:ascii="Times New Roman" w:hAnsi="Times New Roman" w:cs="Times New Roman" w:hint="eastAsia"/>
          <w:sz w:val="24"/>
          <w:szCs w:val="24"/>
        </w:rPr>
        <w:t xml:space="preserve">5, </w:t>
      </w:r>
      <w:bookmarkStart w:id="4" w:name="OLE_LINK33"/>
      <w:r w:rsidRPr="00250FC6">
        <w:rPr>
          <w:rFonts w:ascii="Times New Roman" w:hAnsi="Times New Roman" w:cs="Times New Roman"/>
          <w:sz w:val="24"/>
          <w:szCs w:val="24"/>
        </w:rPr>
        <w:t>**</w:t>
      </w:r>
      <w:r w:rsidRPr="00250FC6">
        <w:rPr>
          <w:rFonts w:ascii="Times New Roman" w:hAnsi="Times New Roman" w:cs="Times New Roman"/>
          <w:i/>
          <w:iCs/>
          <w:sz w:val="24"/>
          <w:szCs w:val="24"/>
        </w:rPr>
        <w:t>p</w:t>
      </w:r>
      <w:r w:rsidRPr="00250FC6">
        <w:rPr>
          <w:rFonts w:ascii="Times New Roman" w:hAnsi="Times New Roman" w:cs="Times New Roman" w:hint="eastAsia"/>
          <w:sz w:val="24"/>
          <w:szCs w:val="24"/>
        </w:rPr>
        <w:t>＜</w:t>
      </w:r>
      <w:r w:rsidRPr="00250FC6">
        <w:rPr>
          <w:rFonts w:ascii="Times New Roman" w:hAnsi="Times New Roman" w:cs="Times New Roman"/>
          <w:sz w:val="24"/>
          <w:szCs w:val="24"/>
        </w:rPr>
        <w:t>0.01</w:t>
      </w:r>
      <w:r>
        <w:rPr>
          <w:rFonts w:ascii="Times New Roman" w:hAnsi="Times New Roman" w:cs="Times New Roman" w:hint="eastAsia"/>
          <w:sz w:val="24"/>
          <w:szCs w:val="24"/>
        </w:rPr>
        <w:t xml:space="preserve">, </w:t>
      </w:r>
      <w:r w:rsidRPr="00250FC6">
        <w:rPr>
          <w:rFonts w:ascii="Times New Roman" w:hAnsi="Times New Roman" w:cs="Times New Roman"/>
          <w:sz w:val="24"/>
          <w:szCs w:val="24"/>
        </w:rPr>
        <w:t>***</w:t>
      </w:r>
      <w:r w:rsidRPr="00250FC6">
        <w:rPr>
          <w:rFonts w:ascii="Times New Roman" w:hAnsi="Times New Roman" w:cs="Times New Roman"/>
          <w:i/>
          <w:iCs/>
          <w:sz w:val="24"/>
          <w:szCs w:val="24"/>
        </w:rPr>
        <w:t>p</w:t>
      </w:r>
      <w:r w:rsidRPr="00250FC6">
        <w:rPr>
          <w:rFonts w:ascii="Times New Roman" w:hAnsi="Times New Roman" w:cs="Times New Roman" w:hint="eastAsia"/>
          <w:sz w:val="24"/>
          <w:szCs w:val="24"/>
        </w:rPr>
        <w:t>＜</w:t>
      </w:r>
      <w:r w:rsidRPr="00250FC6">
        <w:rPr>
          <w:rFonts w:ascii="Times New Roman" w:hAnsi="Times New Roman" w:cs="Times New Roman"/>
          <w:sz w:val="24"/>
          <w:szCs w:val="24"/>
        </w:rPr>
        <w:t>0.001</w:t>
      </w:r>
      <w:r>
        <w:rPr>
          <w:rFonts w:ascii="Times New Roman" w:hAnsi="Times New Roman" w:cs="Times New Roman" w:hint="eastAsia"/>
          <w:sz w:val="24"/>
          <w:szCs w:val="24"/>
        </w:rPr>
        <w:t xml:space="preserve">, </w:t>
      </w:r>
      <w:r w:rsidRPr="00250FC6">
        <w:rPr>
          <w:rFonts w:ascii="Times New Roman" w:hAnsi="Times New Roman" w:cs="Times New Roman"/>
          <w:sz w:val="24"/>
          <w:szCs w:val="24"/>
        </w:rPr>
        <w:t>****</w:t>
      </w:r>
      <w:r w:rsidRPr="00250FC6">
        <w:rPr>
          <w:rFonts w:ascii="Times New Roman" w:hAnsi="Times New Roman" w:cs="Times New Roman"/>
          <w:i/>
          <w:iCs/>
          <w:sz w:val="24"/>
          <w:szCs w:val="24"/>
        </w:rPr>
        <w:t>p</w:t>
      </w:r>
      <w:r w:rsidRPr="00250FC6">
        <w:rPr>
          <w:rFonts w:ascii="Times New Roman" w:hAnsi="Times New Roman" w:cs="Times New Roman" w:hint="eastAsia"/>
          <w:sz w:val="24"/>
          <w:szCs w:val="24"/>
        </w:rPr>
        <w:t>＜</w:t>
      </w:r>
      <w:r w:rsidRPr="00250FC6">
        <w:rPr>
          <w:rFonts w:ascii="Times New Roman" w:hAnsi="Times New Roman" w:cs="Times New Roman"/>
          <w:sz w:val="24"/>
          <w:szCs w:val="24"/>
        </w:rPr>
        <w:t>0.0001. (by one</w:t>
      </w:r>
      <w:r w:rsidRPr="00250FC6">
        <w:rPr>
          <w:rFonts w:ascii="Times New Roman" w:hAnsi="Times New Roman" w:cs="Times New Roman"/>
          <w:sz w:val="24"/>
          <w:szCs w:val="24"/>
        </w:rPr>
        <w:noBreakHyphen/>
        <w:t>way ANOVA).</w:t>
      </w:r>
      <w:bookmarkEnd w:id="4"/>
    </w:p>
    <w:p w14:paraId="714EB575" w14:textId="77777777" w:rsidR="00A64416" w:rsidRPr="00EF4A42" w:rsidRDefault="00A64416" w:rsidP="00A64416">
      <w:pPr>
        <w:spacing w:line="480" w:lineRule="auto"/>
        <w:ind w:firstLineChars="200" w:firstLine="480"/>
        <w:rPr>
          <w:rFonts w:ascii="Times New Roman" w:hAnsi="Times New Roman" w:cs="Times New Roman"/>
          <w:sz w:val="24"/>
          <w:szCs w:val="24"/>
        </w:rPr>
      </w:pPr>
    </w:p>
    <w:p w14:paraId="73943865"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noProof/>
          <w:sz w:val="24"/>
          <w:szCs w:val="24"/>
        </w:rPr>
        <w:drawing>
          <wp:inline distT="0" distB="0" distL="0" distR="0" wp14:anchorId="0549A293" wp14:editId="74EEA030">
            <wp:extent cx="2880000" cy="3076867"/>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7"/>
                    <a:stretch>
                      <a:fillRect/>
                    </a:stretch>
                  </pic:blipFill>
                  <pic:spPr bwMode="auto">
                    <a:xfrm>
                      <a:off x="0" y="0"/>
                      <a:ext cx="2880000" cy="3076867"/>
                    </a:xfrm>
                    <a:prstGeom prst="rect">
                      <a:avLst/>
                    </a:prstGeom>
                    <a:noFill/>
                    <a:ln>
                      <a:noFill/>
                    </a:ln>
                  </pic:spPr>
                </pic:pic>
              </a:graphicData>
            </a:graphic>
          </wp:inline>
        </w:drawing>
      </w:r>
    </w:p>
    <w:p w14:paraId="1844744E"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Fig S4. NRP2 and MXRA8 play independent roles during CHIKV infection.</w:t>
      </w:r>
    </w:p>
    <w:p w14:paraId="152E8052"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a. Representative fluorescence images described in Fig 4a. b. Representative fluorescence images described in Fig 4d. c. Representative fluorescence images described in Fig 4e. Data are mean ± SD of 3 independent experiments.</w:t>
      </w:r>
      <w:r>
        <w:rPr>
          <w:rFonts w:ascii="Times New Roman" w:hAnsi="Times New Roman" w:cs="Times New Roman" w:hint="eastAsia"/>
          <w:sz w:val="24"/>
          <w:szCs w:val="24"/>
        </w:rPr>
        <w:t xml:space="preserve"> </w:t>
      </w:r>
      <w:r w:rsidRPr="002A2969">
        <w:rPr>
          <w:rFonts w:ascii="Times New Roman" w:hAnsi="Times New Roman" w:cs="Times New Roman"/>
          <w:color w:val="0F1115"/>
          <w:sz w:val="24"/>
          <w:szCs w:val="24"/>
          <w:shd w:val="clear" w:color="auto" w:fill="FFFFFF"/>
        </w:rPr>
        <w:t xml:space="preserve">Scale bar: </w:t>
      </w:r>
      <w:r>
        <w:rPr>
          <w:rFonts w:ascii="Times New Roman" w:hAnsi="Times New Roman" w:cs="Times New Roman" w:hint="eastAsia"/>
          <w:color w:val="0F1115"/>
          <w:sz w:val="24"/>
          <w:szCs w:val="24"/>
          <w:shd w:val="clear" w:color="auto" w:fill="FFFFFF"/>
        </w:rPr>
        <w:t>400</w:t>
      </w:r>
      <w:r w:rsidRPr="002A2969">
        <w:rPr>
          <w:rFonts w:ascii="Times New Roman" w:hAnsi="Times New Roman" w:cs="Times New Roman"/>
          <w:color w:val="0F1115"/>
          <w:sz w:val="24"/>
          <w:szCs w:val="24"/>
          <w:shd w:val="clear" w:color="auto" w:fill="FFFFFF"/>
        </w:rPr>
        <w:t xml:space="preserve"> </w:t>
      </w:r>
      <w:r w:rsidRPr="002A2969">
        <w:rPr>
          <w:rFonts w:ascii="Times New Roman" w:hAnsi="Times New Roman" w:cs="Times New Roman"/>
          <w:color w:val="0F1115"/>
          <w:sz w:val="24"/>
          <w:szCs w:val="24"/>
          <w:shd w:val="clear" w:color="auto" w:fill="FFFFFF"/>
        </w:rPr>
        <w:lastRenderedPageBreak/>
        <w:t>μm.</w:t>
      </w:r>
    </w:p>
    <w:p w14:paraId="33FD952B" w14:textId="77777777" w:rsidR="00A64416" w:rsidRPr="00EF4A42" w:rsidRDefault="00A64416" w:rsidP="00A64416">
      <w:pPr>
        <w:spacing w:line="480" w:lineRule="auto"/>
        <w:ind w:firstLineChars="200" w:firstLine="480"/>
        <w:rPr>
          <w:rFonts w:ascii="Times New Roman" w:hAnsi="Times New Roman" w:cs="Times New Roman"/>
          <w:sz w:val="24"/>
          <w:szCs w:val="24"/>
        </w:rPr>
      </w:pPr>
    </w:p>
    <w:p w14:paraId="2250621F"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noProof/>
          <w:sz w:val="24"/>
          <w:szCs w:val="24"/>
        </w:rPr>
        <w:drawing>
          <wp:inline distT="0" distB="0" distL="0" distR="0" wp14:anchorId="018459E3" wp14:editId="4D790419">
            <wp:extent cx="2880000" cy="3538139"/>
            <wp:effectExtent l="0" t="0" r="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8"/>
                    <a:stretch>
                      <a:fillRect/>
                    </a:stretch>
                  </pic:blipFill>
                  <pic:spPr bwMode="auto">
                    <a:xfrm>
                      <a:off x="0" y="0"/>
                      <a:ext cx="2880000" cy="3538139"/>
                    </a:xfrm>
                    <a:prstGeom prst="rect">
                      <a:avLst/>
                    </a:prstGeom>
                    <a:noFill/>
                    <a:ln>
                      <a:noFill/>
                    </a:ln>
                  </pic:spPr>
                </pic:pic>
              </a:graphicData>
            </a:graphic>
          </wp:inline>
        </w:drawing>
      </w:r>
    </w:p>
    <w:p w14:paraId="00D10E64" w14:textId="77777777" w:rsidR="00A64416" w:rsidRPr="00EF4A42" w:rsidRDefault="00A64416" w:rsidP="00A64416">
      <w:pPr>
        <w:spacing w:line="480" w:lineRule="auto"/>
        <w:ind w:firstLineChars="200" w:firstLine="480"/>
        <w:rPr>
          <w:rFonts w:ascii="Times New Roman" w:hAnsi="Times New Roman" w:cs="Times New Roman"/>
          <w:sz w:val="24"/>
          <w:szCs w:val="24"/>
        </w:rPr>
      </w:pPr>
      <w:bookmarkStart w:id="5" w:name="OLE_LINK28"/>
      <w:r w:rsidRPr="00EF4A42">
        <w:rPr>
          <w:rFonts w:ascii="Times New Roman" w:hAnsi="Times New Roman" w:cs="Times New Roman"/>
          <w:sz w:val="24"/>
          <w:szCs w:val="24"/>
        </w:rPr>
        <w:t>Fig S5</w:t>
      </w:r>
      <w:bookmarkEnd w:id="5"/>
      <w:r w:rsidRPr="00EF4A42">
        <w:rPr>
          <w:rFonts w:ascii="Times New Roman" w:hAnsi="Times New Roman" w:cs="Times New Roman"/>
          <w:sz w:val="24"/>
          <w:szCs w:val="24"/>
        </w:rPr>
        <w:t xml:space="preserve">. </w:t>
      </w:r>
      <w:r>
        <w:rPr>
          <w:rFonts w:ascii="Times New Roman" w:hAnsi="Times New Roman" w:cs="Times New Roman"/>
          <w:sz w:val="24"/>
          <w:szCs w:val="24"/>
        </w:rPr>
        <w:t>NRP2</w:t>
      </w:r>
      <w:r w:rsidRPr="00EF4A42">
        <w:rPr>
          <w:rFonts w:ascii="Times New Roman" w:hAnsi="Times New Roman" w:cs="Times New Roman"/>
          <w:sz w:val="24"/>
          <w:szCs w:val="24"/>
        </w:rPr>
        <w:t xml:space="preserve">-A2 or </w:t>
      </w:r>
      <w:r>
        <w:rPr>
          <w:rFonts w:ascii="Times New Roman" w:hAnsi="Times New Roman" w:cs="Times New Roman"/>
          <w:sz w:val="24"/>
          <w:szCs w:val="24"/>
        </w:rPr>
        <w:t>NRP2</w:t>
      </w:r>
      <w:r w:rsidRPr="00EF4A42">
        <w:rPr>
          <w:rFonts w:ascii="Times New Roman" w:hAnsi="Times New Roman" w:cs="Times New Roman"/>
          <w:sz w:val="24"/>
          <w:szCs w:val="24"/>
        </w:rPr>
        <w:t>-B1 antibodies block CHIKV infection.</w:t>
      </w:r>
    </w:p>
    <w:p w14:paraId="6F21BE9C"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 xml:space="preserve">a. A2 Ab, B1 Ab, or rabbit IgG (control) was administrated in SH-SY5Y cells at 1 µg/mL 1 hour before, simultaneously, or 3 hours after CHIKV inoculation (MOI=1). The infection rate was assessed by IF. (Left) Representative IF images. (Right) Quantitative analysis of </w:t>
      </w:r>
      <w:bookmarkStart w:id="6" w:name="OLE_LINK11"/>
      <w:r w:rsidRPr="00EF4A42">
        <w:rPr>
          <w:rFonts w:ascii="Times New Roman" w:hAnsi="Times New Roman" w:cs="Times New Roman"/>
          <w:sz w:val="24"/>
          <w:szCs w:val="24"/>
        </w:rPr>
        <w:t>virus-infected</w:t>
      </w:r>
      <w:bookmarkEnd w:id="6"/>
      <w:r w:rsidRPr="00EF4A42">
        <w:rPr>
          <w:rFonts w:ascii="Times New Roman" w:hAnsi="Times New Roman" w:cs="Times New Roman"/>
          <w:sz w:val="24"/>
          <w:szCs w:val="24"/>
        </w:rPr>
        <w:t xml:space="preserve"> cells. b. Phylogenetic tree of NRP2 indicating genetic relationships. The Neighbor-Joining tree was constructed using MEGA 7. Scale bar shows the branch length. c. Identity (yellow) and similarity (blue) matrix indicating the conservation of NRP2 between species. The matrix was generated using MagGat 1.8. d. NIH/3T3 or MEF cells were treated with 1 µg/mL of A2 Ab, B1 Ab, or rabbit IgG (control) 1 hour before CHIKV infection. The infection rate was assessed by IF. Data are mean ± SD of 3 independent experiments. </w:t>
      </w:r>
      <w:r w:rsidRPr="002A2969">
        <w:rPr>
          <w:rFonts w:ascii="Times New Roman" w:hAnsi="Times New Roman" w:cs="Times New Roman"/>
          <w:color w:val="0F1115"/>
          <w:sz w:val="24"/>
          <w:szCs w:val="24"/>
          <w:shd w:val="clear" w:color="auto" w:fill="FFFFFF"/>
        </w:rPr>
        <w:t xml:space="preserve">Scale bar: </w:t>
      </w:r>
      <w:r>
        <w:rPr>
          <w:rFonts w:ascii="Times New Roman" w:hAnsi="Times New Roman" w:cs="Times New Roman" w:hint="eastAsia"/>
          <w:color w:val="0F1115"/>
          <w:sz w:val="24"/>
          <w:szCs w:val="24"/>
          <w:shd w:val="clear" w:color="auto" w:fill="FFFFFF"/>
        </w:rPr>
        <w:t>400</w:t>
      </w:r>
      <w:r w:rsidRPr="002A2969">
        <w:rPr>
          <w:rFonts w:ascii="Times New Roman" w:hAnsi="Times New Roman" w:cs="Times New Roman"/>
          <w:color w:val="0F1115"/>
          <w:sz w:val="24"/>
          <w:szCs w:val="24"/>
          <w:shd w:val="clear" w:color="auto" w:fill="FFFFFF"/>
        </w:rPr>
        <w:t xml:space="preserve"> μm.</w:t>
      </w:r>
      <w:r>
        <w:rPr>
          <w:rFonts w:ascii="Times New Roman" w:hAnsi="Times New Roman" w:cs="Times New Roman" w:hint="eastAsia"/>
          <w:color w:val="0F1115"/>
          <w:sz w:val="24"/>
          <w:szCs w:val="24"/>
          <w:shd w:val="clear" w:color="auto" w:fill="FFFFFF"/>
        </w:rPr>
        <w:t xml:space="preserve"> </w:t>
      </w:r>
      <w:r w:rsidRPr="00EF4A42">
        <w:rPr>
          <w:rFonts w:ascii="Times New Roman" w:hAnsi="Times New Roman" w:cs="Times New Roman"/>
          <w:sz w:val="24"/>
          <w:szCs w:val="24"/>
        </w:rPr>
        <w:t>**</w:t>
      </w:r>
      <w:r w:rsidRPr="00EF4A42">
        <w:rPr>
          <w:rFonts w:ascii="Times New Roman" w:hAnsi="Times New Roman" w:cs="Times New Roman"/>
          <w:i/>
          <w:iCs/>
          <w:sz w:val="24"/>
          <w:szCs w:val="24"/>
        </w:rPr>
        <w:t>p</w:t>
      </w:r>
      <w:r w:rsidRPr="00EF4A42">
        <w:rPr>
          <w:rFonts w:ascii="Times New Roman" w:hAnsi="Times New Roman" w:cs="Times New Roman" w:hint="eastAsia"/>
          <w:sz w:val="24"/>
          <w:szCs w:val="24"/>
        </w:rPr>
        <w:t>＜</w:t>
      </w:r>
      <w:r w:rsidRPr="00EF4A42">
        <w:rPr>
          <w:rFonts w:ascii="Times New Roman" w:hAnsi="Times New Roman" w:cs="Times New Roman"/>
          <w:sz w:val="24"/>
          <w:szCs w:val="24"/>
        </w:rPr>
        <w:t>0.01, ***</w:t>
      </w:r>
      <w:r w:rsidRPr="00EF4A42">
        <w:rPr>
          <w:rFonts w:ascii="Times New Roman" w:hAnsi="Times New Roman" w:cs="Times New Roman"/>
          <w:i/>
          <w:iCs/>
          <w:sz w:val="24"/>
          <w:szCs w:val="24"/>
        </w:rPr>
        <w:t>p</w:t>
      </w:r>
      <w:r w:rsidRPr="00EF4A42">
        <w:rPr>
          <w:rFonts w:ascii="Times New Roman" w:hAnsi="Times New Roman" w:cs="Times New Roman" w:hint="eastAsia"/>
          <w:sz w:val="24"/>
          <w:szCs w:val="24"/>
        </w:rPr>
        <w:lastRenderedPageBreak/>
        <w:t>＜</w:t>
      </w:r>
      <w:r w:rsidRPr="00EF4A42">
        <w:rPr>
          <w:rFonts w:ascii="Times New Roman" w:hAnsi="Times New Roman" w:cs="Times New Roman"/>
          <w:sz w:val="24"/>
          <w:szCs w:val="24"/>
        </w:rPr>
        <w:t>0.001.</w:t>
      </w:r>
      <w:r w:rsidRPr="00250FC6">
        <w:rPr>
          <w:rFonts w:ascii="Times New Roman" w:hAnsi="Times New Roman" w:cs="Times New Roman"/>
          <w:kern w:val="0"/>
          <w:sz w:val="24"/>
          <w:szCs w:val="24"/>
        </w:rPr>
        <w:t xml:space="preserve"> </w:t>
      </w:r>
      <w:r w:rsidRPr="00250FC6">
        <w:rPr>
          <w:rFonts w:ascii="Times New Roman" w:hAnsi="Times New Roman" w:cs="Times New Roman"/>
          <w:sz w:val="24"/>
          <w:szCs w:val="24"/>
        </w:rPr>
        <w:t>(by one</w:t>
      </w:r>
      <w:r w:rsidRPr="00250FC6">
        <w:rPr>
          <w:rFonts w:ascii="Times New Roman" w:hAnsi="Times New Roman" w:cs="Times New Roman"/>
          <w:sz w:val="24"/>
          <w:szCs w:val="24"/>
        </w:rPr>
        <w:noBreakHyphen/>
        <w:t>way ANOVA).</w:t>
      </w:r>
    </w:p>
    <w:p w14:paraId="7C9A4DEC" w14:textId="77777777" w:rsidR="00A64416" w:rsidRPr="00EF4A42" w:rsidRDefault="00A64416" w:rsidP="00A64416">
      <w:pPr>
        <w:spacing w:line="480" w:lineRule="auto"/>
        <w:ind w:firstLineChars="200" w:firstLine="480"/>
        <w:rPr>
          <w:rFonts w:ascii="Times New Roman" w:hAnsi="Times New Roman" w:cs="Times New Roman"/>
          <w:sz w:val="24"/>
          <w:szCs w:val="24"/>
        </w:rPr>
      </w:pPr>
    </w:p>
    <w:p w14:paraId="46AC47A7"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noProof/>
          <w:sz w:val="24"/>
          <w:szCs w:val="24"/>
        </w:rPr>
        <w:drawing>
          <wp:inline distT="0" distB="0" distL="0" distR="0" wp14:anchorId="369F1A7C" wp14:editId="10C7DF77">
            <wp:extent cx="5760000" cy="3030134"/>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9"/>
                    <a:stretch>
                      <a:fillRect/>
                    </a:stretch>
                  </pic:blipFill>
                  <pic:spPr bwMode="auto">
                    <a:xfrm>
                      <a:off x="0" y="0"/>
                      <a:ext cx="5760000" cy="3030134"/>
                    </a:xfrm>
                    <a:prstGeom prst="rect">
                      <a:avLst/>
                    </a:prstGeom>
                    <a:noFill/>
                    <a:ln>
                      <a:noFill/>
                    </a:ln>
                  </pic:spPr>
                </pic:pic>
              </a:graphicData>
            </a:graphic>
          </wp:inline>
        </w:drawing>
      </w:r>
    </w:p>
    <w:p w14:paraId="5A45A151" w14:textId="77777777" w:rsidR="00A64416" w:rsidRPr="00EF4A42" w:rsidRDefault="00A64416" w:rsidP="00A64416">
      <w:pPr>
        <w:spacing w:line="480" w:lineRule="auto"/>
        <w:ind w:firstLineChars="200" w:firstLine="480"/>
        <w:rPr>
          <w:rFonts w:ascii="Times New Roman" w:hAnsi="Times New Roman" w:cs="Times New Roman"/>
          <w:sz w:val="24"/>
          <w:szCs w:val="24"/>
        </w:rPr>
      </w:pPr>
      <w:r w:rsidRPr="00EF4A42">
        <w:rPr>
          <w:rFonts w:ascii="Times New Roman" w:hAnsi="Times New Roman" w:cs="Times New Roman"/>
          <w:sz w:val="24"/>
          <w:szCs w:val="24"/>
        </w:rPr>
        <w:t>Fig S6. NRP2-knockdown suppressed the infection of SINV and RRV.</w:t>
      </w:r>
    </w:p>
    <w:p w14:paraId="3C4A7D7D" w14:textId="77777777" w:rsidR="00A64416" w:rsidRPr="00EF4A42" w:rsidRDefault="00A64416" w:rsidP="00A64416">
      <w:pPr>
        <w:spacing w:line="480" w:lineRule="auto"/>
        <w:ind w:firstLineChars="200" w:firstLine="480"/>
        <w:rPr>
          <w:rFonts w:ascii="Times New Roman" w:hAnsi="Times New Roman" w:cs="Times New Roman"/>
          <w:sz w:val="24"/>
          <w:szCs w:val="24"/>
        </w:rPr>
      </w:pPr>
      <w:bookmarkStart w:id="7" w:name="OLE_LINK48"/>
      <w:r w:rsidRPr="00EF4A42">
        <w:rPr>
          <w:rFonts w:ascii="Times New Roman" w:hAnsi="Times New Roman" w:cs="Times New Roman"/>
          <w:sz w:val="24"/>
          <w:szCs w:val="24"/>
        </w:rPr>
        <w:t xml:space="preserve">a-b. SH-SY5Y cells were transfected with siNRP2-1, inoculated with RRV or SINV, and processed to IF </w:t>
      </w:r>
      <w:bookmarkStart w:id="8" w:name="OLE_LINK34"/>
      <w:r w:rsidRPr="00EF4A42">
        <w:rPr>
          <w:rFonts w:ascii="Times New Roman" w:hAnsi="Times New Roman" w:cs="Times New Roman"/>
          <w:sz w:val="24"/>
          <w:szCs w:val="24"/>
        </w:rPr>
        <w:t>(a) or plaque assay</w:t>
      </w:r>
      <w:bookmarkEnd w:id="8"/>
      <w:r w:rsidRPr="00EF4A42">
        <w:rPr>
          <w:rFonts w:ascii="Times New Roman" w:hAnsi="Times New Roman" w:cs="Times New Roman"/>
          <w:sz w:val="24"/>
          <w:szCs w:val="24"/>
        </w:rPr>
        <w:t xml:space="preserve"> (b) using siNC as a control. </w:t>
      </w:r>
      <w:bookmarkEnd w:id="7"/>
      <w:r w:rsidRPr="00EF4A42">
        <w:rPr>
          <w:rFonts w:ascii="Times New Roman" w:hAnsi="Times New Roman" w:cs="Times New Roman"/>
          <w:sz w:val="24"/>
          <w:szCs w:val="24"/>
        </w:rPr>
        <w:t xml:space="preserve">c. HuH-7 cells were transfected with siNRP2-1, inoculated with TBEV, YFV, WNV, JEV, or ZIKV. The infection rate was detected by IF assay using siNC as a control. </w:t>
      </w:r>
      <w:bookmarkStart w:id="9" w:name="OLE_LINK56"/>
      <w:r w:rsidRPr="00EF4A42">
        <w:rPr>
          <w:rFonts w:ascii="Times New Roman" w:hAnsi="Times New Roman" w:cs="Times New Roman"/>
          <w:sz w:val="24"/>
          <w:szCs w:val="24"/>
        </w:rPr>
        <w:t>Data are mean ± SD of 3 independent experiments.</w:t>
      </w:r>
      <w:r w:rsidRPr="002A2969">
        <w:rPr>
          <w:rFonts w:ascii="Times New Roman" w:hAnsi="Times New Roman" w:cs="Times New Roman"/>
          <w:color w:val="0F1115"/>
          <w:sz w:val="24"/>
          <w:szCs w:val="24"/>
          <w:shd w:val="clear" w:color="auto" w:fill="FFFFFF"/>
        </w:rPr>
        <w:t xml:space="preserve"> Scale bar: </w:t>
      </w:r>
      <w:r>
        <w:rPr>
          <w:rFonts w:ascii="Times New Roman" w:hAnsi="Times New Roman" w:cs="Times New Roman" w:hint="eastAsia"/>
          <w:color w:val="0F1115"/>
          <w:sz w:val="24"/>
          <w:szCs w:val="24"/>
          <w:shd w:val="clear" w:color="auto" w:fill="FFFFFF"/>
        </w:rPr>
        <w:t>400</w:t>
      </w:r>
      <w:r w:rsidRPr="002A2969">
        <w:rPr>
          <w:rFonts w:ascii="Times New Roman" w:hAnsi="Times New Roman" w:cs="Times New Roman"/>
          <w:color w:val="0F1115"/>
          <w:sz w:val="24"/>
          <w:szCs w:val="24"/>
          <w:shd w:val="clear" w:color="auto" w:fill="FFFFFF"/>
        </w:rPr>
        <w:t xml:space="preserve"> μm.</w:t>
      </w:r>
      <w:r w:rsidRPr="00EF4A42">
        <w:rPr>
          <w:rFonts w:ascii="Times New Roman" w:hAnsi="Times New Roman" w:cs="Times New Roman"/>
          <w:sz w:val="24"/>
          <w:szCs w:val="24"/>
        </w:rPr>
        <w:t xml:space="preserve"> ****</w:t>
      </w:r>
      <w:r w:rsidRPr="00EF4A42">
        <w:rPr>
          <w:rFonts w:ascii="Times New Roman" w:hAnsi="Times New Roman" w:cs="Times New Roman"/>
          <w:i/>
          <w:iCs/>
          <w:sz w:val="24"/>
          <w:szCs w:val="24"/>
        </w:rPr>
        <w:t>p</w:t>
      </w:r>
      <w:r w:rsidRPr="00EF4A42">
        <w:rPr>
          <w:rFonts w:ascii="Times New Roman" w:hAnsi="Times New Roman" w:cs="Times New Roman" w:hint="eastAsia"/>
          <w:sz w:val="24"/>
          <w:szCs w:val="24"/>
        </w:rPr>
        <w:t>＜</w:t>
      </w:r>
      <w:r w:rsidRPr="00EF4A42">
        <w:rPr>
          <w:rFonts w:ascii="Times New Roman" w:hAnsi="Times New Roman" w:cs="Times New Roman"/>
          <w:sz w:val="24"/>
          <w:szCs w:val="24"/>
        </w:rPr>
        <w:t>0.0001, ns not significant.</w:t>
      </w:r>
      <w:bookmarkEnd w:id="9"/>
      <w:r w:rsidRPr="00250FC6">
        <w:rPr>
          <w:rFonts w:ascii="Times New Roman" w:hAnsi="Times New Roman" w:cs="Times New Roman"/>
          <w:kern w:val="0"/>
          <w:sz w:val="24"/>
          <w:szCs w:val="24"/>
        </w:rPr>
        <w:t xml:space="preserve"> </w:t>
      </w:r>
      <w:r w:rsidRPr="00250FC6">
        <w:rPr>
          <w:rFonts w:ascii="Times New Roman" w:hAnsi="Times New Roman" w:cs="Times New Roman"/>
          <w:sz w:val="24"/>
          <w:szCs w:val="24"/>
        </w:rPr>
        <w:t>(by Student’s t</w:t>
      </w:r>
      <w:r w:rsidRPr="00250FC6">
        <w:rPr>
          <w:rFonts w:ascii="Times New Roman" w:hAnsi="Times New Roman" w:cs="Times New Roman"/>
          <w:sz w:val="24"/>
          <w:szCs w:val="24"/>
        </w:rPr>
        <w:noBreakHyphen/>
        <w:t>test).</w:t>
      </w:r>
    </w:p>
    <w:p w14:paraId="10BCEED1" w14:textId="77777777" w:rsidR="00A64416" w:rsidRPr="00EF4A42" w:rsidRDefault="00A64416" w:rsidP="00A64416">
      <w:pPr>
        <w:spacing w:line="480" w:lineRule="auto"/>
        <w:ind w:firstLineChars="200" w:firstLine="480"/>
        <w:rPr>
          <w:rFonts w:ascii="Times New Roman" w:hAnsi="Times New Roman" w:cs="Times New Roman"/>
          <w:sz w:val="24"/>
          <w:szCs w:val="24"/>
        </w:rPr>
      </w:pPr>
    </w:p>
    <w:p w14:paraId="2FD239F5" w14:textId="77777777" w:rsidR="00E023F9" w:rsidRDefault="00E023F9"/>
    <w:sectPr w:rsidR="00E023F9" w:rsidSect="00A64416">
      <w:pgSz w:w="11906" w:h="16838"/>
      <w:pgMar w:top="1440" w:right="1797" w:bottom="1440" w:left="1797"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416"/>
    <w:rsid w:val="000C4033"/>
    <w:rsid w:val="004B42CB"/>
    <w:rsid w:val="005F2B46"/>
    <w:rsid w:val="006E1731"/>
    <w:rsid w:val="00A64416"/>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935E4"/>
  <w15:chartTrackingRefBased/>
  <w15:docId w15:val="{D5D6A6D8-C8CC-4D10-8EF1-6B7DB8EA2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416"/>
    <w:pPr>
      <w:widowControl w:val="0"/>
      <w:spacing w:after="0" w:line="240" w:lineRule="auto"/>
      <w:jc w:val="both"/>
    </w:pPr>
    <w:rPr>
      <w:rFonts w:eastAsiaTheme="minorEastAsia"/>
      <w:sz w:val="21"/>
      <w:szCs w:val="22"/>
      <w:lang w:val="en-US" w:eastAsia="zh-CN"/>
      <w14:ligatures w14:val="none"/>
    </w:rPr>
  </w:style>
  <w:style w:type="paragraph" w:styleId="Heading1">
    <w:name w:val="heading 1"/>
    <w:basedOn w:val="Normal"/>
    <w:next w:val="Normal"/>
    <w:link w:val="Heading1Char"/>
    <w:uiPriority w:val="9"/>
    <w:qFormat/>
    <w:rsid w:val="00A64416"/>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A64416"/>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A64416"/>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A64416"/>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A64416"/>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A64416"/>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A64416"/>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A64416"/>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A64416"/>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44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44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44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44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44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44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44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44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4416"/>
    <w:rPr>
      <w:rFonts w:eastAsiaTheme="majorEastAsia" w:cstheme="majorBidi"/>
      <w:color w:val="272727" w:themeColor="text1" w:themeTint="D8"/>
    </w:rPr>
  </w:style>
  <w:style w:type="paragraph" w:styleId="Title">
    <w:name w:val="Title"/>
    <w:basedOn w:val="Normal"/>
    <w:next w:val="Normal"/>
    <w:link w:val="TitleChar"/>
    <w:uiPriority w:val="10"/>
    <w:qFormat/>
    <w:rsid w:val="00A64416"/>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A644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4416"/>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A644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4416"/>
    <w:pPr>
      <w:widowControl/>
      <w:spacing w:before="160" w:after="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A64416"/>
    <w:rPr>
      <w:i/>
      <w:iCs/>
      <w:color w:val="404040" w:themeColor="text1" w:themeTint="BF"/>
    </w:rPr>
  </w:style>
  <w:style w:type="paragraph" w:styleId="ListParagraph">
    <w:name w:val="List Paragraph"/>
    <w:basedOn w:val="Normal"/>
    <w:uiPriority w:val="34"/>
    <w:qFormat/>
    <w:rsid w:val="00A64416"/>
    <w:pPr>
      <w:widowControl/>
      <w:spacing w:after="160"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A64416"/>
    <w:rPr>
      <w:i/>
      <w:iCs/>
      <w:color w:val="0F4761" w:themeColor="accent1" w:themeShade="BF"/>
    </w:rPr>
  </w:style>
  <w:style w:type="paragraph" w:styleId="IntenseQuote">
    <w:name w:val="Intense Quote"/>
    <w:basedOn w:val="Normal"/>
    <w:next w:val="Normal"/>
    <w:link w:val="IntenseQuoteChar"/>
    <w:uiPriority w:val="30"/>
    <w:qFormat/>
    <w:rsid w:val="00A64416"/>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A64416"/>
    <w:rPr>
      <w:i/>
      <w:iCs/>
      <w:color w:val="0F4761" w:themeColor="accent1" w:themeShade="BF"/>
    </w:rPr>
  </w:style>
  <w:style w:type="character" w:styleId="IntenseReference">
    <w:name w:val="Intense Reference"/>
    <w:basedOn w:val="DefaultParagraphFont"/>
    <w:uiPriority w:val="32"/>
    <w:qFormat/>
    <w:rsid w:val="00A64416"/>
    <w:rPr>
      <w:b/>
      <w:bCs/>
      <w:smallCaps/>
      <w:color w:val="0F4761" w:themeColor="accent1" w:themeShade="BF"/>
      <w:spacing w:val="5"/>
    </w:rPr>
  </w:style>
  <w:style w:type="character" w:styleId="LineNumber">
    <w:name w:val="line number"/>
    <w:basedOn w:val="DefaultParagraphFont"/>
    <w:uiPriority w:val="99"/>
    <w:semiHidden/>
    <w:unhideWhenUsed/>
    <w:rsid w:val="00A644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Relationship Id="rId3" Type="http://schemas.openxmlformats.org/officeDocument/2006/relationships/webSettings" Target="webSettings.xml"/><Relationship Id="rId7" Type="http://schemas.openxmlformats.org/officeDocument/2006/relationships/image" Target="media/image4.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11" Type="http://schemas.openxmlformats.org/officeDocument/2006/relationships/theme" Target="theme/theme1.xml"/><Relationship Id="rId5" Type="http://schemas.openxmlformats.org/officeDocument/2006/relationships/image" Target="media/image2.tif"/><Relationship Id="rId10" Type="http://schemas.openxmlformats.org/officeDocument/2006/relationships/fontTable" Target="fontTable.xml"/><Relationship Id="rId4" Type="http://schemas.openxmlformats.org/officeDocument/2006/relationships/image" Target="media/image1.tif"/><Relationship Id="rId9" Type="http://schemas.openxmlformats.org/officeDocument/2006/relationships/image" Target="media/image6.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821</Words>
  <Characters>4607</Characters>
  <Application>Microsoft Office Word</Application>
  <DocSecurity>0</DocSecurity>
  <Lines>79</Lines>
  <Paragraphs>17</Paragraphs>
  <ScaleCrop>false</ScaleCrop>
  <Company/>
  <LinksUpToDate>false</LinksUpToDate>
  <CharactersWithSpaces>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2026-03-12T09:43:00Z</dcterms:created>
  <dcterms:modified xsi:type="dcterms:W3CDTF">2026-03-12T09:43:00Z</dcterms:modified>
</cp:coreProperties>
</file>