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6E8A" w14:textId="77777777" w:rsidR="002A0BE5" w:rsidRPr="008A213B" w:rsidRDefault="002A0BE5" w:rsidP="002A0BE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213B">
        <w:rPr>
          <w:rFonts w:ascii="Times New Roman" w:hAnsi="Times New Roman" w:cs="Times New Roman"/>
          <w:b/>
          <w:bCs/>
          <w:sz w:val="28"/>
          <w:szCs w:val="28"/>
        </w:rPr>
        <w:t xml:space="preserve">Chitosan Nanoparticles as Interfacial Adjuvants to Enhance the Biodegradation of Polyethylene Terephthalate by </w:t>
      </w:r>
      <w:proofErr w:type="spellStart"/>
      <w:r w:rsidRPr="008A21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Ideonella</w:t>
      </w:r>
      <w:proofErr w:type="spellEnd"/>
      <w:r w:rsidRPr="008A21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A21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sakaiensis</w:t>
      </w:r>
      <w:proofErr w:type="spellEnd"/>
    </w:p>
    <w:p w14:paraId="15CB9880" w14:textId="77777777" w:rsidR="002A0BE5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sz w:val="24"/>
        </w:rPr>
      </w:pPr>
      <w:proofErr w:type="spellStart"/>
      <w:r w:rsidRPr="0084516B">
        <w:rPr>
          <w:rFonts w:ascii="Times New Roman" w:eastAsia="宋体" w:hAnsi="Times New Roman" w:cs="Times New Roman"/>
          <w:bCs/>
          <w:sz w:val="24"/>
        </w:rPr>
        <w:t>Zhichao</w:t>
      </w:r>
      <w:proofErr w:type="spellEnd"/>
      <w:r w:rsidRPr="0084516B"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gramStart"/>
      <w:r w:rsidRPr="0084516B">
        <w:rPr>
          <w:rFonts w:ascii="Times New Roman" w:eastAsia="宋体" w:hAnsi="Times New Roman" w:cs="Times New Roman"/>
          <w:bCs/>
          <w:sz w:val="24"/>
        </w:rPr>
        <w:t>Shi</w:t>
      </w:r>
      <w:r>
        <w:rPr>
          <w:rFonts w:ascii="Times New Roman" w:eastAsia="宋体" w:hAnsi="Times New Roman" w:cs="Times New Roman" w:hint="eastAsia"/>
          <w:bCs/>
          <w:sz w:val="24"/>
          <w:vertAlign w:val="superscript"/>
        </w:rPr>
        <w:t>a</w:t>
      </w:r>
      <w:r w:rsidRPr="0084516B">
        <w:rPr>
          <w:rFonts w:ascii="Times New Roman" w:eastAsia="宋体" w:hAnsi="Times New Roman" w:cs="Times New Roman" w:hint="eastAsia"/>
          <w:bCs/>
          <w:sz w:val="24"/>
          <w:vertAlign w:val="superscript"/>
        </w:rPr>
        <w:t>,#</w:t>
      </w:r>
      <w:proofErr w:type="gramEnd"/>
      <w:r w:rsidRPr="003D44CF">
        <w:rPr>
          <w:rFonts w:ascii="Times New Roman" w:eastAsia="宋体" w:hAnsi="Times New Roman" w:cs="Times New Roman"/>
          <w:bCs/>
          <w:sz w:val="24"/>
        </w:rPr>
        <w:t>,</w:t>
      </w:r>
      <w:r w:rsidRPr="0084516B"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 w:rsidRPr="0084516B">
        <w:rPr>
          <w:rFonts w:ascii="Times New Roman" w:eastAsia="宋体" w:hAnsi="Times New Roman" w:cs="Times New Roman"/>
          <w:bCs/>
          <w:sz w:val="24"/>
        </w:rPr>
        <w:t>Tingbiao</w:t>
      </w:r>
      <w:proofErr w:type="spellEnd"/>
      <w:r w:rsidRPr="0084516B"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 w:rsidRPr="0084516B">
        <w:rPr>
          <w:rFonts w:ascii="Times New Roman" w:eastAsia="宋体" w:hAnsi="Times New Roman" w:cs="Times New Roman"/>
          <w:bCs/>
          <w:sz w:val="24"/>
        </w:rPr>
        <w:t>Wu</w:t>
      </w:r>
      <w:r>
        <w:rPr>
          <w:rFonts w:ascii="Times New Roman" w:eastAsia="宋体" w:hAnsi="Times New Roman" w:cs="Times New Roman" w:hint="eastAsia"/>
          <w:bCs/>
          <w:sz w:val="24"/>
          <w:vertAlign w:val="superscript"/>
        </w:rPr>
        <w:t>a</w:t>
      </w:r>
      <w:proofErr w:type="spellEnd"/>
      <w:r w:rsidRPr="0084516B">
        <w:rPr>
          <w:rFonts w:ascii="Times New Roman" w:eastAsia="宋体" w:hAnsi="Times New Roman" w:cs="Times New Roman" w:hint="eastAsia"/>
          <w:bCs/>
          <w:sz w:val="24"/>
          <w:vertAlign w:val="superscript"/>
        </w:rPr>
        <w:t>,#</w:t>
      </w:r>
      <w:r w:rsidRPr="0084516B">
        <w:rPr>
          <w:rFonts w:ascii="Times New Roman" w:eastAsia="宋体" w:hAnsi="Times New Roman" w:cs="Times New Roman"/>
          <w:bCs/>
          <w:sz w:val="24"/>
        </w:rPr>
        <w:t xml:space="preserve">, Lihong </w:t>
      </w:r>
      <w:proofErr w:type="spellStart"/>
      <w:r w:rsidRPr="0084516B">
        <w:rPr>
          <w:rFonts w:ascii="Times New Roman" w:eastAsia="宋体" w:hAnsi="Times New Roman" w:cs="Times New Roman"/>
          <w:bCs/>
          <w:sz w:val="24"/>
        </w:rPr>
        <w:t>W</w:t>
      </w:r>
      <w:r>
        <w:rPr>
          <w:rFonts w:ascii="Times New Roman" w:eastAsia="宋体" w:hAnsi="Times New Roman" w:cs="Times New Roman"/>
          <w:bCs/>
          <w:sz w:val="24"/>
        </w:rPr>
        <w:t>u</w:t>
      </w:r>
      <w:r>
        <w:rPr>
          <w:rFonts w:ascii="Times New Roman" w:eastAsia="宋体" w:hAnsi="Times New Roman" w:cs="Times New Roman"/>
          <w:bCs/>
          <w:sz w:val="24"/>
          <w:vertAlign w:val="superscript"/>
        </w:rPr>
        <w:t>a</w:t>
      </w:r>
      <w:proofErr w:type="spellEnd"/>
      <w:r w:rsidRPr="0084516B">
        <w:rPr>
          <w:rFonts w:ascii="Times New Roman" w:eastAsia="宋体" w:hAnsi="Times New Roman" w:cs="Times New Roman"/>
          <w:bCs/>
          <w:sz w:val="24"/>
        </w:rPr>
        <w:t>,</w:t>
      </w:r>
      <w:r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 w:rsidRPr="00B634E3">
        <w:rPr>
          <w:rFonts w:ascii="Times New Roman" w:eastAsia="宋体" w:hAnsi="Times New Roman" w:cs="Times New Roman"/>
          <w:bCs/>
          <w:sz w:val="24"/>
        </w:rPr>
        <w:t>Xiaomin</w:t>
      </w:r>
      <w:proofErr w:type="spellEnd"/>
      <w:r w:rsidRPr="00B634E3"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 w:rsidRPr="00B634E3">
        <w:rPr>
          <w:rFonts w:ascii="Times New Roman" w:eastAsia="宋体" w:hAnsi="Times New Roman" w:cs="Times New Roman"/>
          <w:bCs/>
          <w:sz w:val="24"/>
        </w:rPr>
        <w:t>Chi</w:t>
      </w:r>
      <w:r w:rsidRPr="00B634E3">
        <w:rPr>
          <w:rFonts w:ascii="Times New Roman" w:eastAsia="宋体" w:hAnsi="Times New Roman" w:cs="Times New Roman"/>
          <w:bCs/>
          <w:sz w:val="24"/>
          <w:vertAlign w:val="superscript"/>
        </w:rPr>
        <w:t>b</w:t>
      </w:r>
      <w:proofErr w:type="spellEnd"/>
      <w:r w:rsidRPr="00B634E3">
        <w:rPr>
          <w:rFonts w:ascii="Times New Roman" w:eastAsia="宋体" w:hAnsi="Times New Roman" w:cs="Times New Roman"/>
          <w:bCs/>
          <w:sz w:val="24"/>
        </w:rPr>
        <w:t xml:space="preserve">, </w:t>
      </w:r>
      <w:proofErr w:type="spellStart"/>
      <w:r w:rsidRPr="00B634E3">
        <w:rPr>
          <w:rFonts w:ascii="Times New Roman" w:eastAsia="宋体" w:hAnsi="Times New Roman" w:cs="Times New Roman"/>
          <w:bCs/>
          <w:sz w:val="24"/>
        </w:rPr>
        <w:t>Y</w:t>
      </w:r>
      <w:r w:rsidRPr="00B634E3">
        <w:rPr>
          <w:rFonts w:ascii="Times New Roman" w:eastAsia="宋体" w:hAnsi="Times New Roman" w:cs="Times New Roman" w:hint="eastAsia"/>
          <w:bCs/>
          <w:sz w:val="24"/>
        </w:rPr>
        <w:t>ingjuan</w:t>
      </w:r>
      <w:proofErr w:type="spellEnd"/>
      <w:r w:rsidRPr="00B634E3"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 w:rsidRPr="00B634E3">
        <w:rPr>
          <w:rFonts w:ascii="Times New Roman" w:eastAsia="宋体" w:hAnsi="Times New Roman" w:cs="Times New Roman"/>
          <w:bCs/>
          <w:sz w:val="24"/>
        </w:rPr>
        <w:t>Wang</w:t>
      </w:r>
      <w:r w:rsidRPr="00B634E3">
        <w:rPr>
          <w:rFonts w:ascii="Times New Roman" w:eastAsia="宋体" w:hAnsi="Times New Roman" w:cs="Times New Roman"/>
          <w:bCs/>
          <w:sz w:val="24"/>
          <w:vertAlign w:val="superscript"/>
        </w:rPr>
        <w:t>b</w:t>
      </w:r>
      <w:proofErr w:type="spellEnd"/>
      <w:r w:rsidRPr="00B634E3">
        <w:rPr>
          <w:rFonts w:ascii="Times New Roman" w:eastAsia="宋体" w:hAnsi="Times New Roman" w:cs="Times New Roman"/>
          <w:bCs/>
          <w:sz w:val="24"/>
        </w:rPr>
        <w:t>,</w:t>
      </w:r>
      <w:r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 w:rsidRPr="0084516B">
        <w:rPr>
          <w:rFonts w:ascii="Times New Roman" w:eastAsia="宋体" w:hAnsi="Times New Roman" w:cs="Times New Roman"/>
          <w:bCs/>
          <w:sz w:val="24"/>
        </w:rPr>
        <w:t>Tingting</w:t>
      </w:r>
      <w:proofErr w:type="spellEnd"/>
      <w:r w:rsidRPr="0084516B"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 w:rsidRPr="0084516B">
        <w:rPr>
          <w:rFonts w:ascii="Times New Roman" w:eastAsia="宋体" w:hAnsi="Times New Roman" w:cs="Times New Roman"/>
          <w:bCs/>
          <w:sz w:val="24"/>
        </w:rPr>
        <w:t>Fan</w:t>
      </w:r>
      <w:r>
        <w:rPr>
          <w:rFonts w:ascii="Times New Roman" w:eastAsia="宋体" w:hAnsi="Times New Roman" w:cs="Times New Roman"/>
          <w:bCs/>
          <w:sz w:val="24"/>
          <w:vertAlign w:val="superscript"/>
        </w:rPr>
        <w:t>a</w:t>
      </w:r>
      <w:proofErr w:type="spellEnd"/>
      <w:r w:rsidRPr="0084516B">
        <w:rPr>
          <w:rFonts w:ascii="Times New Roman" w:eastAsia="宋体" w:hAnsi="Times New Roman" w:cs="Times New Roman" w:hint="eastAsia"/>
          <w:bCs/>
          <w:sz w:val="24"/>
          <w:vertAlign w:val="superscript"/>
        </w:rPr>
        <w:t>,</w:t>
      </w:r>
      <w:r w:rsidRPr="00193D04">
        <w:rPr>
          <w:rFonts w:ascii="Times New Roman" w:eastAsia="宋体" w:hAnsi="Times New Roman" w:cs="Times New Roman"/>
          <w:bCs/>
          <w:sz w:val="24"/>
          <w:vertAlign w:val="superscript"/>
        </w:rPr>
        <w:t>*</w:t>
      </w:r>
      <w:r w:rsidRPr="0084516B">
        <w:rPr>
          <w:rFonts w:ascii="Times New Roman" w:eastAsia="宋体" w:hAnsi="Times New Roman" w:cs="Times New Roman"/>
          <w:bCs/>
          <w:sz w:val="24"/>
        </w:rPr>
        <w:t xml:space="preserve">, </w:t>
      </w:r>
      <w:proofErr w:type="spellStart"/>
      <w:r>
        <w:rPr>
          <w:rFonts w:ascii="Times New Roman" w:eastAsia="宋体" w:hAnsi="Times New Roman" w:cs="Times New Roman"/>
          <w:bCs/>
          <w:sz w:val="24"/>
        </w:rPr>
        <w:t>Yuyang</w:t>
      </w:r>
      <w:proofErr w:type="spellEnd"/>
      <w:r>
        <w:rPr>
          <w:rFonts w:ascii="Times New Roman" w:eastAsia="宋体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宋体" w:hAnsi="Times New Roman" w:cs="Times New Roman"/>
          <w:bCs/>
          <w:sz w:val="24"/>
        </w:rPr>
        <w:t>Jiang</w:t>
      </w:r>
      <w:r>
        <w:rPr>
          <w:rFonts w:ascii="Times New Roman" w:eastAsia="宋体" w:hAnsi="Times New Roman" w:cs="Times New Roman" w:hint="eastAsia"/>
          <w:bCs/>
          <w:sz w:val="24"/>
          <w:vertAlign w:val="superscript"/>
        </w:rPr>
        <w:t>a</w:t>
      </w:r>
      <w:proofErr w:type="spellEnd"/>
      <w:r>
        <w:rPr>
          <w:rFonts w:ascii="Times New Roman" w:eastAsia="宋体" w:hAnsi="Times New Roman" w:cs="Times New Roman"/>
          <w:bCs/>
          <w:sz w:val="24"/>
          <w:vertAlign w:val="superscript"/>
        </w:rPr>
        <w:t xml:space="preserve"> </w:t>
      </w:r>
    </w:p>
    <w:p w14:paraId="3EA61D59" w14:textId="77777777" w:rsidR="002A0BE5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sz w:val="24"/>
        </w:rPr>
      </w:pPr>
    </w:p>
    <w:p w14:paraId="05C0B7AD" w14:textId="77777777" w:rsidR="002A0BE5" w:rsidRPr="00C81444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sz w:val="24"/>
        </w:rPr>
      </w:pPr>
      <w:proofErr w:type="spellStart"/>
      <w:proofErr w:type="gramStart"/>
      <w:r w:rsidRPr="00193D04">
        <w:rPr>
          <w:rFonts w:ascii="Times New Roman" w:eastAsia="宋体" w:hAnsi="Times New Roman" w:cs="Times New Roman" w:hint="eastAsia"/>
          <w:bCs/>
          <w:sz w:val="24"/>
          <w:vertAlign w:val="superscript"/>
        </w:rPr>
        <w:t>a</w:t>
      </w:r>
      <w:proofErr w:type="spellEnd"/>
      <w:proofErr w:type="gramEnd"/>
      <w:r>
        <w:rPr>
          <w:rFonts w:ascii="Times New Roman" w:eastAsia="宋体" w:hAnsi="Times New Roman" w:cs="Times New Roman"/>
          <w:bCs/>
          <w:sz w:val="24"/>
        </w:rPr>
        <w:t xml:space="preserve"> </w:t>
      </w:r>
      <w:r w:rsidRPr="00193D04">
        <w:rPr>
          <w:rFonts w:ascii="Times New Roman" w:eastAsia="宋体" w:hAnsi="Times New Roman" w:cs="Times New Roman"/>
          <w:bCs/>
          <w:i/>
          <w:sz w:val="24"/>
        </w:rPr>
        <w:t>Institute of Biomedical Health Technology and Engineering</w:t>
      </w:r>
      <w:r w:rsidRPr="00193D04">
        <w:rPr>
          <w:rFonts w:ascii="Times New Roman" w:eastAsia="宋体" w:hAnsi="Times New Roman" w:cs="Times New Roman" w:hint="eastAsia"/>
          <w:bCs/>
          <w:i/>
          <w:sz w:val="24"/>
        </w:rPr>
        <w:t>,</w:t>
      </w:r>
      <w:r w:rsidRPr="00193D04">
        <w:rPr>
          <w:rFonts w:ascii="Times New Roman" w:eastAsia="宋体" w:hAnsi="Times New Roman" w:cs="Times New Roman"/>
          <w:bCs/>
          <w:i/>
          <w:sz w:val="24"/>
        </w:rPr>
        <w:t xml:space="preserve"> Shenzhen Bay Laboratory, Shenzhen, 518</w:t>
      </w:r>
      <w:r>
        <w:rPr>
          <w:rFonts w:ascii="Times New Roman" w:eastAsia="宋体" w:hAnsi="Times New Roman" w:cs="Times New Roman"/>
          <w:bCs/>
          <w:i/>
          <w:sz w:val="24"/>
        </w:rPr>
        <w:t>132</w:t>
      </w:r>
      <w:r w:rsidRPr="00193D04">
        <w:rPr>
          <w:rFonts w:ascii="Times New Roman" w:eastAsia="宋体" w:hAnsi="Times New Roman" w:cs="Times New Roman"/>
          <w:bCs/>
          <w:i/>
          <w:sz w:val="24"/>
        </w:rPr>
        <w:t>, China</w:t>
      </w:r>
      <w:r>
        <w:rPr>
          <w:rFonts w:ascii="Times New Roman" w:eastAsia="宋体" w:hAnsi="Times New Roman" w:cs="Times New Roman"/>
          <w:bCs/>
          <w:i/>
          <w:sz w:val="24"/>
        </w:rPr>
        <w:t>.</w:t>
      </w:r>
    </w:p>
    <w:p w14:paraId="4D53213E" w14:textId="77777777" w:rsidR="002A0BE5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/>
          <w:sz w:val="24"/>
        </w:rPr>
      </w:pPr>
      <w:r>
        <w:rPr>
          <w:rFonts w:ascii="Times New Roman" w:eastAsia="宋体" w:hAnsi="Times New Roman" w:cs="Times New Roman"/>
          <w:bCs/>
          <w:sz w:val="24"/>
          <w:vertAlign w:val="superscript"/>
        </w:rPr>
        <w:t>b</w:t>
      </w:r>
      <w:r>
        <w:rPr>
          <w:rFonts w:ascii="Times New Roman" w:eastAsia="宋体" w:hAnsi="Times New Roman" w:cs="Times New Roman"/>
          <w:bCs/>
          <w:i/>
          <w:sz w:val="24"/>
        </w:rPr>
        <w:t xml:space="preserve"> </w:t>
      </w:r>
      <w:r w:rsidRPr="005661D3">
        <w:rPr>
          <w:rFonts w:ascii="Times New Roman" w:eastAsia="宋体" w:hAnsi="Times New Roman" w:cs="Times New Roman"/>
          <w:bCs/>
          <w:i/>
          <w:sz w:val="24"/>
        </w:rPr>
        <w:t xml:space="preserve">National Innovation Center for Molecular Drug, </w:t>
      </w:r>
      <w:proofErr w:type="spellStart"/>
      <w:r w:rsidRPr="005661D3">
        <w:rPr>
          <w:rFonts w:ascii="Times New Roman" w:eastAsia="宋体" w:hAnsi="Times New Roman" w:cs="Times New Roman"/>
          <w:bCs/>
          <w:i/>
          <w:sz w:val="24"/>
        </w:rPr>
        <w:t>GrandBio</w:t>
      </w:r>
      <w:proofErr w:type="spellEnd"/>
      <w:r w:rsidRPr="005661D3">
        <w:rPr>
          <w:rFonts w:ascii="Times New Roman" w:eastAsia="宋体" w:hAnsi="Times New Roman" w:cs="Times New Roman"/>
          <w:bCs/>
          <w:i/>
          <w:sz w:val="24"/>
        </w:rPr>
        <w:t xml:space="preserve"> Molecular Drug Innovations Center Co., Ltd. 518102, China.</w:t>
      </w:r>
    </w:p>
    <w:p w14:paraId="092F269C" w14:textId="77777777" w:rsidR="002A0BE5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sz w:val="24"/>
        </w:rPr>
      </w:pPr>
    </w:p>
    <w:p w14:paraId="70E8F567" w14:textId="77777777" w:rsidR="002A0BE5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sz w:val="24"/>
        </w:rPr>
      </w:pPr>
      <w:r w:rsidRPr="00301159">
        <w:rPr>
          <w:rFonts w:ascii="Times New Roman" w:eastAsia="宋体" w:hAnsi="Times New Roman" w:cs="Times New Roman" w:hint="eastAsia"/>
          <w:bCs/>
          <w:sz w:val="24"/>
          <w:vertAlign w:val="superscript"/>
        </w:rPr>
        <w:t>#</w:t>
      </w:r>
      <w:r w:rsidRPr="00FA2A9A">
        <w:rPr>
          <w:rFonts w:ascii="Times New Roman" w:eastAsia="宋体" w:hAnsi="Times New Roman" w:cs="Times New Roman"/>
          <w:bCs/>
          <w:sz w:val="24"/>
        </w:rPr>
        <w:t>These authors equally contributed to this work</w:t>
      </w:r>
      <w:r>
        <w:rPr>
          <w:rFonts w:ascii="Times New Roman" w:eastAsia="宋体" w:hAnsi="Times New Roman" w:cs="Times New Roman" w:hint="eastAsia"/>
          <w:bCs/>
          <w:sz w:val="24"/>
        </w:rPr>
        <w:t>.</w:t>
      </w:r>
    </w:p>
    <w:p w14:paraId="341B5C3E" w14:textId="77777777" w:rsidR="002A0BE5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sz w:val="24"/>
        </w:rPr>
      </w:pPr>
      <w:r w:rsidRPr="00E65D32">
        <w:rPr>
          <w:rFonts w:ascii="Times New Roman" w:eastAsia="宋体" w:hAnsi="Times New Roman" w:cs="Times New Roman"/>
          <w:bCs/>
          <w:sz w:val="24"/>
          <w:vertAlign w:val="superscript"/>
        </w:rPr>
        <w:t>*</w:t>
      </w:r>
      <w:r w:rsidRPr="00B2152C">
        <w:rPr>
          <w:rFonts w:ascii="Times New Roman" w:eastAsia="宋体" w:hAnsi="Times New Roman" w:cs="Times New Roman"/>
          <w:bCs/>
          <w:sz w:val="24"/>
        </w:rPr>
        <w:t>Correspond</w:t>
      </w:r>
      <w:r>
        <w:rPr>
          <w:rFonts w:ascii="Times New Roman" w:eastAsia="宋体" w:hAnsi="Times New Roman" w:cs="Times New Roman" w:hint="eastAsia"/>
          <w:bCs/>
          <w:sz w:val="24"/>
        </w:rPr>
        <w:t>ing author.</w:t>
      </w:r>
    </w:p>
    <w:p w14:paraId="18AE78B0" w14:textId="77777777" w:rsidR="002A0BE5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sz w:val="24"/>
        </w:rPr>
      </w:pPr>
      <w:r>
        <w:rPr>
          <w:rFonts w:ascii="Times New Roman" w:eastAsia="宋体" w:hAnsi="Times New Roman" w:cs="Times New Roman" w:hint="eastAsia"/>
          <w:bCs/>
          <w:sz w:val="24"/>
        </w:rPr>
        <w:t xml:space="preserve">Email </w:t>
      </w:r>
      <w:r>
        <w:rPr>
          <w:rFonts w:ascii="Times New Roman" w:eastAsia="宋体" w:hAnsi="Times New Roman" w:cs="Times New Roman"/>
          <w:bCs/>
          <w:sz w:val="24"/>
        </w:rPr>
        <w:t>addresses</w:t>
      </w:r>
      <w:r>
        <w:rPr>
          <w:rFonts w:ascii="Times New Roman" w:eastAsia="宋体" w:hAnsi="Times New Roman" w:cs="Times New Roman" w:hint="eastAsia"/>
          <w:bCs/>
          <w:sz w:val="24"/>
        </w:rPr>
        <w:t xml:space="preserve">: </w:t>
      </w:r>
      <w:hyperlink r:id="rId6" w:history="1">
        <w:r w:rsidRPr="008A4FC4">
          <w:rPr>
            <w:rStyle w:val="af3"/>
            <w:rFonts w:ascii="Times New Roman" w:eastAsia="宋体" w:hAnsi="Times New Roman" w:cs="Times New Roman"/>
            <w:bCs/>
            <w:sz w:val="24"/>
          </w:rPr>
          <w:t>fantt@szbl.ac.cn</w:t>
        </w:r>
      </w:hyperlink>
      <w:r>
        <w:rPr>
          <w:rFonts w:ascii="Times New Roman" w:eastAsia="宋体" w:hAnsi="Times New Roman" w:cs="Times New Roman" w:hint="eastAsia"/>
          <w:bCs/>
          <w:sz w:val="24"/>
        </w:rPr>
        <w:t xml:space="preserve"> (T. Fan)</w:t>
      </w:r>
    </w:p>
    <w:p w14:paraId="6FA1E08B" w14:textId="625ACE5D" w:rsidR="002A0BE5" w:rsidRDefault="002A0BE5">
      <w:pPr>
        <w:widowControl/>
        <w:spacing w:after="0" w:line="240" w:lineRule="auto"/>
        <w:rPr>
          <w:rFonts w:ascii="Times New Roman" w:eastAsia="宋体" w:hAnsi="Times New Roman" w:cs="Times New Roman"/>
          <w:bCs/>
          <w:i/>
          <w:sz w:val="24"/>
        </w:rPr>
      </w:pPr>
      <w:r>
        <w:rPr>
          <w:rFonts w:ascii="Times New Roman" w:eastAsia="宋体" w:hAnsi="Times New Roman" w:cs="Times New Roman"/>
          <w:bCs/>
          <w:i/>
          <w:sz w:val="24"/>
        </w:rPr>
        <w:br w:type="page"/>
      </w:r>
    </w:p>
    <w:p w14:paraId="121754C3" w14:textId="6C7919F6" w:rsidR="00793B3C" w:rsidRDefault="00793B3C" w:rsidP="00934F66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Cs/>
          <w:sz w:val="24"/>
        </w:rPr>
      </w:pPr>
      <w:r w:rsidRPr="00793B3C">
        <w:rPr>
          <w:rFonts w:ascii="Times New Roman" w:eastAsia="宋体" w:hAnsi="Times New Roman" w:cs="Times New Roman"/>
          <w:bCs/>
          <w:iCs/>
          <w:noProof/>
          <w:sz w:val="24"/>
        </w:rPr>
        <w:lastRenderedPageBreak/>
        <w:drawing>
          <wp:inline distT="0" distB="0" distL="0" distR="0" wp14:anchorId="783FB897" wp14:editId="228E9E4F">
            <wp:extent cx="5274310" cy="4345940"/>
            <wp:effectExtent l="0" t="0" r="0" b="0"/>
            <wp:docPr id="8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FD073953-424E-F06A-534D-DB6280B11C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FD073953-424E-F06A-534D-DB6280B11C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A1EC" w14:textId="1789C61E" w:rsidR="00BF2C2E" w:rsidRDefault="001A0ADF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Cs/>
          <w:sz w:val="24"/>
        </w:rPr>
      </w:pPr>
      <w:r w:rsidRPr="003C500A">
        <w:rPr>
          <w:rFonts w:ascii="Times New Roman" w:hAnsi="Times New Roman" w:cs="Times New Roman" w:hint="eastAsia"/>
          <w:b/>
          <w:bCs/>
          <w:sz w:val="24"/>
          <w:szCs w:val="28"/>
        </w:rPr>
        <w:t>Fig. S1.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1A0ADF">
        <w:rPr>
          <w:rFonts w:ascii="Times New Roman" w:eastAsia="宋体" w:hAnsi="Times New Roman" w:cs="Times New Roman"/>
          <w:b/>
          <w:bCs/>
          <w:iCs/>
          <w:sz w:val="24"/>
        </w:rPr>
        <w:t xml:space="preserve">Degradation of PET fluorescent microspheres by </w:t>
      </w:r>
      <w:proofErr w:type="spellStart"/>
      <w:r w:rsidRPr="001A0ADF">
        <w:rPr>
          <w:rFonts w:ascii="Times New Roman" w:eastAsia="宋体" w:hAnsi="Times New Roman" w:cs="Times New Roman"/>
          <w:b/>
          <w:bCs/>
          <w:i/>
          <w:iCs/>
          <w:sz w:val="24"/>
        </w:rPr>
        <w:t>Ideonella</w:t>
      </w:r>
      <w:proofErr w:type="spellEnd"/>
      <w:r w:rsidRPr="001A0ADF">
        <w:rPr>
          <w:rFonts w:ascii="Times New Roman" w:eastAsia="宋体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1A0ADF">
        <w:rPr>
          <w:rFonts w:ascii="Times New Roman" w:eastAsia="宋体" w:hAnsi="Times New Roman" w:cs="Times New Roman"/>
          <w:b/>
          <w:bCs/>
          <w:i/>
          <w:iCs/>
          <w:sz w:val="24"/>
        </w:rPr>
        <w:t>sakaiensis</w:t>
      </w:r>
      <w:proofErr w:type="spellEnd"/>
      <w:r w:rsidRPr="001A0ADF">
        <w:rPr>
          <w:rFonts w:ascii="Times New Roman" w:eastAsia="宋体" w:hAnsi="Times New Roman" w:cs="Times New Roman"/>
          <w:b/>
          <w:bCs/>
          <w:iCs/>
          <w:sz w:val="24"/>
        </w:rPr>
        <w:t xml:space="preserve"> under different conditions.</w:t>
      </w:r>
      <w:r w:rsidR="002A0BE5">
        <w:rPr>
          <w:rFonts w:ascii="Times New Roman" w:eastAsia="宋体" w:hAnsi="Times New Roman" w:cs="Times New Roman" w:hint="eastAsia"/>
          <w:bCs/>
          <w:iCs/>
          <w:sz w:val="24"/>
        </w:rPr>
        <w:t xml:space="preserve"> </w:t>
      </w:r>
      <w:r w:rsidRPr="001A0ADF">
        <w:rPr>
          <w:rFonts w:ascii="Times New Roman" w:eastAsia="宋体" w:hAnsi="Times New Roman" w:cs="Times New Roman"/>
          <w:bCs/>
          <w:iCs/>
          <w:sz w:val="24"/>
        </w:rPr>
        <w:t xml:space="preserve">(A) Effect of pH (6, 7, 8) on degradation over 15 days. (B) Effect of temperature (28 °C, 37 °C) on degradation over 15 days. (C) Effect of substrate concentration (0.03%, 0.1%) on degradation over 15 days. Data are mean ± SD (n = 3). </w:t>
      </w:r>
      <w:r w:rsidRPr="001A0ADF">
        <w:rPr>
          <w:rFonts w:ascii="Times New Roman" w:eastAsia="宋体" w:hAnsi="Times New Roman" w:cs="Times New Roman"/>
          <w:bCs/>
          <w:iCs/>
          <w:sz w:val="24"/>
          <w:vertAlign w:val="superscript"/>
        </w:rPr>
        <w:t>*</w:t>
      </w:r>
      <w:r w:rsidRPr="001A0ADF">
        <w:rPr>
          <w:rFonts w:ascii="Times New Roman" w:eastAsia="宋体" w:hAnsi="Times New Roman" w:cs="Times New Roman"/>
          <w:bCs/>
          <w:i/>
          <w:sz w:val="24"/>
        </w:rPr>
        <w:t>p</w:t>
      </w:r>
      <w:r w:rsidRPr="001A0ADF">
        <w:rPr>
          <w:rFonts w:ascii="Times New Roman" w:eastAsia="宋体" w:hAnsi="Times New Roman" w:cs="Times New Roman"/>
          <w:bCs/>
          <w:iCs/>
          <w:sz w:val="24"/>
        </w:rPr>
        <w:t xml:space="preserve"> &lt; 0.05.</w:t>
      </w:r>
    </w:p>
    <w:p w14:paraId="4F440FB7" w14:textId="77777777" w:rsidR="00F1056F" w:rsidRDefault="00F1056F" w:rsidP="001A0ADF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Cs/>
          <w:sz w:val="24"/>
        </w:rPr>
      </w:pPr>
    </w:p>
    <w:p w14:paraId="3D3F0E78" w14:textId="0A30DA66" w:rsidR="00F1056F" w:rsidRDefault="00F1056F" w:rsidP="001A0ADF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Cs/>
          <w:sz w:val="24"/>
        </w:rPr>
      </w:pPr>
      <w:r w:rsidRPr="00F1056F">
        <w:rPr>
          <w:rFonts w:ascii="Times New Roman" w:eastAsia="宋体" w:hAnsi="Times New Roman" w:cs="Times New Roman"/>
          <w:bCs/>
          <w:iCs/>
          <w:noProof/>
          <w:sz w:val="24"/>
        </w:rPr>
        <w:lastRenderedPageBreak/>
        <w:drawing>
          <wp:inline distT="0" distB="0" distL="0" distR="0" wp14:anchorId="0F373EF1" wp14:editId="55766CC1">
            <wp:extent cx="4663844" cy="4432176"/>
            <wp:effectExtent l="0" t="0" r="3810" b="6985"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7AAD22BB-2DC2-ABF6-C303-C6CABBBA6E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7AAD22BB-2DC2-ABF6-C303-C6CABBBA6E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443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D16E6" w14:textId="6D27726A" w:rsidR="00F1056F" w:rsidRPr="00F1056F" w:rsidRDefault="00F1056F" w:rsidP="00F1056F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Cs/>
          <w:sz w:val="24"/>
        </w:rPr>
      </w:pPr>
      <w:r w:rsidRPr="003C500A">
        <w:rPr>
          <w:rFonts w:ascii="Times New Roman" w:hAnsi="Times New Roman" w:cs="Times New Roman" w:hint="eastAsia"/>
          <w:b/>
          <w:bCs/>
          <w:sz w:val="24"/>
          <w:szCs w:val="28"/>
        </w:rPr>
        <w:t>Fig. 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2</w:t>
      </w:r>
      <w:r w:rsidRPr="003C500A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F1056F">
        <w:rPr>
          <w:rFonts w:ascii="Times New Roman" w:eastAsia="宋体" w:hAnsi="Times New Roman" w:cs="Times New Roman"/>
          <w:b/>
          <w:bCs/>
          <w:iCs/>
          <w:sz w:val="24"/>
        </w:rPr>
        <w:t xml:space="preserve"> LC-MS analysis of PET powder degradation products in the control group (without </w:t>
      </w:r>
      <w:proofErr w:type="spellStart"/>
      <w:r w:rsidRPr="00F1056F">
        <w:rPr>
          <w:rFonts w:ascii="Times New Roman" w:eastAsia="宋体" w:hAnsi="Times New Roman" w:cs="Times New Roman"/>
          <w:b/>
          <w:bCs/>
          <w:i/>
          <w:iCs/>
          <w:sz w:val="24"/>
        </w:rPr>
        <w:t>Ideonella</w:t>
      </w:r>
      <w:proofErr w:type="spellEnd"/>
      <w:r w:rsidRPr="00F1056F">
        <w:rPr>
          <w:rFonts w:ascii="Times New Roman" w:eastAsia="宋体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F1056F">
        <w:rPr>
          <w:rFonts w:ascii="Times New Roman" w:eastAsia="宋体" w:hAnsi="Times New Roman" w:cs="Times New Roman"/>
          <w:b/>
          <w:bCs/>
          <w:i/>
          <w:iCs/>
          <w:sz w:val="24"/>
        </w:rPr>
        <w:t>sakaiensis</w:t>
      </w:r>
      <w:proofErr w:type="spellEnd"/>
      <w:r w:rsidRPr="00F1056F">
        <w:rPr>
          <w:rFonts w:ascii="Times New Roman" w:eastAsia="宋体" w:hAnsi="Times New Roman" w:cs="Times New Roman"/>
          <w:b/>
          <w:bCs/>
          <w:iCs/>
          <w:sz w:val="24"/>
        </w:rPr>
        <w:t>).</w:t>
      </w:r>
    </w:p>
    <w:p w14:paraId="03B427B0" w14:textId="68F807C2" w:rsidR="00F1056F" w:rsidRDefault="00F1056F" w:rsidP="004C5E2A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i/>
          <w:iCs/>
          <w:sz w:val="24"/>
        </w:rPr>
      </w:pPr>
      <w:r w:rsidRPr="00F1056F">
        <w:rPr>
          <w:rFonts w:ascii="Times New Roman" w:eastAsia="宋体" w:hAnsi="Times New Roman" w:cs="Times New Roman"/>
          <w:bCs/>
          <w:iCs/>
          <w:sz w:val="24"/>
        </w:rPr>
        <w:t xml:space="preserve">LC-MS spectra showing the absence of characteristic monomer peaks for terephthalic acid (TPA, m/z = 165.01853), mono(2-hydroxyethyl) terephthalate (MHET, m/z = 209.04514), and bis(2-hydroxyethyl) terephthalate (BHET, m/z = 255.08593) in the control group, confirming that no significant PET hydrolysis occurred in the absence of </w:t>
      </w:r>
      <w:proofErr w:type="spellStart"/>
      <w:r w:rsidR="004C5E2A" w:rsidRPr="001A0ADF">
        <w:rPr>
          <w:rFonts w:ascii="Times New Roman" w:eastAsia="宋体" w:hAnsi="Times New Roman" w:cs="Times New Roman"/>
          <w:i/>
          <w:iCs/>
          <w:sz w:val="24"/>
        </w:rPr>
        <w:t>Ideonella</w:t>
      </w:r>
      <w:proofErr w:type="spellEnd"/>
      <w:r w:rsidR="004C5E2A" w:rsidRPr="001A0ADF">
        <w:rPr>
          <w:rFonts w:ascii="Times New Roman" w:eastAsia="宋体" w:hAnsi="Times New Roman" w:cs="Times New Roman"/>
          <w:i/>
          <w:iCs/>
          <w:sz w:val="24"/>
        </w:rPr>
        <w:t xml:space="preserve"> </w:t>
      </w:r>
      <w:proofErr w:type="spellStart"/>
      <w:r w:rsidR="004C5E2A" w:rsidRPr="001A0ADF">
        <w:rPr>
          <w:rFonts w:ascii="Times New Roman" w:eastAsia="宋体" w:hAnsi="Times New Roman" w:cs="Times New Roman"/>
          <w:i/>
          <w:iCs/>
          <w:sz w:val="24"/>
        </w:rPr>
        <w:t>sakaiensis</w:t>
      </w:r>
      <w:proofErr w:type="spellEnd"/>
      <w:r w:rsidR="004C5E2A" w:rsidRPr="004C5E2A">
        <w:rPr>
          <w:rFonts w:ascii="Times New Roman" w:eastAsia="宋体" w:hAnsi="Times New Roman" w:cs="Times New Roman" w:hint="eastAsia"/>
          <w:i/>
          <w:iCs/>
          <w:sz w:val="24"/>
        </w:rPr>
        <w:t>.</w:t>
      </w:r>
    </w:p>
    <w:p w14:paraId="3B0A6D4D" w14:textId="77777777" w:rsidR="00951C41" w:rsidRDefault="00951C41" w:rsidP="004C5E2A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i/>
          <w:iCs/>
          <w:sz w:val="24"/>
        </w:rPr>
      </w:pPr>
    </w:p>
    <w:p w14:paraId="743FB3C3" w14:textId="62171EF9" w:rsidR="00951C41" w:rsidRDefault="00CB420D" w:rsidP="004C5E2A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i/>
          <w:iCs/>
          <w:sz w:val="24"/>
        </w:rPr>
      </w:pPr>
      <w:r w:rsidRPr="00CB420D">
        <w:rPr>
          <w:rFonts w:ascii="Times New Roman" w:eastAsia="宋体" w:hAnsi="Times New Roman" w:cs="Times New Roman"/>
          <w:i/>
          <w:iCs/>
          <w:noProof/>
          <w:sz w:val="24"/>
        </w:rPr>
        <w:lastRenderedPageBreak/>
        <w:drawing>
          <wp:inline distT="0" distB="0" distL="0" distR="0" wp14:anchorId="2C0C16AB" wp14:editId="66CE5A49">
            <wp:extent cx="4615072" cy="5255207"/>
            <wp:effectExtent l="0" t="0" r="0" b="3175"/>
            <wp:docPr id="1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67BC612F-AB91-517A-589F-4E7559257C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67BC612F-AB91-517A-589F-4E7559257C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5072" cy="525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57469" w14:textId="317AEEFF" w:rsidR="00951C41" w:rsidRPr="00951C41" w:rsidRDefault="00951C41" w:rsidP="00951C41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Cs/>
          <w:sz w:val="24"/>
        </w:rPr>
      </w:pPr>
      <w:r w:rsidRPr="003C500A">
        <w:rPr>
          <w:rFonts w:ascii="Times New Roman" w:hAnsi="Times New Roman" w:cs="Times New Roman" w:hint="eastAsia"/>
          <w:b/>
          <w:bCs/>
          <w:sz w:val="24"/>
          <w:szCs w:val="28"/>
        </w:rPr>
        <w:t>Fig. 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3</w:t>
      </w:r>
      <w:r w:rsidRPr="003C500A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F1056F">
        <w:rPr>
          <w:rFonts w:ascii="Times New Roman" w:eastAsia="宋体" w:hAnsi="Times New Roman" w:cs="Times New Roman"/>
          <w:b/>
          <w:bCs/>
          <w:iCs/>
          <w:sz w:val="24"/>
        </w:rPr>
        <w:t xml:space="preserve"> </w:t>
      </w:r>
      <w:r w:rsidRPr="00951C41">
        <w:rPr>
          <w:rFonts w:ascii="Times New Roman" w:eastAsia="宋体" w:hAnsi="Times New Roman" w:cs="Times New Roman"/>
          <w:b/>
          <w:bCs/>
          <w:iCs/>
          <w:sz w:val="24"/>
        </w:rPr>
        <w:t xml:space="preserve">LC-MS analysis of the </w:t>
      </w:r>
      <w:proofErr w:type="spellStart"/>
      <w:r w:rsidRPr="00951C41">
        <w:rPr>
          <w:rFonts w:ascii="Times New Roman" w:eastAsia="宋体" w:hAnsi="Times New Roman" w:cs="Times New Roman"/>
          <w:b/>
          <w:bCs/>
          <w:i/>
          <w:iCs/>
          <w:sz w:val="24"/>
        </w:rPr>
        <w:t>Ideonella</w:t>
      </w:r>
      <w:proofErr w:type="spellEnd"/>
      <w:r w:rsidRPr="00951C41">
        <w:rPr>
          <w:rFonts w:ascii="Times New Roman" w:eastAsia="宋体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951C41">
        <w:rPr>
          <w:rFonts w:ascii="Times New Roman" w:eastAsia="宋体" w:hAnsi="Times New Roman" w:cs="Times New Roman"/>
          <w:b/>
          <w:bCs/>
          <w:i/>
          <w:iCs/>
          <w:sz w:val="24"/>
        </w:rPr>
        <w:t>sakaiensis</w:t>
      </w:r>
      <w:proofErr w:type="spellEnd"/>
      <w:r w:rsidRPr="00951C41">
        <w:rPr>
          <w:rFonts w:ascii="Times New Roman" w:eastAsia="宋体" w:hAnsi="Times New Roman" w:cs="Times New Roman"/>
          <w:b/>
          <w:bCs/>
          <w:iCs/>
          <w:sz w:val="24"/>
        </w:rPr>
        <w:t xml:space="preserve"> only control group (without PET powder).</w:t>
      </w:r>
    </w:p>
    <w:p w14:paraId="18EBAD66" w14:textId="363FDD33" w:rsidR="00951C41" w:rsidRDefault="00951C41" w:rsidP="00951C41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bCs/>
          <w:iCs/>
          <w:sz w:val="24"/>
        </w:rPr>
      </w:pPr>
      <w:r w:rsidRPr="00951C41">
        <w:rPr>
          <w:rFonts w:ascii="Times New Roman" w:eastAsia="宋体" w:hAnsi="Times New Roman" w:cs="Times New Roman"/>
          <w:bCs/>
          <w:iCs/>
          <w:sz w:val="24"/>
        </w:rPr>
        <w:t>LC-MS spectra confirm the absence of characteristic monomer peaks for terephthalic acid (TPA, m/z = 165.01853), mono(2-hydroxyethyl) terephthalate (MHET, m/z = 209.04514), and bis(2-hydroxyethyl) terephthalate (BHET, m/z = 255.08593), verifying that these products are derived from PET hydrolysis, not bacterial metabolism.</w:t>
      </w:r>
    </w:p>
    <w:p w14:paraId="6B254991" w14:textId="77777777" w:rsidR="002A63B0" w:rsidRDefault="002A63B0" w:rsidP="00951C41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bCs/>
          <w:iCs/>
          <w:sz w:val="24"/>
        </w:rPr>
      </w:pPr>
    </w:p>
    <w:p w14:paraId="386CDF15" w14:textId="77777777" w:rsidR="002A63B0" w:rsidRDefault="002A63B0" w:rsidP="00951C41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bCs/>
          <w:iCs/>
          <w:sz w:val="24"/>
        </w:rPr>
      </w:pPr>
    </w:p>
    <w:p w14:paraId="606A95CE" w14:textId="77777777" w:rsidR="002A63B0" w:rsidRDefault="002A63B0" w:rsidP="00951C41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bCs/>
          <w:iCs/>
          <w:sz w:val="24"/>
        </w:rPr>
      </w:pPr>
    </w:p>
    <w:p w14:paraId="08D45352" w14:textId="6CE0B383" w:rsidR="002A63B0" w:rsidRDefault="00FA6D7F" w:rsidP="00FA6D7F">
      <w:pPr>
        <w:adjustRightInd w:val="0"/>
        <w:snapToGrid w:val="0"/>
        <w:spacing w:line="276" w:lineRule="auto"/>
        <w:jc w:val="center"/>
        <w:rPr>
          <w:rFonts w:ascii="Times New Roman" w:eastAsia="宋体" w:hAnsi="Times New Roman" w:cs="Times New Roman"/>
          <w:bCs/>
          <w:iCs/>
          <w:sz w:val="24"/>
        </w:rPr>
      </w:pPr>
      <w:r w:rsidRPr="00FA6D7F">
        <w:rPr>
          <w:rFonts w:ascii="Times New Roman" w:eastAsia="宋体" w:hAnsi="Times New Roman" w:cs="Times New Roman"/>
          <w:bCs/>
          <w:iCs/>
          <w:noProof/>
          <w:sz w:val="24"/>
        </w:rPr>
        <w:lastRenderedPageBreak/>
        <w:drawing>
          <wp:inline distT="0" distB="0" distL="0" distR="0" wp14:anchorId="03538C79" wp14:editId="3740B661">
            <wp:extent cx="3596952" cy="3426249"/>
            <wp:effectExtent l="0" t="0" r="3810" b="3175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E93762E3-DF11-5142-195B-F33CA8231C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E93762E3-DF11-5142-195B-F33CA8231C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6952" cy="342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B6A68" w14:textId="3A948426" w:rsidR="00451327" w:rsidRPr="002A0BE5" w:rsidRDefault="00807D5C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Cs/>
          <w:sz w:val="24"/>
        </w:rPr>
      </w:pPr>
      <w:r w:rsidRPr="003C500A">
        <w:rPr>
          <w:rFonts w:ascii="Times New Roman" w:hAnsi="Times New Roman" w:cs="Times New Roman" w:hint="eastAsia"/>
          <w:b/>
          <w:bCs/>
          <w:sz w:val="24"/>
          <w:szCs w:val="28"/>
        </w:rPr>
        <w:t>Fig. S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4</w:t>
      </w:r>
      <w:r w:rsidRPr="003C500A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807D5C">
        <w:rPr>
          <w:rFonts w:ascii="Times New Roman" w:eastAsia="宋体" w:hAnsi="Times New Roman" w:cs="Times New Roman"/>
          <w:b/>
          <w:bCs/>
          <w:iCs/>
          <w:sz w:val="24"/>
        </w:rPr>
        <w:t xml:space="preserve">TEM analysis of </w:t>
      </w:r>
      <w:r w:rsidR="00320446" w:rsidRPr="00320446">
        <w:rPr>
          <w:rFonts w:ascii="Times New Roman" w:hAnsi="Times New Roman" w:cs="Times New Roman"/>
          <w:b/>
          <w:bCs/>
          <w:sz w:val="24"/>
        </w:rPr>
        <w:t>chitosan nanoparticles (CS-NPs)</w:t>
      </w:r>
      <w:r w:rsidR="00320446">
        <w:rPr>
          <w:rFonts w:ascii="Times New Roman" w:hAnsi="Times New Roman" w:cs="Times New Roman" w:hint="eastAsia"/>
          <w:sz w:val="24"/>
        </w:rPr>
        <w:t xml:space="preserve"> </w:t>
      </w:r>
      <w:r w:rsidRPr="00807D5C">
        <w:rPr>
          <w:rFonts w:ascii="Times New Roman" w:eastAsia="宋体" w:hAnsi="Times New Roman" w:cs="Times New Roman"/>
          <w:b/>
          <w:bCs/>
          <w:iCs/>
          <w:sz w:val="24"/>
        </w:rPr>
        <w:t xml:space="preserve">mediated adsorption of </w:t>
      </w:r>
      <w:proofErr w:type="spellStart"/>
      <w:r w:rsidRPr="00807D5C">
        <w:rPr>
          <w:rFonts w:ascii="Times New Roman" w:eastAsia="宋体" w:hAnsi="Times New Roman" w:cs="Times New Roman"/>
          <w:b/>
          <w:bCs/>
          <w:i/>
          <w:iCs/>
          <w:sz w:val="24"/>
        </w:rPr>
        <w:t>Ideonella</w:t>
      </w:r>
      <w:proofErr w:type="spellEnd"/>
      <w:r w:rsidRPr="00807D5C">
        <w:rPr>
          <w:rFonts w:ascii="Times New Roman" w:eastAsia="宋体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807D5C">
        <w:rPr>
          <w:rFonts w:ascii="Times New Roman" w:eastAsia="宋体" w:hAnsi="Times New Roman" w:cs="Times New Roman"/>
          <w:b/>
          <w:bCs/>
          <w:i/>
          <w:iCs/>
          <w:sz w:val="24"/>
        </w:rPr>
        <w:t>sakaiensis</w:t>
      </w:r>
      <w:proofErr w:type="spellEnd"/>
      <w:r w:rsidRPr="00807D5C">
        <w:rPr>
          <w:rFonts w:ascii="Times New Roman" w:eastAsia="宋体" w:hAnsi="Times New Roman" w:cs="Times New Roman"/>
          <w:b/>
          <w:bCs/>
          <w:iCs/>
          <w:sz w:val="24"/>
        </w:rPr>
        <w:t xml:space="preserve"> to PET microspheres.</w:t>
      </w:r>
      <w:r w:rsidR="002A0BE5">
        <w:rPr>
          <w:rFonts w:ascii="Times New Roman" w:eastAsia="宋体" w:hAnsi="Times New Roman" w:cs="Times New Roman" w:hint="eastAsia"/>
          <w:bCs/>
          <w:iCs/>
          <w:sz w:val="24"/>
        </w:rPr>
        <w:t xml:space="preserve"> </w:t>
      </w:r>
      <w:r w:rsidRPr="00807D5C">
        <w:rPr>
          <w:rFonts w:ascii="Times New Roman" w:eastAsia="宋体" w:hAnsi="Times New Roman" w:cs="Times New Roman"/>
          <w:bCs/>
          <w:iCs/>
          <w:sz w:val="24"/>
        </w:rPr>
        <w:t xml:space="preserve">(A) </w:t>
      </w:r>
      <w:r w:rsidR="00320446" w:rsidRPr="00320446">
        <w:rPr>
          <w:rFonts w:ascii="Times New Roman" w:hAnsi="Times New Roman" w:cs="Times New Roman"/>
          <w:sz w:val="24"/>
        </w:rPr>
        <w:t>CS-NPs</w:t>
      </w:r>
      <w:r w:rsidRPr="00807D5C">
        <w:rPr>
          <w:rFonts w:ascii="Times New Roman" w:eastAsia="宋体" w:hAnsi="Times New Roman" w:cs="Times New Roman"/>
          <w:bCs/>
          <w:iCs/>
          <w:sz w:val="24"/>
        </w:rPr>
        <w:t xml:space="preserve"> mediates tight adsorption of rod-shaped </w:t>
      </w:r>
      <w:proofErr w:type="spellStart"/>
      <w:r w:rsidR="002A0BE5" w:rsidRPr="002A0BE5">
        <w:rPr>
          <w:rFonts w:ascii="Times New Roman" w:eastAsia="宋体" w:hAnsi="Times New Roman" w:cs="Times New Roman"/>
          <w:bCs/>
          <w:i/>
          <w:iCs/>
          <w:sz w:val="24"/>
        </w:rPr>
        <w:t>Ideonella</w:t>
      </w:r>
      <w:proofErr w:type="spellEnd"/>
      <w:r w:rsidR="002A0BE5" w:rsidRPr="002A0BE5">
        <w:rPr>
          <w:rFonts w:ascii="Times New Roman" w:eastAsia="宋体" w:hAnsi="Times New Roman" w:cs="Times New Roman"/>
          <w:bCs/>
          <w:i/>
          <w:iCs/>
          <w:sz w:val="24"/>
        </w:rPr>
        <w:t xml:space="preserve"> </w:t>
      </w:r>
      <w:proofErr w:type="spellStart"/>
      <w:r w:rsidR="002A0BE5" w:rsidRPr="002A0BE5">
        <w:rPr>
          <w:rFonts w:ascii="Times New Roman" w:eastAsia="宋体" w:hAnsi="Times New Roman" w:cs="Times New Roman"/>
          <w:bCs/>
          <w:i/>
          <w:iCs/>
          <w:sz w:val="24"/>
        </w:rPr>
        <w:t>sakaiensis</w:t>
      </w:r>
      <w:proofErr w:type="spellEnd"/>
      <w:r w:rsidRPr="00807D5C">
        <w:rPr>
          <w:rFonts w:ascii="Times New Roman" w:eastAsia="宋体" w:hAnsi="Times New Roman" w:cs="Times New Roman"/>
          <w:bCs/>
          <w:iCs/>
          <w:sz w:val="24"/>
        </w:rPr>
        <w:t xml:space="preserve"> to PET microspheres, with the magnified inset showing intimate contact.</w:t>
      </w:r>
      <w:r>
        <w:rPr>
          <w:rFonts w:ascii="Times New Roman" w:eastAsia="宋体" w:hAnsi="Times New Roman" w:cs="Times New Roman" w:hint="eastAsia"/>
          <w:bCs/>
          <w:iCs/>
          <w:sz w:val="24"/>
        </w:rPr>
        <w:t xml:space="preserve"> </w:t>
      </w:r>
      <w:r w:rsidRPr="00807D5C">
        <w:rPr>
          <w:rFonts w:ascii="Times New Roman" w:eastAsia="宋体" w:hAnsi="Times New Roman" w:cs="Times New Roman"/>
          <w:bCs/>
          <w:iCs/>
          <w:sz w:val="24"/>
        </w:rPr>
        <w:t>(B) Control (</w:t>
      </w:r>
      <w:r w:rsidR="002A0BE5">
        <w:rPr>
          <w:rFonts w:ascii="Times New Roman" w:eastAsia="宋体" w:hAnsi="Times New Roman" w:cs="Times New Roman"/>
          <w:bCs/>
          <w:iCs/>
          <w:sz w:val="24"/>
        </w:rPr>
        <w:t>CS-NPs</w:t>
      </w:r>
      <w:r w:rsidRPr="00807D5C">
        <w:rPr>
          <w:rFonts w:ascii="Times New Roman" w:eastAsia="宋体" w:hAnsi="Times New Roman" w:cs="Times New Roman"/>
          <w:bCs/>
          <w:iCs/>
          <w:sz w:val="24"/>
        </w:rPr>
        <w:t xml:space="preserve"> + PET microspheres only) confirms no rod-shaped structures in the absence of bacteria.</w:t>
      </w:r>
      <w:r>
        <w:rPr>
          <w:rFonts w:ascii="Times New Roman" w:eastAsia="宋体" w:hAnsi="Times New Roman" w:cs="Times New Roman" w:hint="eastAsia"/>
          <w:bCs/>
          <w:iCs/>
          <w:sz w:val="24"/>
        </w:rPr>
        <w:t xml:space="preserve"> </w:t>
      </w:r>
      <w:r w:rsidR="00320446" w:rsidRPr="00320446">
        <w:rPr>
          <w:rFonts w:ascii="Times New Roman" w:hAnsi="Times New Roman" w:cs="Times New Roman"/>
          <w:sz w:val="24"/>
        </w:rPr>
        <w:t>CS-NPs</w:t>
      </w:r>
      <w:r w:rsidRPr="00807D5C">
        <w:rPr>
          <w:rFonts w:ascii="Times New Roman" w:eastAsia="宋体" w:hAnsi="Times New Roman" w:cs="Times New Roman"/>
          <w:bCs/>
          <w:iCs/>
          <w:sz w:val="24"/>
        </w:rPr>
        <w:t xml:space="preserve"> acts as an interfacial mediator to enhance bacterial adhesion to PET, a prerequisite for efficient biodegradation</w:t>
      </w:r>
      <w:r w:rsidRPr="002A0BE5">
        <w:rPr>
          <w:rFonts w:ascii="Times New Roman" w:eastAsia="宋体" w:hAnsi="Times New Roman" w:cs="Times New Roman"/>
          <w:bCs/>
          <w:iCs/>
          <w:sz w:val="24"/>
        </w:rPr>
        <w:t>.</w:t>
      </w:r>
      <w:r w:rsidR="00451327" w:rsidRPr="002A0BE5">
        <w:rPr>
          <w:rFonts w:ascii="Times New Roman" w:eastAsia="宋体" w:hAnsi="Times New Roman" w:cs="Times New Roman" w:hint="eastAsia"/>
          <w:bCs/>
          <w:iCs/>
          <w:sz w:val="24"/>
        </w:rPr>
        <w:t xml:space="preserve"> </w:t>
      </w:r>
      <w:r w:rsidR="00451327" w:rsidRPr="002A0BE5">
        <w:rPr>
          <w:rFonts w:ascii="Times New Roman" w:eastAsia="宋体" w:hAnsi="Times New Roman" w:cs="Times New Roman"/>
          <w:sz w:val="24"/>
        </w:rPr>
        <w:t xml:space="preserve">Scale bar: 1 </w:t>
      </w:r>
      <w:proofErr w:type="spellStart"/>
      <w:r w:rsidR="00451327" w:rsidRPr="002A0BE5">
        <w:rPr>
          <w:rFonts w:ascii="Times New Roman" w:eastAsia="宋体" w:hAnsi="Times New Roman" w:cs="Times New Roman"/>
          <w:sz w:val="24"/>
        </w:rPr>
        <w:t>μm</w:t>
      </w:r>
      <w:proofErr w:type="spellEnd"/>
      <w:r w:rsidR="00451327" w:rsidRPr="002A0BE5">
        <w:rPr>
          <w:rFonts w:ascii="Times New Roman" w:eastAsia="宋体" w:hAnsi="Times New Roman" w:cs="Times New Roman"/>
          <w:sz w:val="24"/>
        </w:rPr>
        <w:t>.</w:t>
      </w:r>
      <w:r w:rsidR="00451327">
        <w:rPr>
          <w:rFonts w:ascii="Times New Roman" w:eastAsia="宋体" w:hAnsi="Times New Roman" w:cs="Times New Roman" w:hint="eastAsia"/>
          <w:sz w:val="24"/>
        </w:rPr>
        <w:t xml:space="preserve"> </w:t>
      </w:r>
    </w:p>
    <w:p w14:paraId="15C11F96" w14:textId="195DE808" w:rsidR="00807D5C" w:rsidRDefault="00807D5C" w:rsidP="00320446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bCs/>
          <w:iCs/>
          <w:sz w:val="24"/>
        </w:rPr>
      </w:pPr>
    </w:p>
    <w:p w14:paraId="0EE9A53D" w14:textId="77777777" w:rsidR="00A65E38" w:rsidRDefault="00A65E38" w:rsidP="00320446">
      <w:pPr>
        <w:adjustRightInd w:val="0"/>
        <w:snapToGrid w:val="0"/>
        <w:spacing w:line="276" w:lineRule="auto"/>
        <w:ind w:firstLineChars="200" w:firstLine="482"/>
        <w:jc w:val="both"/>
        <w:rPr>
          <w:rFonts w:ascii="Times New Roman" w:eastAsia="宋体" w:hAnsi="Times New Roman" w:cs="Times New Roman"/>
          <w:b/>
          <w:iCs/>
          <w:sz w:val="24"/>
        </w:rPr>
      </w:pPr>
    </w:p>
    <w:p w14:paraId="56D9BF01" w14:textId="62C03208" w:rsidR="00660827" w:rsidRDefault="002A0BE5" w:rsidP="002A0BE5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Table S1</w:t>
      </w:r>
      <w:r w:rsidRPr="00A65E38">
        <w:rPr>
          <w:rFonts w:ascii="Times New Roman" w:hAnsi="Times New Roman" w:cs="Times New Roman" w:hint="eastAsia"/>
          <w:b/>
          <w:sz w:val="24"/>
          <w:szCs w:val="28"/>
        </w:rPr>
        <w:t xml:space="preserve">. </w:t>
      </w:r>
      <w:r w:rsidRPr="00A65E38">
        <w:rPr>
          <w:rFonts w:ascii="Times New Roman" w:eastAsia="宋体" w:hAnsi="Times New Roman" w:cs="Times New Roman" w:hint="eastAsia"/>
          <w:b/>
          <w:iCs/>
          <w:sz w:val="24"/>
        </w:rPr>
        <w:t xml:space="preserve">Zeta potential analysis of </w:t>
      </w:r>
      <w:proofErr w:type="spellStart"/>
      <w:r w:rsidRPr="00A65E38">
        <w:rPr>
          <w:rFonts w:ascii="Times New Roman" w:eastAsia="宋体" w:hAnsi="Times New Roman" w:cs="Times New Roman" w:hint="eastAsia"/>
          <w:b/>
          <w:i/>
          <w:sz w:val="24"/>
        </w:rPr>
        <w:t>Ideonella</w:t>
      </w:r>
      <w:proofErr w:type="spellEnd"/>
      <w:r w:rsidRPr="00A65E38">
        <w:rPr>
          <w:rFonts w:ascii="Times New Roman" w:eastAsia="宋体" w:hAnsi="Times New Roman" w:cs="Times New Roman" w:hint="eastAsia"/>
          <w:b/>
          <w:i/>
          <w:sz w:val="24"/>
        </w:rPr>
        <w:t xml:space="preserve"> </w:t>
      </w:r>
      <w:proofErr w:type="spellStart"/>
      <w:r w:rsidRPr="00A65E38">
        <w:rPr>
          <w:rFonts w:ascii="Times New Roman" w:eastAsia="宋体" w:hAnsi="Times New Roman" w:cs="Times New Roman" w:hint="eastAsia"/>
          <w:b/>
          <w:i/>
          <w:sz w:val="24"/>
        </w:rPr>
        <w:t>sakaiensis</w:t>
      </w:r>
      <w:proofErr w:type="spellEnd"/>
      <w:r w:rsidRPr="00A65E38">
        <w:rPr>
          <w:rFonts w:ascii="Times New Roman" w:eastAsia="宋体" w:hAnsi="Times New Roman" w:cs="Times New Roman" w:hint="eastAsia"/>
          <w:b/>
          <w:iCs/>
          <w:sz w:val="24"/>
        </w:rPr>
        <w:t>, PET fluorescent microspheres, and chitosan nanoparticles</w:t>
      </w:r>
    </w:p>
    <w:tbl>
      <w:tblPr>
        <w:tblStyle w:val="af2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1581"/>
      </w:tblGrid>
      <w:tr w:rsidR="00D77A34" w14:paraId="40BA891B" w14:textId="77777777" w:rsidTr="002A0BE5">
        <w:tc>
          <w:tcPr>
            <w:tcW w:w="2074" w:type="dxa"/>
            <w:vAlign w:val="center"/>
          </w:tcPr>
          <w:p w14:paraId="04ACBA83" w14:textId="4E806E34" w:rsidR="00D77A34" w:rsidRDefault="00D77A34" w:rsidP="002A0BE5">
            <w:pPr>
              <w:adjustRightInd w:val="0"/>
              <w:snapToGrid w:val="0"/>
              <w:spacing w:before="160" w:line="276" w:lineRule="auto"/>
              <w:jc w:val="center"/>
              <w:rPr>
                <w:rFonts w:ascii="Times New Roman" w:eastAsia="宋体" w:hAnsi="Times New Roman" w:cs="Times New Roman"/>
                <w:b/>
                <w:iCs/>
                <w:sz w:val="24"/>
              </w:rPr>
            </w:pPr>
            <w:r w:rsidRPr="00D77A34">
              <w:rPr>
                <w:rFonts w:ascii="Times New Roman" w:eastAsia="宋体" w:hAnsi="Times New Roman" w:cs="Times New Roman"/>
                <w:b/>
                <w:iCs/>
                <w:sz w:val="24"/>
              </w:rPr>
              <w:t>Group</w:t>
            </w:r>
          </w:p>
        </w:tc>
        <w:tc>
          <w:tcPr>
            <w:tcW w:w="2074" w:type="dxa"/>
            <w:vAlign w:val="center"/>
          </w:tcPr>
          <w:p w14:paraId="717BE7F6" w14:textId="3F961138" w:rsidR="00D77A34" w:rsidRDefault="002A0BE5" w:rsidP="002A0BE5">
            <w:pPr>
              <w:adjustRightInd w:val="0"/>
              <w:snapToGrid w:val="0"/>
              <w:spacing w:before="160" w:line="276" w:lineRule="auto"/>
              <w:jc w:val="center"/>
              <w:rPr>
                <w:rFonts w:ascii="Times New Roman" w:eastAsia="宋体" w:hAnsi="Times New Roman" w:cs="Times New Roman"/>
                <w:b/>
                <w:i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iCs/>
                <w:sz w:val="24"/>
              </w:rPr>
              <w:t>CS-NPs</w:t>
            </w:r>
          </w:p>
        </w:tc>
        <w:tc>
          <w:tcPr>
            <w:tcW w:w="2074" w:type="dxa"/>
            <w:vAlign w:val="center"/>
          </w:tcPr>
          <w:p w14:paraId="397EC74C" w14:textId="6FCF9A66" w:rsidR="00D77A34" w:rsidRDefault="007A4DDD" w:rsidP="002A0BE5">
            <w:pPr>
              <w:adjustRightInd w:val="0"/>
              <w:snapToGrid w:val="0"/>
              <w:spacing w:before="160" w:line="276" w:lineRule="auto"/>
              <w:jc w:val="center"/>
              <w:rPr>
                <w:rFonts w:ascii="Times New Roman" w:eastAsia="宋体" w:hAnsi="Times New Roman" w:cs="Times New Roman"/>
                <w:b/>
                <w:iCs/>
                <w:sz w:val="24"/>
              </w:rPr>
            </w:pPr>
            <w:proofErr w:type="spellStart"/>
            <w:r w:rsidRPr="00807D5C"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  <w:t>Ideonella</w:t>
            </w:r>
            <w:proofErr w:type="spellEnd"/>
            <w:r w:rsidRPr="00807D5C"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807D5C">
              <w:rPr>
                <w:rFonts w:ascii="Times New Roman" w:eastAsia="宋体" w:hAnsi="Times New Roman" w:cs="Times New Roman"/>
                <w:b/>
                <w:bCs/>
                <w:i/>
                <w:iCs/>
                <w:sz w:val="24"/>
              </w:rPr>
              <w:t>sakaiensis</w:t>
            </w:r>
            <w:proofErr w:type="spellEnd"/>
          </w:p>
        </w:tc>
        <w:tc>
          <w:tcPr>
            <w:tcW w:w="236" w:type="dxa"/>
            <w:vAlign w:val="center"/>
          </w:tcPr>
          <w:p w14:paraId="4FB07D0F" w14:textId="6E90F9B8" w:rsidR="00D77A34" w:rsidRDefault="007A4DDD" w:rsidP="002A0BE5">
            <w:pPr>
              <w:adjustRightInd w:val="0"/>
              <w:snapToGrid w:val="0"/>
              <w:spacing w:before="160" w:line="276" w:lineRule="auto"/>
              <w:jc w:val="center"/>
              <w:rPr>
                <w:rFonts w:ascii="Times New Roman" w:eastAsia="宋体" w:hAnsi="Times New Roman" w:cs="Times New Roman"/>
                <w:b/>
                <w:iCs/>
                <w:sz w:val="24"/>
              </w:rPr>
            </w:pPr>
            <w:r w:rsidRPr="00807D5C">
              <w:rPr>
                <w:rFonts w:ascii="Times New Roman" w:eastAsia="宋体" w:hAnsi="Times New Roman" w:cs="Times New Roman"/>
                <w:b/>
                <w:bCs/>
                <w:iCs/>
                <w:sz w:val="24"/>
              </w:rPr>
              <w:t>PET microspheres</w:t>
            </w:r>
          </w:p>
        </w:tc>
      </w:tr>
      <w:tr w:rsidR="00D77A34" w14:paraId="565AB3FF" w14:textId="77777777" w:rsidTr="002A0BE5">
        <w:tc>
          <w:tcPr>
            <w:tcW w:w="2074" w:type="dxa"/>
            <w:vAlign w:val="center"/>
          </w:tcPr>
          <w:p w14:paraId="4F2AB6C9" w14:textId="798B6DD0" w:rsidR="00D77A34" w:rsidRDefault="00D77A34" w:rsidP="002A0BE5">
            <w:pPr>
              <w:adjustRightInd w:val="0"/>
              <w:snapToGrid w:val="0"/>
              <w:spacing w:before="160" w:line="276" w:lineRule="auto"/>
              <w:jc w:val="center"/>
              <w:rPr>
                <w:rFonts w:ascii="Times New Roman" w:eastAsia="宋体" w:hAnsi="Times New Roman" w:cs="Times New Roman"/>
                <w:b/>
                <w:iCs/>
                <w:sz w:val="24"/>
              </w:rPr>
            </w:pPr>
            <w:r w:rsidRPr="00A65E38">
              <w:rPr>
                <w:rFonts w:ascii="Times New Roman" w:eastAsia="宋体" w:hAnsi="Times New Roman" w:cs="Times New Roman" w:hint="eastAsia"/>
                <w:b/>
                <w:iCs/>
                <w:sz w:val="24"/>
              </w:rPr>
              <w:t xml:space="preserve">Zeta </w:t>
            </w:r>
            <w:r w:rsidR="007055A3" w:rsidRPr="007055A3">
              <w:rPr>
                <w:rFonts w:ascii="Times New Roman" w:eastAsia="宋体" w:hAnsi="Times New Roman" w:cs="Times New Roman" w:hint="eastAsia"/>
                <w:b/>
                <w:iCs/>
                <w:sz w:val="24"/>
              </w:rPr>
              <w:t>(mV)</w:t>
            </w:r>
          </w:p>
        </w:tc>
        <w:tc>
          <w:tcPr>
            <w:tcW w:w="2074" w:type="dxa"/>
            <w:vAlign w:val="center"/>
          </w:tcPr>
          <w:p w14:paraId="34B31F07" w14:textId="2877BA47" w:rsidR="00D77A34" w:rsidRPr="00372FF9" w:rsidRDefault="00DF7CBF" w:rsidP="002A0BE5">
            <w:pPr>
              <w:adjustRightInd w:val="0"/>
              <w:snapToGrid w:val="0"/>
              <w:spacing w:before="160" w:line="276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</w:rPr>
            </w:pPr>
            <w:r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40.1</w:t>
            </w:r>
            <w:r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±</w:t>
            </w:r>
            <w:r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2.2</w:t>
            </w:r>
            <w:r w:rsidR="00015A20"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0</w:t>
            </w:r>
          </w:p>
        </w:tc>
        <w:tc>
          <w:tcPr>
            <w:tcW w:w="2074" w:type="dxa"/>
            <w:vAlign w:val="center"/>
          </w:tcPr>
          <w:p w14:paraId="56BA197F" w14:textId="2A1B112D" w:rsidR="00D77A34" w:rsidRPr="00372FF9" w:rsidRDefault="00372FF9" w:rsidP="002A0BE5">
            <w:pPr>
              <w:adjustRightInd w:val="0"/>
              <w:snapToGrid w:val="0"/>
              <w:spacing w:before="160" w:line="276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</w:rPr>
            </w:pPr>
            <w:r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-10.1</w:t>
            </w:r>
            <w:r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±</w:t>
            </w:r>
            <w:r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1.19</w:t>
            </w:r>
          </w:p>
        </w:tc>
        <w:tc>
          <w:tcPr>
            <w:tcW w:w="236" w:type="dxa"/>
            <w:vAlign w:val="center"/>
          </w:tcPr>
          <w:p w14:paraId="3C7101B1" w14:textId="5E9CF16B" w:rsidR="00D77A34" w:rsidRPr="00372FF9" w:rsidRDefault="0086767C" w:rsidP="002A0BE5">
            <w:pPr>
              <w:adjustRightInd w:val="0"/>
              <w:snapToGrid w:val="0"/>
              <w:spacing w:before="160" w:line="276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</w:rPr>
            </w:pPr>
            <w:r w:rsidRPr="00372FF9">
              <w:rPr>
                <w:rFonts w:ascii="Times New Roman" w:hAnsi="Times New Roman" w:cs="Times New Roman"/>
                <w:bCs/>
                <w:sz w:val="24"/>
              </w:rPr>
              <w:t>-</w:t>
            </w:r>
            <w:r w:rsidR="006E36FC">
              <w:rPr>
                <w:rFonts w:ascii="Times New Roman" w:hAnsi="Times New Roman" w:cs="Times New Roman" w:hint="eastAsia"/>
                <w:bCs/>
                <w:sz w:val="24"/>
              </w:rPr>
              <w:t>2</w:t>
            </w:r>
            <w:r w:rsidRPr="00372FF9">
              <w:rPr>
                <w:rFonts w:ascii="Times New Roman" w:hAnsi="Times New Roman" w:cs="Times New Roman"/>
                <w:bCs/>
                <w:sz w:val="24"/>
              </w:rPr>
              <w:t>.64</w:t>
            </w:r>
            <w:r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±</w:t>
            </w:r>
            <w:r w:rsidR="00015A20" w:rsidRPr="00372FF9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0.</w:t>
            </w:r>
            <w:r w:rsidR="00930BED">
              <w:rPr>
                <w:rFonts w:ascii="Times New Roman" w:eastAsia="宋体" w:hAnsi="Times New Roman" w:cs="Times New Roman" w:hint="eastAsia"/>
                <w:bCs/>
                <w:iCs/>
                <w:sz w:val="24"/>
              </w:rPr>
              <w:t>10</w:t>
            </w:r>
          </w:p>
        </w:tc>
      </w:tr>
    </w:tbl>
    <w:p w14:paraId="3F60D764" w14:textId="77777777" w:rsidR="00660827" w:rsidRDefault="00660827" w:rsidP="002A0BE5">
      <w:pPr>
        <w:adjustRightInd w:val="0"/>
        <w:snapToGrid w:val="0"/>
        <w:spacing w:before="16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5A83ACC" w14:textId="77777777" w:rsidR="00807D5C" w:rsidRPr="00F1056F" w:rsidRDefault="00807D5C" w:rsidP="00951C41">
      <w:pPr>
        <w:adjustRightInd w:val="0"/>
        <w:snapToGrid w:val="0"/>
        <w:spacing w:line="276" w:lineRule="auto"/>
        <w:ind w:firstLineChars="200" w:firstLine="480"/>
        <w:jc w:val="both"/>
        <w:rPr>
          <w:rFonts w:ascii="Times New Roman" w:eastAsia="宋体" w:hAnsi="Times New Roman" w:cs="Times New Roman"/>
          <w:bCs/>
          <w:iCs/>
          <w:sz w:val="24"/>
        </w:rPr>
      </w:pPr>
    </w:p>
    <w:p w14:paraId="5D1D9CF6" w14:textId="77777777" w:rsidR="00F1056F" w:rsidRPr="00F1056F" w:rsidRDefault="00F1056F" w:rsidP="001A0ADF">
      <w:pPr>
        <w:adjustRightInd w:val="0"/>
        <w:snapToGrid w:val="0"/>
        <w:spacing w:line="276" w:lineRule="auto"/>
        <w:jc w:val="both"/>
        <w:rPr>
          <w:rFonts w:ascii="Times New Roman" w:eastAsia="宋体" w:hAnsi="Times New Roman" w:cs="Times New Roman"/>
          <w:bCs/>
          <w:iCs/>
          <w:sz w:val="24"/>
        </w:rPr>
      </w:pPr>
    </w:p>
    <w:p w14:paraId="6D32BE74" w14:textId="77777777" w:rsidR="00241A27" w:rsidRPr="00934F66" w:rsidRDefault="00241A27"/>
    <w:sectPr w:rsidR="00241A27" w:rsidRPr="00934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CF9E" w14:textId="77777777" w:rsidR="008F124A" w:rsidRDefault="008F124A" w:rsidP="00934F66">
      <w:pPr>
        <w:spacing w:after="0" w:line="240" w:lineRule="auto"/>
      </w:pPr>
      <w:r>
        <w:separator/>
      </w:r>
    </w:p>
  </w:endnote>
  <w:endnote w:type="continuationSeparator" w:id="0">
    <w:p w14:paraId="6447B892" w14:textId="77777777" w:rsidR="008F124A" w:rsidRDefault="008F124A" w:rsidP="0093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76FF" w14:textId="77777777" w:rsidR="008F124A" w:rsidRDefault="008F124A" w:rsidP="00934F66">
      <w:pPr>
        <w:spacing w:after="0" w:line="240" w:lineRule="auto"/>
      </w:pPr>
      <w:r>
        <w:separator/>
      </w:r>
    </w:p>
  </w:footnote>
  <w:footnote w:type="continuationSeparator" w:id="0">
    <w:p w14:paraId="5BE28EE4" w14:textId="77777777" w:rsidR="008F124A" w:rsidRDefault="008F124A" w:rsidP="00934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B4"/>
    <w:rsid w:val="00013F05"/>
    <w:rsid w:val="00015A20"/>
    <w:rsid w:val="00016583"/>
    <w:rsid w:val="000451B2"/>
    <w:rsid w:val="000A31B5"/>
    <w:rsid w:val="00181A5B"/>
    <w:rsid w:val="001A0ADF"/>
    <w:rsid w:val="00222CBD"/>
    <w:rsid w:val="00241A27"/>
    <w:rsid w:val="002A0BE5"/>
    <w:rsid w:val="002A63B0"/>
    <w:rsid w:val="003178CE"/>
    <w:rsid w:val="00320446"/>
    <w:rsid w:val="003312C7"/>
    <w:rsid w:val="00372FF9"/>
    <w:rsid w:val="00451327"/>
    <w:rsid w:val="004700AD"/>
    <w:rsid w:val="004C5E2A"/>
    <w:rsid w:val="00582506"/>
    <w:rsid w:val="00660827"/>
    <w:rsid w:val="006B268A"/>
    <w:rsid w:val="006E36FC"/>
    <w:rsid w:val="006E7F83"/>
    <w:rsid w:val="007055A3"/>
    <w:rsid w:val="00782968"/>
    <w:rsid w:val="00793B3C"/>
    <w:rsid w:val="007A4DDD"/>
    <w:rsid w:val="00807D5C"/>
    <w:rsid w:val="0086767C"/>
    <w:rsid w:val="008B3DCF"/>
    <w:rsid w:val="008D23AC"/>
    <w:rsid w:val="008F124A"/>
    <w:rsid w:val="00930BED"/>
    <w:rsid w:val="00934F66"/>
    <w:rsid w:val="00951C41"/>
    <w:rsid w:val="009A1BD0"/>
    <w:rsid w:val="009C3DE7"/>
    <w:rsid w:val="00A058BF"/>
    <w:rsid w:val="00A65E38"/>
    <w:rsid w:val="00B559BF"/>
    <w:rsid w:val="00BF2C2E"/>
    <w:rsid w:val="00C06CB4"/>
    <w:rsid w:val="00C832F6"/>
    <w:rsid w:val="00CA74F0"/>
    <w:rsid w:val="00CB420D"/>
    <w:rsid w:val="00CF6591"/>
    <w:rsid w:val="00D61532"/>
    <w:rsid w:val="00D77A34"/>
    <w:rsid w:val="00DF7CBF"/>
    <w:rsid w:val="00E97C2E"/>
    <w:rsid w:val="00EA7C97"/>
    <w:rsid w:val="00F1056F"/>
    <w:rsid w:val="00F10B07"/>
    <w:rsid w:val="00FA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B67C06"/>
  <w15:chartTrackingRefBased/>
  <w15:docId w15:val="{A7139E4F-6C12-4A44-AD1D-D9CE3162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F66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06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CB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CB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CB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CB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CB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CB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C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CB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CB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6CB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C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C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C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6CB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4F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34F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34F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34F66"/>
    <w:rPr>
      <w:sz w:val="18"/>
      <w:szCs w:val="18"/>
    </w:rPr>
  </w:style>
  <w:style w:type="table" w:styleId="af2">
    <w:name w:val="Table Grid"/>
    <w:basedOn w:val="a1"/>
    <w:uiPriority w:val="39"/>
    <w:rsid w:val="00D77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qFormat/>
    <w:rsid w:val="002A0B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tt@szbl.ac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挺标</dc:creator>
  <cp:keywords/>
  <dc:description/>
  <cp:lastModifiedBy>智超 石</cp:lastModifiedBy>
  <cp:revision>97</cp:revision>
  <dcterms:created xsi:type="dcterms:W3CDTF">2026-03-04T04:00:00Z</dcterms:created>
  <dcterms:modified xsi:type="dcterms:W3CDTF">2026-03-06T07:00:00Z</dcterms:modified>
</cp:coreProperties>
</file>