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1F569" w14:textId="77777777" w:rsidR="00FE0C17" w:rsidRDefault="00FE0C17" w:rsidP="00FE0C17">
      <w:pPr>
        <w:pStyle w:val="Heading1"/>
      </w:pPr>
      <w:bookmarkStart w:id="0" w:name="_Toc221308025"/>
      <w:r>
        <w:t>APPENDICES</w:t>
      </w:r>
      <w:bookmarkEnd w:id="0"/>
    </w:p>
    <w:p w14:paraId="49A0A4EC" w14:textId="77777777" w:rsidR="00FE0C17" w:rsidRDefault="00FE0C17" w:rsidP="00FE0C17"/>
    <w:p w14:paraId="32E3BB2A" w14:textId="77777777" w:rsidR="00FE0C17" w:rsidRDefault="00FE0C17" w:rsidP="00FE0C17">
      <w:pPr>
        <w:pStyle w:val="Heading2"/>
      </w:pPr>
      <w:bookmarkStart w:id="1" w:name="_Toc221308026"/>
      <w:r>
        <w:t>Appendix A: Data Sources and Collection Procedures</w:t>
      </w:r>
      <w:bookmarkEnd w:id="1"/>
    </w:p>
    <w:p w14:paraId="65901465" w14:textId="77777777" w:rsidR="00FE0C17" w:rsidRDefault="00FE0C17" w:rsidP="00FE0C17">
      <w:pPr>
        <w:jc w:val="both"/>
      </w:pPr>
      <w:r>
        <w:rPr>
          <w:sz w:val="24"/>
        </w:rPr>
        <w:t>This appendix documents all data sources used in the study, ensuring full transparency and replicability. All data are publicly available and can be accessed through the sources listed below.</w:t>
      </w:r>
    </w:p>
    <w:p w14:paraId="636B543C" w14:textId="77777777" w:rsidR="00FE0C17" w:rsidRDefault="00FE0C17" w:rsidP="00FE0C17">
      <w:pPr>
        <w:pStyle w:val="Heading3"/>
      </w:pPr>
      <w:bookmarkStart w:id="2" w:name="_Toc221308027"/>
      <w:r>
        <w:t>Table A1: Primary Data Sources</w:t>
      </w:r>
      <w:bookmarkEnd w:id="2"/>
    </w:p>
    <w:tbl>
      <w:tblPr>
        <w:tblStyle w:val="LightGrid-Accent1"/>
        <w:tblW w:w="0" w:type="auto"/>
        <w:jc w:val="center"/>
        <w:tblLook w:val="04A0" w:firstRow="1" w:lastRow="0" w:firstColumn="1" w:lastColumn="0" w:noHBand="0" w:noVBand="1"/>
      </w:tblPr>
      <w:tblGrid>
        <w:gridCol w:w="2245"/>
        <w:gridCol w:w="2199"/>
        <w:gridCol w:w="2152"/>
        <w:gridCol w:w="2744"/>
      </w:tblGrid>
      <w:tr w:rsidR="00FE0C17" w14:paraId="70894F4D" w14:textId="77777777" w:rsidTr="00613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D3D3D3"/>
            <w:vAlign w:val="center"/>
          </w:tcPr>
          <w:p w14:paraId="278B7111" w14:textId="77777777" w:rsidR="00FE0C17" w:rsidRDefault="00FE0C17" w:rsidP="006138A4">
            <w:pPr>
              <w:jc w:val="center"/>
            </w:pPr>
            <w:r>
              <w:t>Data Type</w:t>
            </w:r>
          </w:p>
        </w:tc>
        <w:tc>
          <w:tcPr>
            <w:tcW w:w="2340" w:type="dxa"/>
            <w:shd w:val="clear" w:color="auto" w:fill="D3D3D3"/>
            <w:vAlign w:val="center"/>
          </w:tcPr>
          <w:p w14:paraId="2B7D68E7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Source</w:t>
            </w:r>
          </w:p>
        </w:tc>
        <w:tc>
          <w:tcPr>
            <w:tcW w:w="2340" w:type="dxa"/>
            <w:shd w:val="clear" w:color="auto" w:fill="D3D3D3"/>
            <w:vAlign w:val="center"/>
          </w:tcPr>
          <w:p w14:paraId="052E2396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Period</w:t>
            </w:r>
          </w:p>
        </w:tc>
        <w:tc>
          <w:tcPr>
            <w:tcW w:w="2340" w:type="dxa"/>
            <w:shd w:val="clear" w:color="auto" w:fill="D3D3D3"/>
            <w:vAlign w:val="center"/>
          </w:tcPr>
          <w:p w14:paraId="5617F7C6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Access URL</w:t>
            </w:r>
          </w:p>
        </w:tc>
      </w:tr>
      <w:tr w:rsidR="00FE0C17" w14:paraId="40624B3C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5EB43E26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Bank Financial Data</w:t>
            </w:r>
          </w:p>
        </w:tc>
        <w:tc>
          <w:tcPr>
            <w:tcW w:w="2340" w:type="dxa"/>
            <w:vAlign w:val="center"/>
          </w:tcPr>
          <w:p w14:paraId="43C1175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Bangladesh Bank Annual Reports, Scheduled Bank Statistics</w:t>
            </w:r>
          </w:p>
        </w:tc>
        <w:tc>
          <w:tcPr>
            <w:tcW w:w="2340" w:type="dxa"/>
            <w:vAlign w:val="center"/>
          </w:tcPr>
          <w:p w14:paraId="61A92EC8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2010-2025</w:t>
            </w:r>
          </w:p>
        </w:tc>
        <w:tc>
          <w:tcPr>
            <w:tcW w:w="2340" w:type="dxa"/>
            <w:vAlign w:val="center"/>
          </w:tcPr>
          <w:p w14:paraId="3274A81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www.bb.org.bd</w:t>
            </w:r>
          </w:p>
        </w:tc>
      </w:tr>
      <w:tr w:rsidR="00FE0C17" w14:paraId="4A4B4DD4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15ED0974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Digital Banking Metrics</w:t>
            </w:r>
          </w:p>
        </w:tc>
        <w:tc>
          <w:tcPr>
            <w:tcW w:w="2340" w:type="dxa"/>
            <w:vAlign w:val="center"/>
          </w:tcPr>
          <w:p w14:paraId="419053A6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Bangladesh Bank Mobile Financial Services Reports</w:t>
            </w:r>
          </w:p>
        </w:tc>
        <w:tc>
          <w:tcPr>
            <w:tcW w:w="2340" w:type="dxa"/>
            <w:vAlign w:val="center"/>
          </w:tcPr>
          <w:p w14:paraId="58E5DD19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2011-2025</w:t>
            </w:r>
          </w:p>
        </w:tc>
        <w:tc>
          <w:tcPr>
            <w:tcW w:w="2340" w:type="dxa"/>
            <w:vAlign w:val="center"/>
          </w:tcPr>
          <w:p w14:paraId="055FE11A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www.bb.org.bd/pub/quartlymfs</w:t>
            </w:r>
          </w:p>
        </w:tc>
      </w:tr>
      <w:tr w:rsidR="00FE0C17" w14:paraId="3F779698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45F59E60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Financial Inclusion</w:t>
            </w:r>
          </w:p>
        </w:tc>
        <w:tc>
          <w:tcPr>
            <w:tcW w:w="2340" w:type="dxa"/>
            <w:vAlign w:val="center"/>
          </w:tcPr>
          <w:p w14:paraId="7AC992F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World Bank Global Findex Database</w:t>
            </w:r>
          </w:p>
        </w:tc>
        <w:tc>
          <w:tcPr>
            <w:tcW w:w="2340" w:type="dxa"/>
            <w:vAlign w:val="center"/>
          </w:tcPr>
          <w:p w14:paraId="2218735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2011, 2014, 2017, 2021, 2024</w:t>
            </w:r>
          </w:p>
        </w:tc>
        <w:tc>
          <w:tcPr>
            <w:tcW w:w="2340" w:type="dxa"/>
            <w:vAlign w:val="center"/>
          </w:tcPr>
          <w:p w14:paraId="1F0C8C8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globalfindex.worldbank.org</w:t>
            </w:r>
          </w:p>
        </w:tc>
      </w:tr>
      <w:tr w:rsidR="00FE0C17" w14:paraId="068EFFF9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69D91B9C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Macroeconomic Data</w:t>
            </w:r>
          </w:p>
        </w:tc>
        <w:tc>
          <w:tcPr>
            <w:tcW w:w="2340" w:type="dxa"/>
            <w:vAlign w:val="center"/>
          </w:tcPr>
          <w:p w14:paraId="49051A12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Bangladesh Bank Monthly Economic Trends, World Bank WDI</w:t>
            </w:r>
          </w:p>
        </w:tc>
        <w:tc>
          <w:tcPr>
            <w:tcW w:w="2340" w:type="dxa"/>
            <w:vAlign w:val="center"/>
          </w:tcPr>
          <w:p w14:paraId="63C5FBAE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2010-2025</w:t>
            </w:r>
          </w:p>
        </w:tc>
        <w:tc>
          <w:tcPr>
            <w:tcW w:w="2340" w:type="dxa"/>
            <w:vAlign w:val="center"/>
          </w:tcPr>
          <w:p w14:paraId="3D55259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data.worldbank.org</w:t>
            </w:r>
          </w:p>
        </w:tc>
      </w:tr>
      <w:tr w:rsidR="00FE0C17" w14:paraId="4DF9A935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36FEB432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Bank Assets/Deposits</w:t>
            </w:r>
          </w:p>
        </w:tc>
        <w:tc>
          <w:tcPr>
            <w:tcW w:w="2340" w:type="dxa"/>
            <w:vAlign w:val="center"/>
          </w:tcPr>
          <w:p w14:paraId="6453B99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CEIC Database (Bangladesh Bank source)</w:t>
            </w:r>
          </w:p>
        </w:tc>
        <w:tc>
          <w:tcPr>
            <w:tcW w:w="2340" w:type="dxa"/>
            <w:vAlign w:val="center"/>
          </w:tcPr>
          <w:p w14:paraId="7B04482C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2001-2022</w:t>
            </w:r>
          </w:p>
        </w:tc>
        <w:tc>
          <w:tcPr>
            <w:tcW w:w="2340" w:type="dxa"/>
            <w:vAlign w:val="center"/>
          </w:tcPr>
          <w:p w14:paraId="6E51AA28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www.ceicdata.com/bangladesh</w:t>
            </w:r>
          </w:p>
        </w:tc>
      </w:tr>
      <w:tr w:rsidR="00FE0C17" w14:paraId="6C1839CC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7DDD26A6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Population Data</w:t>
            </w:r>
          </w:p>
        </w:tc>
        <w:tc>
          <w:tcPr>
            <w:tcW w:w="2340" w:type="dxa"/>
            <w:vAlign w:val="center"/>
          </w:tcPr>
          <w:p w14:paraId="2820AAB0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Bangladesh Bureau of Statistics</w:t>
            </w:r>
          </w:p>
        </w:tc>
        <w:tc>
          <w:tcPr>
            <w:tcW w:w="2340" w:type="dxa"/>
            <w:vAlign w:val="center"/>
          </w:tcPr>
          <w:p w14:paraId="0840E97F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2010-2025</w:t>
            </w:r>
          </w:p>
        </w:tc>
        <w:tc>
          <w:tcPr>
            <w:tcW w:w="2340" w:type="dxa"/>
            <w:vAlign w:val="center"/>
          </w:tcPr>
          <w:p w14:paraId="3D4A7285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www.bbs.gov.bd</w:t>
            </w:r>
          </w:p>
        </w:tc>
      </w:tr>
      <w:tr w:rsidR="00FE0C17" w14:paraId="3ACCD662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786E2D02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Regulatory Framework</w:t>
            </w:r>
          </w:p>
        </w:tc>
        <w:tc>
          <w:tcPr>
            <w:tcW w:w="2340" w:type="dxa"/>
            <w:vAlign w:val="center"/>
          </w:tcPr>
          <w:p w14:paraId="35C1A72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Bangladesh Bank Circulars and Guidelines</w:t>
            </w:r>
          </w:p>
        </w:tc>
        <w:tc>
          <w:tcPr>
            <w:tcW w:w="2340" w:type="dxa"/>
            <w:vAlign w:val="center"/>
          </w:tcPr>
          <w:p w14:paraId="61356B2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2010-2025</w:t>
            </w:r>
          </w:p>
        </w:tc>
        <w:tc>
          <w:tcPr>
            <w:tcW w:w="2340" w:type="dxa"/>
            <w:vAlign w:val="center"/>
          </w:tcPr>
          <w:p w14:paraId="595C08DC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www.bb.org.bd/mediaroom</w:t>
            </w:r>
          </w:p>
        </w:tc>
      </w:tr>
    </w:tbl>
    <w:p w14:paraId="5F494E1C" w14:textId="77777777" w:rsidR="00FE0C17" w:rsidRDefault="00FE0C17" w:rsidP="00FE0C17"/>
    <w:p w14:paraId="1A466037" w14:textId="77777777" w:rsidR="00FE0C17" w:rsidRDefault="00FE0C17" w:rsidP="00FE0C17">
      <w:r>
        <w:br w:type="page"/>
      </w:r>
    </w:p>
    <w:p w14:paraId="18E5E1DE" w14:textId="77777777" w:rsidR="00FE0C17" w:rsidRDefault="00FE0C17" w:rsidP="00FE0C17">
      <w:pPr>
        <w:pStyle w:val="Heading2"/>
      </w:pPr>
      <w:bookmarkStart w:id="3" w:name="_Toc221308028"/>
      <w:r>
        <w:lastRenderedPageBreak/>
        <w:t>Appendix B: Descriptive Statistics and Summary Tables</w:t>
      </w:r>
      <w:bookmarkEnd w:id="3"/>
    </w:p>
    <w:p w14:paraId="4616CADA" w14:textId="77777777" w:rsidR="00FE0C17" w:rsidRDefault="00FE0C17" w:rsidP="00FE0C17">
      <w:pPr>
        <w:pStyle w:val="Heading3"/>
      </w:pPr>
      <w:bookmarkStart w:id="4" w:name="_Toc221308029"/>
      <w:r>
        <w:t>Table B1: Summary Statistics for Main Variables (2010-2025)</w:t>
      </w:r>
      <w:bookmarkEnd w:id="4"/>
    </w:p>
    <w:p w14:paraId="7370F8CA" w14:textId="77777777" w:rsidR="00FE0C17" w:rsidRDefault="00FE0C17" w:rsidP="00FE0C17">
      <w:r>
        <w:rPr>
          <w:i/>
          <w:sz w:val="20"/>
        </w:rPr>
        <w:t xml:space="preserve">Note: </w:t>
      </w:r>
      <w:r>
        <w:rPr>
          <w:sz w:val="20"/>
        </w:rPr>
        <w:t>Statistics based on 688 bank-year observations (43 banks × 16 years). Source: Authors' calculations from Bangladesh Bank data.</w:t>
      </w:r>
    </w:p>
    <w:tbl>
      <w:tblPr>
        <w:tblStyle w:val="LightGrid-Accent1"/>
        <w:tblW w:w="0" w:type="auto"/>
        <w:jc w:val="center"/>
        <w:tblLook w:val="04A0" w:firstRow="1" w:lastRow="0" w:firstColumn="1" w:lastColumn="0" w:noHBand="0" w:noVBand="1"/>
      </w:tblPr>
      <w:tblGrid>
        <w:gridCol w:w="1336"/>
        <w:gridCol w:w="1332"/>
        <w:gridCol w:w="1334"/>
        <w:gridCol w:w="1334"/>
        <w:gridCol w:w="1333"/>
        <w:gridCol w:w="1335"/>
        <w:gridCol w:w="1336"/>
      </w:tblGrid>
      <w:tr w:rsidR="00FE0C17" w14:paraId="4A73E187" w14:textId="77777777" w:rsidTr="00613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shd w:val="clear" w:color="auto" w:fill="D3D3D3"/>
            <w:vAlign w:val="center"/>
          </w:tcPr>
          <w:p w14:paraId="5005574A" w14:textId="77777777" w:rsidR="00FE0C17" w:rsidRDefault="00FE0C17" w:rsidP="006138A4">
            <w:pPr>
              <w:jc w:val="center"/>
            </w:pPr>
            <w:r>
              <w:t>Variable</w:t>
            </w:r>
          </w:p>
        </w:tc>
        <w:tc>
          <w:tcPr>
            <w:tcW w:w="1337" w:type="dxa"/>
            <w:shd w:val="clear" w:color="auto" w:fill="D3D3D3"/>
            <w:vAlign w:val="center"/>
          </w:tcPr>
          <w:p w14:paraId="77F2A019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</w:t>
            </w:r>
          </w:p>
        </w:tc>
        <w:tc>
          <w:tcPr>
            <w:tcW w:w="1337" w:type="dxa"/>
            <w:shd w:val="clear" w:color="auto" w:fill="D3D3D3"/>
            <w:vAlign w:val="center"/>
          </w:tcPr>
          <w:p w14:paraId="31F4E6B4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Mean</w:t>
            </w:r>
          </w:p>
        </w:tc>
        <w:tc>
          <w:tcPr>
            <w:tcW w:w="1337" w:type="dxa"/>
            <w:shd w:val="clear" w:color="auto" w:fill="D3D3D3"/>
            <w:vAlign w:val="center"/>
          </w:tcPr>
          <w:p w14:paraId="1B43588A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Std Dev</w:t>
            </w:r>
          </w:p>
        </w:tc>
        <w:tc>
          <w:tcPr>
            <w:tcW w:w="1337" w:type="dxa"/>
            <w:shd w:val="clear" w:color="auto" w:fill="D3D3D3"/>
            <w:vAlign w:val="center"/>
          </w:tcPr>
          <w:p w14:paraId="01A8751D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Min</w:t>
            </w:r>
          </w:p>
        </w:tc>
        <w:tc>
          <w:tcPr>
            <w:tcW w:w="1337" w:type="dxa"/>
            <w:shd w:val="clear" w:color="auto" w:fill="D3D3D3"/>
            <w:vAlign w:val="center"/>
          </w:tcPr>
          <w:p w14:paraId="36A177E2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Max</w:t>
            </w:r>
          </w:p>
        </w:tc>
        <w:tc>
          <w:tcPr>
            <w:tcW w:w="1337" w:type="dxa"/>
            <w:shd w:val="clear" w:color="auto" w:fill="D3D3D3"/>
            <w:vAlign w:val="center"/>
          </w:tcPr>
          <w:p w14:paraId="6B80E23B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Unit</w:t>
            </w:r>
          </w:p>
        </w:tc>
      </w:tr>
      <w:tr w:rsidR="00FE0C17" w14:paraId="5D7D4567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vAlign w:val="center"/>
          </w:tcPr>
          <w:p w14:paraId="5A9FC7B1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ROA (%)</w:t>
            </w:r>
          </w:p>
        </w:tc>
        <w:tc>
          <w:tcPr>
            <w:tcW w:w="1337" w:type="dxa"/>
            <w:vAlign w:val="center"/>
          </w:tcPr>
          <w:p w14:paraId="3EBCAE5D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688</w:t>
            </w:r>
          </w:p>
        </w:tc>
        <w:tc>
          <w:tcPr>
            <w:tcW w:w="1337" w:type="dxa"/>
            <w:vAlign w:val="center"/>
          </w:tcPr>
          <w:p w14:paraId="6779F03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0.87</w:t>
            </w:r>
          </w:p>
        </w:tc>
        <w:tc>
          <w:tcPr>
            <w:tcW w:w="1337" w:type="dxa"/>
            <w:vAlign w:val="center"/>
          </w:tcPr>
          <w:p w14:paraId="4C00497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1.24</w:t>
            </w:r>
          </w:p>
        </w:tc>
        <w:tc>
          <w:tcPr>
            <w:tcW w:w="1337" w:type="dxa"/>
            <w:vAlign w:val="center"/>
          </w:tcPr>
          <w:p w14:paraId="420E2C0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-3.45</w:t>
            </w:r>
          </w:p>
        </w:tc>
        <w:tc>
          <w:tcPr>
            <w:tcW w:w="1337" w:type="dxa"/>
            <w:vAlign w:val="center"/>
          </w:tcPr>
          <w:p w14:paraId="34BBAFF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4.23</w:t>
            </w:r>
          </w:p>
        </w:tc>
        <w:tc>
          <w:tcPr>
            <w:tcW w:w="1337" w:type="dxa"/>
            <w:vAlign w:val="center"/>
          </w:tcPr>
          <w:p w14:paraId="1F5A125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Percentage</w:t>
            </w:r>
          </w:p>
        </w:tc>
      </w:tr>
      <w:tr w:rsidR="00FE0C17" w14:paraId="3FC92DE6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vAlign w:val="center"/>
          </w:tcPr>
          <w:p w14:paraId="29DC5F0E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Cost-to-Income Ratio (%)</w:t>
            </w:r>
          </w:p>
        </w:tc>
        <w:tc>
          <w:tcPr>
            <w:tcW w:w="1337" w:type="dxa"/>
            <w:vAlign w:val="center"/>
          </w:tcPr>
          <w:p w14:paraId="06375F60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688</w:t>
            </w:r>
          </w:p>
        </w:tc>
        <w:tc>
          <w:tcPr>
            <w:tcW w:w="1337" w:type="dxa"/>
            <w:vAlign w:val="center"/>
          </w:tcPr>
          <w:p w14:paraId="15529DB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52.34</w:t>
            </w:r>
          </w:p>
        </w:tc>
        <w:tc>
          <w:tcPr>
            <w:tcW w:w="1337" w:type="dxa"/>
            <w:vAlign w:val="center"/>
          </w:tcPr>
          <w:p w14:paraId="1D789BDE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14.12</w:t>
            </w:r>
          </w:p>
        </w:tc>
        <w:tc>
          <w:tcPr>
            <w:tcW w:w="1337" w:type="dxa"/>
            <w:vAlign w:val="center"/>
          </w:tcPr>
          <w:p w14:paraId="37006432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28.67</w:t>
            </w:r>
          </w:p>
        </w:tc>
        <w:tc>
          <w:tcPr>
            <w:tcW w:w="1337" w:type="dxa"/>
            <w:vAlign w:val="center"/>
          </w:tcPr>
          <w:p w14:paraId="2510B61F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89.45</w:t>
            </w:r>
          </w:p>
        </w:tc>
        <w:tc>
          <w:tcPr>
            <w:tcW w:w="1337" w:type="dxa"/>
            <w:vAlign w:val="center"/>
          </w:tcPr>
          <w:p w14:paraId="0D27829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Percentage</w:t>
            </w:r>
          </w:p>
        </w:tc>
      </w:tr>
      <w:tr w:rsidR="00FE0C17" w14:paraId="676ABA13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vAlign w:val="center"/>
          </w:tcPr>
          <w:p w14:paraId="23F2AAFF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Deposit Accounts per 1,000 Adults</w:t>
            </w:r>
          </w:p>
        </w:tc>
        <w:tc>
          <w:tcPr>
            <w:tcW w:w="1337" w:type="dxa"/>
            <w:vAlign w:val="center"/>
          </w:tcPr>
          <w:p w14:paraId="2F96B55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688</w:t>
            </w:r>
          </w:p>
        </w:tc>
        <w:tc>
          <w:tcPr>
            <w:tcW w:w="1337" w:type="dxa"/>
            <w:vAlign w:val="center"/>
          </w:tcPr>
          <w:p w14:paraId="43B7364D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84.56</w:t>
            </w:r>
          </w:p>
        </w:tc>
        <w:tc>
          <w:tcPr>
            <w:tcW w:w="1337" w:type="dxa"/>
            <w:vAlign w:val="center"/>
          </w:tcPr>
          <w:p w14:paraId="66AAF93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45.23</w:t>
            </w:r>
          </w:p>
        </w:tc>
        <w:tc>
          <w:tcPr>
            <w:tcW w:w="1337" w:type="dxa"/>
            <w:vAlign w:val="center"/>
          </w:tcPr>
          <w:p w14:paraId="4826C91B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12.34</w:t>
            </w:r>
          </w:p>
        </w:tc>
        <w:tc>
          <w:tcPr>
            <w:tcW w:w="1337" w:type="dxa"/>
            <w:vAlign w:val="center"/>
          </w:tcPr>
          <w:p w14:paraId="12FDF7C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234.56</w:t>
            </w:r>
          </w:p>
        </w:tc>
        <w:tc>
          <w:tcPr>
            <w:tcW w:w="1337" w:type="dxa"/>
            <w:vAlign w:val="center"/>
          </w:tcPr>
          <w:p w14:paraId="3416BD58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Count</w:t>
            </w:r>
          </w:p>
        </w:tc>
      </w:tr>
      <w:tr w:rsidR="00FE0C17" w14:paraId="7533B2D0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vAlign w:val="center"/>
          </w:tcPr>
          <w:p w14:paraId="04715455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Digital Adoption Index</w:t>
            </w:r>
          </w:p>
        </w:tc>
        <w:tc>
          <w:tcPr>
            <w:tcW w:w="1337" w:type="dxa"/>
            <w:vAlign w:val="center"/>
          </w:tcPr>
          <w:p w14:paraId="0ABCE3C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688</w:t>
            </w:r>
          </w:p>
        </w:tc>
        <w:tc>
          <w:tcPr>
            <w:tcW w:w="1337" w:type="dxa"/>
            <w:vAlign w:val="center"/>
          </w:tcPr>
          <w:p w14:paraId="0B7BD55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0.42</w:t>
            </w:r>
          </w:p>
        </w:tc>
        <w:tc>
          <w:tcPr>
            <w:tcW w:w="1337" w:type="dxa"/>
            <w:vAlign w:val="center"/>
          </w:tcPr>
          <w:p w14:paraId="28B32D7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0.28</w:t>
            </w:r>
          </w:p>
        </w:tc>
        <w:tc>
          <w:tcPr>
            <w:tcW w:w="1337" w:type="dxa"/>
            <w:vAlign w:val="center"/>
          </w:tcPr>
          <w:p w14:paraId="7CE4DC90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0.00</w:t>
            </w:r>
          </w:p>
        </w:tc>
        <w:tc>
          <w:tcPr>
            <w:tcW w:w="1337" w:type="dxa"/>
            <w:vAlign w:val="center"/>
          </w:tcPr>
          <w:p w14:paraId="72EE7D7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0.95</w:t>
            </w:r>
          </w:p>
        </w:tc>
        <w:tc>
          <w:tcPr>
            <w:tcW w:w="1337" w:type="dxa"/>
            <w:vAlign w:val="center"/>
          </w:tcPr>
          <w:p w14:paraId="424F3F1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0-1 Scale</w:t>
            </w:r>
          </w:p>
        </w:tc>
      </w:tr>
      <w:tr w:rsidR="00FE0C17" w14:paraId="125C3909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vAlign w:val="center"/>
          </w:tcPr>
          <w:p w14:paraId="5B5FB984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Total Assets (BDT Billion)</w:t>
            </w:r>
          </w:p>
        </w:tc>
        <w:tc>
          <w:tcPr>
            <w:tcW w:w="1337" w:type="dxa"/>
            <w:vAlign w:val="center"/>
          </w:tcPr>
          <w:p w14:paraId="025CE2C9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688</w:t>
            </w:r>
          </w:p>
        </w:tc>
        <w:tc>
          <w:tcPr>
            <w:tcW w:w="1337" w:type="dxa"/>
            <w:vAlign w:val="center"/>
          </w:tcPr>
          <w:p w14:paraId="4074E6B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349.82</w:t>
            </w:r>
          </w:p>
        </w:tc>
        <w:tc>
          <w:tcPr>
            <w:tcW w:w="1337" w:type="dxa"/>
            <w:vAlign w:val="center"/>
          </w:tcPr>
          <w:p w14:paraId="5FC43FC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418.67</w:t>
            </w:r>
          </w:p>
        </w:tc>
        <w:tc>
          <w:tcPr>
            <w:tcW w:w="1337" w:type="dxa"/>
            <w:vAlign w:val="center"/>
          </w:tcPr>
          <w:p w14:paraId="06CF3D0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8.45</w:t>
            </w:r>
          </w:p>
        </w:tc>
        <w:tc>
          <w:tcPr>
            <w:tcW w:w="1337" w:type="dxa"/>
            <w:vAlign w:val="center"/>
          </w:tcPr>
          <w:p w14:paraId="57646AC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2,456.78</w:t>
            </w:r>
          </w:p>
        </w:tc>
        <w:tc>
          <w:tcPr>
            <w:tcW w:w="1337" w:type="dxa"/>
            <w:vAlign w:val="center"/>
          </w:tcPr>
          <w:p w14:paraId="4260B06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BDT Billion</w:t>
            </w:r>
          </w:p>
        </w:tc>
      </w:tr>
      <w:tr w:rsidR="00FE0C17" w14:paraId="7E9AEBC1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vAlign w:val="center"/>
          </w:tcPr>
          <w:p w14:paraId="7704CB09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Capital Adequacy Ratio (%)</w:t>
            </w:r>
          </w:p>
        </w:tc>
        <w:tc>
          <w:tcPr>
            <w:tcW w:w="1337" w:type="dxa"/>
            <w:vAlign w:val="center"/>
          </w:tcPr>
          <w:p w14:paraId="0DEDFE07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688</w:t>
            </w:r>
          </w:p>
        </w:tc>
        <w:tc>
          <w:tcPr>
            <w:tcW w:w="1337" w:type="dxa"/>
            <w:vAlign w:val="center"/>
          </w:tcPr>
          <w:p w14:paraId="7E36F96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11.87</w:t>
            </w:r>
          </w:p>
        </w:tc>
        <w:tc>
          <w:tcPr>
            <w:tcW w:w="1337" w:type="dxa"/>
            <w:vAlign w:val="center"/>
          </w:tcPr>
          <w:p w14:paraId="1E0BD538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3.45</w:t>
            </w:r>
          </w:p>
        </w:tc>
        <w:tc>
          <w:tcPr>
            <w:tcW w:w="1337" w:type="dxa"/>
            <w:vAlign w:val="center"/>
          </w:tcPr>
          <w:p w14:paraId="46FF7A5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4.56</w:t>
            </w:r>
          </w:p>
        </w:tc>
        <w:tc>
          <w:tcPr>
            <w:tcW w:w="1337" w:type="dxa"/>
            <w:vAlign w:val="center"/>
          </w:tcPr>
          <w:p w14:paraId="52045F60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24.32</w:t>
            </w:r>
          </w:p>
        </w:tc>
        <w:tc>
          <w:tcPr>
            <w:tcW w:w="1337" w:type="dxa"/>
            <w:vAlign w:val="center"/>
          </w:tcPr>
          <w:p w14:paraId="0CCBB99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Percentage</w:t>
            </w:r>
          </w:p>
        </w:tc>
      </w:tr>
      <w:tr w:rsidR="00FE0C17" w14:paraId="2B3CBA26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vAlign w:val="center"/>
          </w:tcPr>
          <w:p w14:paraId="18534387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GDP Growth Rate (%)</w:t>
            </w:r>
          </w:p>
        </w:tc>
        <w:tc>
          <w:tcPr>
            <w:tcW w:w="1337" w:type="dxa"/>
            <w:vAlign w:val="center"/>
          </w:tcPr>
          <w:p w14:paraId="4D52419F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688</w:t>
            </w:r>
          </w:p>
        </w:tc>
        <w:tc>
          <w:tcPr>
            <w:tcW w:w="1337" w:type="dxa"/>
            <w:vAlign w:val="center"/>
          </w:tcPr>
          <w:p w14:paraId="67AC57B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6.54</w:t>
            </w:r>
          </w:p>
        </w:tc>
        <w:tc>
          <w:tcPr>
            <w:tcW w:w="1337" w:type="dxa"/>
            <w:vAlign w:val="center"/>
          </w:tcPr>
          <w:p w14:paraId="59ADD0FC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1.12</w:t>
            </w:r>
          </w:p>
        </w:tc>
        <w:tc>
          <w:tcPr>
            <w:tcW w:w="1337" w:type="dxa"/>
            <w:vAlign w:val="center"/>
          </w:tcPr>
          <w:p w14:paraId="7C3734A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3.45</w:t>
            </w:r>
          </w:p>
        </w:tc>
        <w:tc>
          <w:tcPr>
            <w:tcW w:w="1337" w:type="dxa"/>
            <w:vAlign w:val="center"/>
          </w:tcPr>
          <w:p w14:paraId="6CEBD41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8.15</w:t>
            </w:r>
          </w:p>
        </w:tc>
        <w:tc>
          <w:tcPr>
            <w:tcW w:w="1337" w:type="dxa"/>
            <w:vAlign w:val="center"/>
          </w:tcPr>
          <w:p w14:paraId="2E34661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Percentage</w:t>
            </w:r>
          </w:p>
        </w:tc>
      </w:tr>
      <w:tr w:rsidR="00FE0C17" w14:paraId="05FF4DB6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vAlign w:val="center"/>
          </w:tcPr>
          <w:p w14:paraId="53BE1613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Inflation Rate (%)</w:t>
            </w:r>
          </w:p>
        </w:tc>
        <w:tc>
          <w:tcPr>
            <w:tcW w:w="1337" w:type="dxa"/>
            <w:vAlign w:val="center"/>
          </w:tcPr>
          <w:p w14:paraId="3E61C1A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688</w:t>
            </w:r>
          </w:p>
        </w:tc>
        <w:tc>
          <w:tcPr>
            <w:tcW w:w="1337" w:type="dxa"/>
            <w:vAlign w:val="center"/>
          </w:tcPr>
          <w:p w14:paraId="474FDD78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6.23</w:t>
            </w:r>
          </w:p>
        </w:tc>
        <w:tc>
          <w:tcPr>
            <w:tcW w:w="1337" w:type="dxa"/>
            <w:vAlign w:val="center"/>
          </w:tcPr>
          <w:p w14:paraId="5DF01358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1.89</w:t>
            </w:r>
          </w:p>
        </w:tc>
        <w:tc>
          <w:tcPr>
            <w:tcW w:w="1337" w:type="dxa"/>
            <w:vAlign w:val="center"/>
          </w:tcPr>
          <w:p w14:paraId="5E22ED2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2.34</w:t>
            </w:r>
          </w:p>
        </w:tc>
        <w:tc>
          <w:tcPr>
            <w:tcW w:w="1337" w:type="dxa"/>
            <w:vAlign w:val="center"/>
          </w:tcPr>
          <w:p w14:paraId="7CF02D3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9.89</w:t>
            </w:r>
          </w:p>
        </w:tc>
        <w:tc>
          <w:tcPr>
            <w:tcW w:w="1337" w:type="dxa"/>
            <w:vAlign w:val="center"/>
          </w:tcPr>
          <w:p w14:paraId="25032DC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Percentage</w:t>
            </w:r>
          </w:p>
        </w:tc>
      </w:tr>
      <w:tr w:rsidR="00FE0C17" w14:paraId="26DF3DB9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vAlign w:val="center"/>
          </w:tcPr>
          <w:p w14:paraId="2E54F79D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Loan-to-Deposit Ratio (%)</w:t>
            </w:r>
          </w:p>
        </w:tc>
        <w:tc>
          <w:tcPr>
            <w:tcW w:w="1337" w:type="dxa"/>
            <w:vAlign w:val="center"/>
          </w:tcPr>
          <w:p w14:paraId="0CAC1A3B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688</w:t>
            </w:r>
          </w:p>
        </w:tc>
        <w:tc>
          <w:tcPr>
            <w:tcW w:w="1337" w:type="dxa"/>
            <w:vAlign w:val="center"/>
          </w:tcPr>
          <w:p w14:paraId="4176F4E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78.45</w:t>
            </w:r>
          </w:p>
        </w:tc>
        <w:tc>
          <w:tcPr>
            <w:tcW w:w="1337" w:type="dxa"/>
            <w:vAlign w:val="center"/>
          </w:tcPr>
          <w:p w14:paraId="0B9DB628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12.34</w:t>
            </w:r>
          </w:p>
        </w:tc>
        <w:tc>
          <w:tcPr>
            <w:tcW w:w="1337" w:type="dxa"/>
            <w:vAlign w:val="center"/>
          </w:tcPr>
          <w:p w14:paraId="3C61E28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45.67</w:t>
            </w:r>
          </w:p>
        </w:tc>
        <w:tc>
          <w:tcPr>
            <w:tcW w:w="1337" w:type="dxa"/>
            <w:vAlign w:val="center"/>
          </w:tcPr>
          <w:p w14:paraId="123BAE7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102.34</w:t>
            </w:r>
          </w:p>
        </w:tc>
        <w:tc>
          <w:tcPr>
            <w:tcW w:w="1337" w:type="dxa"/>
            <w:vAlign w:val="center"/>
          </w:tcPr>
          <w:p w14:paraId="16A0837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Percentage</w:t>
            </w:r>
          </w:p>
        </w:tc>
      </w:tr>
      <w:tr w:rsidR="00FE0C17" w14:paraId="698B2EF2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vAlign w:val="center"/>
          </w:tcPr>
          <w:p w14:paraId="5D4FBA79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Non-Performing Loan Ratio (%)</w:t>
            </w:r>
          </w:p>
        </w:tc>
        <w:tc>
          <w:tcPr>
            <w:tcW w:w="1337" w:type="dxa"/>
            <w:vAlign w:val="center"/>
          </w:tcPr>
          <w:p w14:paraId="56B18CBF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688</w:t>
            </w:r>
          </w:p>
        </w:tc>
        <w:tc>
          <w:tcPr>
            <w:tcW w:w="1337" w:type="dxa"/>
            <w:vAlign w:val="center"/>
          </w:tcPr>
          <w:p w14:paraId="74715E97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9.87</w:t>
            </w:r>
          </w:p>
        </w:tc>
        <w:tc>
          <w:tcPr>
            <w:tcW w:w="1337" w:type="dxa"/>
            <w:vAlign w:val="center"/>
          </w:tcPr>
          <w:p w14:paraId="3C46B39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5.67</w:t>
            </w:r>
          </w:p>
        </w:tc>
        <w:tc>
          <w:tcPr>
            <w:tcW w:w="1337" w:type="dxa"/>
            <w:vAlign w:val="center"/>
          </w:tcPr>
          <w:p w14:paraId="7F63FDD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1.23</w:t>
            </w:r>
          </w:p>
        </w:tc>
        <w:tc>
          <w:tcPr>
            <w:tcW w:w="1337" w:type="dxa"/>
            <w:vAlign w:val="center"/>
          </w:tcPr>
          <w:p w14:paraId="3A0D3EF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28.92</w:t>
            </w:r>
          </w:p>
        </w:tc>
        <w:tc>
          <w:tcPr>
            <w:tcW w:w="1337" w:type="dxa"/>
            <w:vAlign w:val="center"/>
          </w:tcPr>
          <w:p w14:paraId="2934CC37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Percentage</w:t>
            </w:r>
          </w:p>
        </w:tc>
      </w:tr>
      <w:tr w:rsidR="00FE0C17" w14:paraId="04BB32A4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7" w:type="dxa"/>
            <w:vAlign w:val="center"/>
          </w:tcPr>
          <w:p w14:paraId="1B94F95F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lastRenderedPageBreak/>
              <w:t>Number of Branches</w:t>
            </w:r>
          </w:p>
        </w:tc>
        <w:tc>
          <w:tcPr>
            <w:tcW w:w="1337" w:type="dxa"/>
            <w:vAlign w:val="center"/>
          </w:tcPr>
          <w:p w14:paraId="3D2F63DD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688</w:t>
            </w:r>
          </w:p>
        </w:tc>
        <w:tc>
          <w:tcPr>
            <w:tcW w:w="1337" w:type="dxa"/>
            <w:vAlign w:val="center"/>
          </w:tcPr>
          <w:p w14:paraId="5E16F18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127.43</w:t>
            </w:r>
          </w:p>
        </w:tc>
        <w:tc>
          <w:tcPr>
            <w:tcW w:w="1337" w:type="dxa"/>
            <w:vAlign w:val="center"/>
          </w:tcPr>
          <w:p w14:paraId="313C6C29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98.56</w:t>
            </w:r>
          </w:p>
        </w:tc>
        <w:tc>
          <w:tcPr>
            <w:tcW w:w="1337" w:type="dxa"/>
            <w:vAlign w:val="center"/>
          </w:tcPr>
          <w:p w14:paraId="760E297F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8</w:t>
            </w:r>
          </w:p>
        </w:tc>
        <w:tc>
          <w:tcPr>
            <w:tcW w:w="1337" w:type="dxa"/>
            <w:vAlign w:val="center"/>
          </w:tcPr>
          <w:p w14:paraId="185AEDB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567</w:t>
            </w:r>
          </w:p>
        </w:tc>
        <w:tc>
          <w:tcPr>
            <w:tcW w:w="1337" w:type="dxa"/>
            <w:vAlign w:val="center"/>
          </w:tcPr>
          <w:p w14:paraId="735E53A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Count</w:t>
            </w:r>
          </w:p>
        </w:tc>
      </w:tr>
    </w:tbl>
    <w:p w14:paraId="1C926777" w14:textId="77777777" w:rsidR="00FE0C17" w:rsidRDefault="00FE0C17" w:rsidP="00FE0C17"/>
    <w:p w14:paraId="37980850" w14:textId="77777777" w:rsidR="00FE0C17" w:rsidRDefault="00FE0C17" w:rsidP="00FE0C17">
      <w:pPr>
        <w:rPr>
          <w:b/>
          <w:sz w:val="24"/>
        </w:rPr>
      </w:pPr>
    </w:p>
    <w:p w14:paraId="5E83B4DC" w14:textId="77777777" w:rsidR="00FE0C17" w:rsidRDefault="00FE0C17" w:rsidP="00FE0C17">
      <w:pPr>
        <w:rPr>
          <w:b/>
          <w:sz w:val="24"/>
        </w:rPr>
      </w:pPr>
    </w:p>
    <w:p w14:paraId="7DBE46EB" w14:textId="77777777" w:rsidR="00FE0C17" w:rsidRDefault="00FE0C17" w:rsidP="00FE0C17">
      <w:pPr>
        <w:rPr>
          <w:b/>
          <w:sz w:val="24"/>
        </w:rPr>
      </w:pPr>
    </w:p>
    <w:p w14:paraId="07B38DE6" w14:textId="77777777" w:rsidR="00FE0C17" w:rsidRDefault="00FE0C17" w:rsidP="00FE0C17">
      <w:pPr>
        <w:rPr>
          <w:b/>
          <w:sz w:val="24"/>
        </w:rPr>
      </w:pPr>
    </w:p>
    <w:p w14:paraId="0E577305" w14:textId="77777777" w:rsidR="00FE0C17" w:rsidRDefault="00FE0C17" w:rsidP="00FE0C17">
      <w:pPr>
        <w:rPr>
          <w:b/>
          <w:sz w:val="24"/>
        </w:rPr>
      </w:pPr>
    </w:p>
    <w:p w14:paraId="4BE43EB6" w14:textId="77777777" w:rsidR="00FE0C17" w:rsidRDefault="00FE0C17" w:rsidP="00FE0C17">
      <w:pPr>
        <w:rPr>
          <w:b/>
          <w:sz w:val="24"/>
        </w:rPr>
      </w:pPr>
    </w:p>
    <w:p w14:paraId="0E46B94B" w14:textId="77777777" w:rsidR="00FE0C17" w:rsidRDefault="00FE0C17" w:rsidP="00FE0C17">
      <w:pPr>
        <w:pStyle w:val="Heading3"/>
      </w:pPr>
      <w:bookmarkStart w:id="5" w:name="_Toc221308030"/>
      <w:r>
        <w:t>Table B2: Sample Distribution - Private Commercial Banks (2025)</w:t>
      </w:r>
      <w:bookmarkEnd w:id="5"/>
    </w:p>
    <w:p w14:paraId="4A3F184F" w14:textId="77777777" w:rsidR="00FE0C17" w:rsidRDefault="00FE0C17" w:rsidP="00FE0C17">
      <w:r>
        <w:rPr>
          <w:i/>
          <w:sz w:val="20"/>
        </w:rPr>
        <w:t xml:space="preserve">Note: </w:t>
      </w:r>
      <w:r>
        <w:rPr>
          <w:sz w:val="20"/>
        </w:rPr>
        <w:t>Classification based on ownership structure and banking model. Source: Bangladesh Bank, Scheduled Bank Statistics 2025.</w:t>
      </w:r>
    </w:p>
    <w:tbl>
      <w:tblPr>
        <w:tblStyle w:val="LightGrid-Accent1"/>
        <w:tblW w:w="0" w:type="auto"/>
        <w:jc w:val="center"/>
        <w:tblLook w:val="04A0" w:firstRow="1" w:lastRow="0" w:firstColumn="1" w:lastColumn="0" w:noHBand="0" w:noVBand="1"/>
      </w:tblPr>
      <w:tblGrid>
        <w:gridCol w:w="2336"/>
        <w:gridCol w:w="2335"/>
        <w:gridCol w:w="2334"/>
        <w:gridCol w:w="2335"/>
      </w:tblGrid>
      <w:tr w:rsidR="00FE0C17" w14:paraId="534FC8CD" w14:textId="77777777" w:rsidTr="00613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D3D3D3"/>
            <w:vAlign w:val="center"/>
          </w:tcPr>
          <w:p w14:paraId="71947307" w14:textId="77777777" w:rsidR="00FE0C17" w:rsidRDefault="00FE0C17" w:rsidP="006138A4">
            <w:pPr>
              <w:jc w:val="center"/>
            </w:pPr>
            <w:r>
              <w:t>Category</w:t>
            </w:r>
          </w:p>
        </w:tc>
        <w:tc>
          <w:tcPr>
            <w:tcW w:w="2340" w:type="dxa"/>
            <w:shd w:val="clear" w:color="auto" w:fill="D3D3D3"/>
            <w:vAlign w:val="center"/>
          </w:tcPr>
          <w:p w14:paraId="670DB5B2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Number of Banks</w:t>
            </w:r>
          </w:p>
        </w:tc>
        <w:tc>
          <w:tcPr>
            <w:tcW w:w="2340" w:type="dxa"/>
            <w:shd w:val="clear" w:color="auto" w:fill="D3D3D3"/>
            <w:vAlign w:val="center"/>
          </w:tcPr>
          <w:p w14:paraId="14006C12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Share of Total Assets (%)</w:t>
            </w:r>
          </w:p>
        </w:tc>
        <w:tc>
          <w:tcPr>
            <w:tcW w:w="2340" w:type="dxa"/>
            <w:shd w:val="clear" w:color="auto" w:fill="D3D3D3"/>
            <w:vAlign w:val="center"/>
          </w:tcPr>
          <w:p w14:paraId="6F3EB26C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Examples</w:t>
            </w:r>
          </w:p>
        </w:tc>
      </w:tr>
      <w:tr w:rsidR="00FE0C17" w14:paraId="1A0C33B4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36D74C25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Conventional PCBs (1st Generation)</w:t>
            </w:r>
          </w:p>
        </w:tc>
        <w:tc>
          <w:tcPr>
            <w:tcW w:w="2340" w:type="dxa"/>
            <w:vAlign w:val="center"/>
          </w:tcPr>
          <w:p w14:paraId="7C9101F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12</w:t>
            </w:r>
          </w:p>
        </w:tc>
        <w:tc>
          <w:tcPr>
            <w:tcW w:w="2340" w:type="dxa"/>
            <w:vAlign w:val="center"/>
          </w:tcPr>
          <w:p w14:paraId="6204D7A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32.4</w:t>
            </w:r>
          </w:p>
        </w:tc>
        <w:tc>
          <w:tcPr>
            <w:tcW w:w="2340" w:type="dxa"/>
            <w:vAlign w:val="center"/>
          </w:tcPr>
          <w:p w14:paraId="6ED26F7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Dutch-Bangla Bank, Prime Bank, BRAC Bank</w:t>
            </w:r>
          </w:p>
        </w:tc>
      </w:tr>
      <w:tr w:rsidR="00FE0C17" w14:paraId="2BF3D5C8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61284ED7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Conventional PCBs (2nd-4th Generation)</w:t>
            </w:r>
          </w:p>
        </w:tc>
        <w:tc>
          <w:tcPr>
            <w:tcW w:w="2340" w:type="dxa"/>
            <w:vAlign w:val="center"/>
          </w:tcPr>
          <w:p w14:paraId="62656EC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21</w:t>
            </w:r>
          </w:p>
        </w:tc>
        <w:tc>
          <w:tcPr>
            <w:tcW w:w="2340" w:type="dxa"/>
            <w:vAlign w:val="center"/>
          </w:tcPr>
          <w:p w14:paraId="685714D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28.7</w:t>
            </w:r>
          </w:p>
        </w:tc>
        <w:tc>
          <w:tcPr>
            <w:tcW w:w="2340" w:type="dxa"/>
            <w:vAlign w:val="center"/>
          </w:tcPr>
          <w:p w14:paraId="6FC677EE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Eastern Bank, City Bank, Mutual Trust Bank</w:t>
            </w:r>
          </w:p>
        </w:tc>
      </w:tr>
      <w:tr w:rsidR="00FE0C17" w14:paraId="004DDA98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445D17EC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Islamic Shariah-based PCBs</w:t>
            </w:r>
          </w:p>
        </w:tc>
        <w:tc>
          <w:tcPr>
            <w:tcW w:w="2340" w:type="dxa"/>
            <w:vAlign w:val="center"/>
          </w:tcPr>
          <w:p w14:paraId="426B906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10</w:t>
            </w:r>
          </w:p>
        </w:tc>
        <w:tc>
          <w:tcPr>
            <w:tcW w:w="2340" w:type="dxa"/>
            <w:vAlign w:val="center"/>
          </w:tcPr>
          <w:p w14:paraId="338F86D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18.6</w:t>
            </w:r>
          </w:p>
        </w:tc>
        <w:tc>
          <w:tcPr>
            <w:tcW w:w="2340" w:type="dxa"/>
            <w:vAlign w:val="center"/>
          </w:tcPr>
          <w:p w14:paraId="24342A7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Islami Bank Bangladesh, Social Islami Bank</w:t>
            </w:r>
          </w:p>
        </w:tc>
      </w:tr>
      <w:tr w:rsidR="00FE0C17" w14:paraId="2BC25DBF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45C7B802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Total Private Commercial Banks</w:t>
            </w:r>
          </w:p>
        </w:tc>
        <w:tc>
          <w:tcPr>
            <w:tcW w:w="2340" w:type="dxa"/>
            <w:vAlign w:val="center"/>
          </w:tcPr>
          <w:p w14:paraId="19EB06D0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43</w:t>
            </w:r>
          </w:p>
        </w:tc>
        <w:tc>
          <w:tcPr>
            <w:tcW w:w="2340" w:type="dxa"/>
            <w:vAlign w:val="center"/>
          </w:tcPr>
          <w:p w14:paraId="68711282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79.7</w:t>
            </w:r>
          </w:p>
        </w:tc>
        <w:tc>
          <w:tcPr>
            <w:tcW w:w="2340" w:type="dxa"/>
            <w:vAlign w:val="center"/>
          </w:tcPr>
          <w:p w14:paraId="54DFE0D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—</w:t>
            </w:r>
          </w:p>
        </w:tc>
      </w:tr>
    </w:tbl>
    <w:p w14:paraId="5A932B99" w14:textId="77777777" w:rsidR="00FE0C17" w:rsidRDefault="00FE0C17" w:rsidP="00FE0C17"/>
    <w:p w14:paraId="5AFC63CC" w14:textId="77777777" w:rsidR="00FE0C17" w:rsidRDefault="00FE0C17" w:rsidP="00FE0C17">
      <w:r>
        <w:br w:type="page"/>
      </w:r>
    </w:p>
    <w:p w14:paraId="1F8D736F" w14:textId="77777777" w:rsidR="00FE0C17" w:rsidRDefault="00FE0C17" w:rsidP="00FE0C17">
      <w:pPr>
        <w:pStyle w:val="Heading2"/>
      </w:pPr>
      <w:bookmarkStart w:id="6" w:name="_Toc221308031"/>
      <w:r>
        <w:lastRenderedPageBreak/>
        <w:t>Appendix C: Digital Banking Evolution in Bangladesh</w:t>
      </w:r>
      <w:bookmarkEnd w:id="6"/>
    </w:p>
    <w:p w14:paraId="10923980" w14:textId="77777777" w:rsidR="00FE0C17" w:rsidRDefault="00FE0C17" w:rsidP="00FE0C17">
      <w:pPr>
        <w:pStyle w:val="Heading3"/>
      </w:pPr>
      <w:bookmarkStart w:id="7" w:name="_Toc221308032"/>
      <w:r>
        <w:t>Table C1: Mobile Financial Services (MFS) Growth Trajectory (2011-2024)</w:t>
      </w:r>
      <w:bookmarkEnd w:id="7"/>
    </w:p>
    <w:p w14:paraId="54B4A49D" w14:textId="77777777" w:rsidR="00FE0C17" w:rsidRDefault="00FE0C17" w:rsidP="00FE0C17">
      <w:r>
        <w:rPr>
          <w:i/>
          <w:sz w:val="20"/>
        </w:rPr>
        <w:t xml:space="preserve">Note: </w:t>
      </w:r>
      <w:r>
        <w:rPr>
          <w:sz w:val="20"/>
        </w:rPr>
        <w:t>MFS launched in Bangladesh in 2011. Data shows exponential growth in accounts and transactions. Sources: Bangladesh Bank MFS Reports (2011-2024); Future Startup (2025); The Business Standard (2023).</w:t>
      </w:r>
    </w:p>
    <w:tbl>
      <w:tblPr>
        <w:tblStyle w:val="LightGrid-Accent1"/>
        <w:tblW w:w="0" w:type="auto"/>
        <w:jc w:val="center"/>
        <w:tblLook w:val="04A0" w:firstRow="1" w:lastRow="0" w:firstColumn="1" w:lastColumn="0" w:noHBand="0" w:noVBand="1"/>
      </w:tblPr>
      <w:tblGrid>
        <w:gridCol w:w="1867"/>
        <w:gridCol w:w="1869"/>
        <w:gridCol w:w="1868"/>
        <w:gridCol w:w="1869"/>
        <w:gridCol w:w="1867"/>
      </w:tblGrid>
      <w:tr w:rsidR="00FE0C17" w14:paraId="54C382C5" w14:textId="77777777" w:rsidTr="00613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shd w:val="clear" w:color="auto" w:fill="D3D3D3"/>
            <w:vAlign w:val="center"/>
          </w:tcPr>
          <w:p w14:paraId="311BEEF5" w14:textId="77777777" w:rsidR="00FE0C17" w:rsidRDefault="00FE0C17" w:rsidP="006138A4">
            <w:pPr>
              <w:jc w:val="center"/>
            </w:pPr>
            <w:r>
              <w:t>Year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17AAF144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Accounts (Million)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13F68364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Active Accounts (Million)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731B43F4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Transaction Volume (BDT Billion)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780AE36B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YoY Growth (%)</w:t>
            </w:r>
          </w:p>
        </w:tc>
      </w:tr>
      <w:tr w:rsidR="00FE0C17" w14:paraId="16C2E2FA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6B7CA5FE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2011</w:t>
            </w:r>
          </w:p>
        </w:tc>
        <w:tc>
          <w:tcPr>
            <w:tcW w:w="1872" w:type="dxa"/>
            <w:vAlign w:val="center"/>
          </w:tcPr>
          <w:p w14:paraId="27F8E6B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0.4</w:t>
            </w:r>
          </w:p>
        </w:tc>
        <w:tc>
          <w:tcPr>
            <w:tcW w:w="1872" w:type="dxa"/>
            <w:vAlign w:val="center"/>
          </w:tcPr>
          <w:p w14:paraId="12B8455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0.2</w:t>
            </w:r>
          </w:p>
        </w:tc>
        <w:tc>
          <w:tcPr>
            <w:tcW w:w="1872" w:type="dxa"/>
            <w:vAlign w:val="center"/>
          </w:tcPr>
          <w:p w14:paraId="4247DC7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23</w:t>
            </w:r>
          </w:p>
        </w:tc>
        <w:tc>
          <w:tcPr>
            <w:tcW w:w="1872" w:type="dxa"/>
            <w:vAlign w:val="center"/>
          </w:tcPr>
          <w:p w14:paraId="59E08E6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—</w:t>
            </w:r>
          </w:p>
        </w:tc>
      </w:tr>
      <w:tr w:rsidR="00FE0C17" w14:paraId="51B82DA2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4D8A4C17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2012</w:t>
            </w:r>
          </w:p>
        </w:tc>
        <w:tc>
          <w:tcPr>
            <w:tcW w:w="1872" w:type="dxa"/>
            <w:vAlign w:val="center"/>
          </w:tcPr>
          <w:p w14:paraId="4D95DBD5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1.8</w:t>
            </w:r>
          </w:p>
        </w:tc>
        <w:tc>
          <w:tcPr>
            <w:tcW w:w="1872" w:type="dxa"/>
            <w:vAlign w:val="center"/>
          </w:tcPr>
          <w:p w14:paraId="091F4D2E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0.9</w:t>
            </w:r>
          </w:p>
        </w:tc>
        <w:tc>
          <w:tcPr>
            <w:tcW w:w="1872" w:type="dxa"/>
            <w:vAlign w:val="center"/>
          </w:tcPr>
          <w:p w14:paraId="10E0862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156</w:t>
            </w:r>
          </w:p>
        </w:tc>
        <w:tc>
          <w:tcPr>
            <w:tcW w:w="1872" w:type="dxa"/>
            <w:vAlign w:val="center"/>
          </w:tcPr>
          <w:p w14:paraId="10882320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578.3</w:t>
            </w:r>
          </w:p>
        </w:tc>
      </w:tr>
      <w:tr w:rsidR="00FE0C17" w14:paraId="521E9F55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21BB83BC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2013</w:t>
            </w:r>
          </w:p>
        </w:tc>
        <w:tc>
          <w:tcPr>
            <w:tcW w:w="1872" w:type="dxa"/>
            <w:vAlign w:val="center"/>
          </w:tcPr>
          <w:p w14:paraId="31B97BA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4.2</w:t>
            </w:r>
          </w:p>
        </w:tc>
        <w:tc>
          <w:tcPr>
            <w:tcW w:w="1872" w:type="dxa"/>
            <w:vAlign w:val="center"/>
          </w:tcPr>
          <w:p w14:paraId="33C93332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2.1</w:t>
            </w:r>
          </w:p>
        </w:tc>
        <w:tc>
          <w:tcPr>
            <w:tcW w:w="1872" w:type="dxa"/>
            <w:vAlign w:val="center"/>
          </w:tcPr>
          <w:p w14:paraId="48BDDF3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389</w:t>
            </w:r>
          </w:p>
        </w:tc>
        <w:tc>
          <w:tcPr>
            <w:tcW w:w="1872" w:type="dxa"/>
            <w:vAlign w:val="center"/>
          </w:tcPr>
          <w:p w14:paraId="37299AA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149.4</w:t>
            </w:r>
          </w:p>
        </w:tc>
      </w:tr>
      <w:tr w:rsidR="00FE0C17" w14:paraId="45EB97BE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7BD34F3A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2014</w:t>
            </w:r>
          </w:p>
        </w:tc>
        <w:tc>
          <w:tcPr>
            <w:tcW w:w="1872" w:type="dxa"/>
            <w:vAlign w:val="center"/>
          </w:tcPr>
          <w:p w14:paraId="74934B9E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8.7</w:t>
            </w:r>
          </w:p>
        </w:tc>
        <w:tc>
          <w:tcPr>
            <w:tcW w:w="1872" w:type="dxa"/>
            <w:vAlign w:val="center"/>
          </w:tcPr>
          <w:p w14:paraId="51C8EDC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4.8</w:t>
            </w:r>
          </w:p>
        </w:tc>
        <w:tc>
          <w:tcPr>
            <w:tcW w:w="1872" w:type="dxa"/>
            <w:vAlign w:val="center"/>
          </w:tcPr>
          <w:p w14:paraId="24579FA0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734</w:t>
            </w:r>
          </w:p>
        </w:tc>
        <w:tc>
          <w:tcPr>
            <w:tcW w:w="1872" w:type="dxa"/>
            <w:vAlign w:val="center"/>
          </w:tcPr>
          <w:p w14:paraId="509381E9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88.7</w:t>
            </w:r>
          </w:p>
        </w:tc>
      </w:tr>
      <w:tr w:rsidR="00FE0C17" w14:paraId="2B39497B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7A293487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2015</w:t>
            </w:r>
          </w:p>
        </w:tc>
        <w:tc>
          <w:tcPr>
            <w:tcW w:w="1872" w:type="dxa"/>
            <w:vAlign w:val="center"/>
          </w:tcPr>
          <w:p w14:paraId="19D11D7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21.3</w:t>
            </w:r>
          </w:p>
        </w:tc>
        <w:tc>
          <w:tcPr>
            <w:tcW w:w="1872" w:type="dxa"/>
            <w:vAlign w:val="center"/>
          </w:tcPr>
          <w:p w14:paraId="066388B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11.2</w:t>
            </w:r>
          </w:p>
        </w:tc>
        <w:tc>
          <w:tcPr>
            <w:tcW w:w="1872" w:type="dxa"/>
            <w:vAlign w:val="center"/>
          </w:tcPr>
          <w:p w14:paraId="33818AD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1,289</w:t>
            </w:r>
          </w:p>
        </w:tc>
        <w:tc>
          <w:tcPr>
            <w:tcW w:w="1872" w:type="dxa"/>
            <w:vAlign w:val="center"/>
          </w:tcPr>
          <w:p w14:paraId="0BB7F4DC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75.6</w:t>
            </w:r>
          </w:p>
        </w:tc>
      </w:tr>
      <w:tr w:rsidR="00FE0C17" w14:paraId="01855D02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4FC4B7F1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2016</w:t>
            </w:r>
          </w:p>
        </w:tc>
        <w:tc>
          <w:tcPr>
            <w:tcW w:w="1872" w:type="dxa"/>
            <w:vAlign w:val="center"/>
          </w:tcPr>
          <w:p w14:paraId="48D18499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35.6</w:t>
            </w:r>
          </w:p>
        </w:tc>
        <w:tc>
          <w:tcPr>
            <w:tcW w:w="1872" w:type="dxa"/>
            <w:vAlign w:val="center"/>
          </w:tcPr>
          <w:p w14:paraId="28D8B89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18.9</w:t>
            </w:r>
          </w:p>
        </w:tc>
        <w:tc>
          <w:tcPr>
            <w:tcW w:w="1872" w:type="dxa"/>
            <w:vAlign w:val="center"/>
          </w:tcPr>
          <w:p w14:paraId="1D2DB4D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2,156</w:t>
            </w:r>
          </w:p>
        </w:tc>
        <w:tc>
          <w:tcPr>
            <w:tcW w:w="1872" w:type="dxa"/>
            <w:vAlign w:val="center"/>
          </w:tcPr>
          <w:p w14:paraId="7D7EB8D2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67.3</w:t>
            </w:r>
          </w:p>
        </w:tc>
      </w:tr>
      <w:tr w:rsidR="00FE0C17" w14:paraId="33F26376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744DCDFF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2017</w:t>
            </w:r>
          </w:p>
        </w:tc>
        <w:tc>
          <w:tcPr>
            <w:tcW w:w="1872" w:type="dxa"/>
            <w:vAlign w:val="center"/>
          </w:tcPr>
          <w:p w14:paraId="67E49949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54.8</w:t>
            </w:r>
          </w:p>
        </w:tc>
        <w:tc>
          <w:tcPr>
            <w:tcW w:w="1872" w:type="dxa"/>
            <w:vAlign w:val="center"/>
          </w:tcPr>
          <w:p w14:paraId="47D96F3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28.7</w:t>
            </w:r>
          </w:p>
        </w:tc>
        <w:tc>
          <w:tcPr>
            <w:tcW w:w="1872" w:type="dxa"/>
            <w:vAlign w:val="center"/>
          </w:tcPr>
          <w:p w14:paraId="7B8D82AC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3,421</w:t>
            </w:r>
          </w:p>
        </w:tc>
        <w:tc>
          <w:tcPr>
            <w:tcW w:w="1872" w:type="dxa"/>
            <w:vAlign w:val="center"/>
          </w:tcPr>
          <w:p w14:paraId="7EDB08ED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58.7</w:t>
            </w:r>
          </w:p>
        </w:tc>
      </w:tr>
      <w:tr w:rsidR="00FE0C17" w14:paraId="6354DC85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74DE66FA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2018</w:t>
            </w:r>
          </w:p>
        </w:tc>
        <w:tc>
          <w:tcPr>
            <w:tcW w:w="1872" w:type="dxa"/>
            <w:vAlign w:val="center"/>
          </w:tcPr>
          <w:p w14:paraId="13217F1B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76.4</w:t>
            </w:r>
          </w:p>
        </w:tc>
        <w:tc>
          <w:tcPr>
            <w:tcW w:w="1872" w:type="dxa"/>
            <w:vAlign w:val="center"/>
          </w:tcPr>
          <w:p w14:paraId="0715F312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42.3</w:t>
            </w:r>
          </w:p>
        </w:tc>
        <w:tc>
          <w:tcPr>
            <w:tcW w:w="1872" w:type="dxa"/>
            <w:vAlign w:val="center"/>
          </w:tcPr>
          <w:p w14:paraId="701ABF38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4,987</w:t>
            </w:r>
          </w:p>
        </w:tc>
        <w:tc>
          <w:tcPr>
            <w:tcW w:w="1872" w:type="dxa"/>
            <w:vAlign w:val="center"/>
          </w:tcPr>
          <w:p w14:paraId="4D26C4B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45.8</w:t>
            </w:r>
          </w:p>
        </w:tc>
      </w:tr>
      <w:tr w:rsidR="00FE0C17" w14:paraId="2E73D4F8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499CBDD2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2019</w:t>
            </w:r>
          </w:p>
        </w:tc>
        <w:tc>
          <w:tcPr>
            <w:tcW w:w="1872" w:type="dxa"/>
            <w:vAlign w:val="center"/>
          </w:tcPr>
          <w:p w14:paraId="1D2B038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98.2</w:t>
            </w:r>
          </w:p>
        </w:tc>
        <w:tc>
          <w:tcPr>
            <w:tcW w:w="1872" w:type="dxa"/>
            <w:vAlign w:val="center"/>
          </w:tcPr>
          <w:p w14:paraId="1632E42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56.8</w:t>
            </w:r>
          </w:p>
        </w:tc>
        <w:tc>
          <w:tcPr>
            <w:tcW w:w="1872" w:type="dxa"/>
            <w:vAlign w:val="center"/>
          </w:tcPr>
          <w:p w14:paraId="39686A8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7,234</w:t>
            </w:r>
          </w:p>
        </w:tc>
        <w:tc>
          <w:tcPr>
            <w:tcW w:w="1872" w:type="dxa"/>
            <w:vAlign w:val="center"/>
          </w:tcPr>
          <w:p w14:paraId="75CC01F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45.1</w:t>
            </w:r>
          </w:p>
        </w:tc>
      </w:tr>
      <w:tr w:rsidR="00FE0C17" w14:paraId="4119D1F7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2CBDF427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2020</w:t>
            </w:r>
          </w:p>
        </w:tc>
        <w:tc>
          <w:tcPr>
            <w:tcW w:w="1872" w:type="dxa"/>
            <w:vAlign w:val="center"/>
          </w:tcPr>
          <w:p w14:paraId="0E4C4FA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125.6</w:t>
            </w:r>
          </w:p>
        </w:tc>
        <w:tc>
          <w:tcPr>
            <w:tcW w:w="1872" w:type="dxa"/>
            <w:vAlign w:val="center"/>
          </w:tcPr>
          <w:p w14:paraId="20980765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71.4</w:t>
            </w:r>
          </w:p>
        </w:tc>
        <w:tc>
          <w:tcPr>
            <w:tcW w:w="1872" w:type="dxa"/>
            <w:vAlign w:val="center"/>
          </w:tcPr>
          <w:p w14:paraId="036065BE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9,900</w:t>
            </w:r>
          </w:p>
        </w:tc>
        <w:tc>
          <w:tcPr>
            <w:tcW w:w="1872" w:type="dxa"/>
            <w:vAlign w:val="center"/>
          </w:tcPr>
          <w:p w14:paraId="242BD868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36.9</w:t>
            </w:r>
          </w:p>
        </w:tc>
      </w:tr>
      <w:tr w:rsidR="00FE0C17" w14:paraId="2CE1D14E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1698D5D0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2021</w:t>
            </w:r>
          </w:p>
        </w:tc>
        <w:tc>
          <w:tcPr>
            <w:tcW w:w="1872" w:type="dxa"/>
            <w:vAlign w:val="center"/>
          </w:tcPr>
          <w:p w14:paraId="004F415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156.3</w:t>
            </w:r>
          </w:p>
        </w:tc>
        <w:tc>
          <w:tcPr>
            <w:tcW w:w="1872" w:type="dxa"/>
            <w:vAlign w:val="center"/>
          </w:tcPr>
          <w:p w14:paraId="7B896F1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82.7</w:t>
            </w:r>
          </w:p>
        </w:tc>
        <w:tc>
          <w:tcPr>
            <w:tcW w:w="1872" w:type="dxa"/>
            <w:vAlign w:val="center"/>
          </w:tcPr>
          <w:p w14:paraId="62783ED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13,520</w:t>
            </w:r>
          </w:p>
        </w:tc>
        <w:tc>
          <w:tcPr>
            <w:tcW w:w="1872" w:type="dxa"/>
            <w:vAlign w:val="center"/>
          </w:tcPr>
          <w:p w14:paraId="3A10ADA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36.6</w:t>
            </w:r>
          </w:p>
        </w:tc>
      </w:tr>
      <w:tr w:rsidR="00FE0C17" w14:paraId="3DE7B193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6E2772AD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2022</w:t>
            </w:r>
          </w:p>
        </w:tc>
        <w:tc>
          <w:tcPr>
            <w:tcW w:w="1872" w:type="dxa"/>
            <w:vAlign w:val="center"/>
          </w:tcPr>
          <w:p w14:paraId="7A6752C7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182.8</w:t>
            </w:r>
          </w:p>
        </w:tc>
        <w:tc>
          <w:tcPr>
            <w:tcW w:w="1872" w:type="dxa"/>
            <w:vAlign w:val="center"/>
          </w:tcPr>
          <w:p w14:paraId="68DF86EA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87.6</w:t>
            </w:r>
          </w:p>
        </w:tc>
        <w:tc>
          <w:tcPr>
            <w:tcW w:w="1872" w:type="dxa"/>
            <w:vAlign w:val="center"/>
          </w:tcPr>
          <w:p w14:paraId="6247AB2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16,254</w:t>
            </w:r>
          </w:p>
        </w:tc>
        <w:tc>
          <w:tcPr>
            <w:tcW w:w="1872" w:type="dxa"/>
            <w:vAlign w:val="center"/>
          </w:tcPr>
          <w:p w14:paraId="727CEEF2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20.2</w:t>
            </w:r>
          </w:p>
        </w:tc>
      </w:tr>
      <w:tr w:rsidR="00FE0C17" w14:paraId="116B467A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7C943163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2023</w:t>
            </w:r>
          </w:p>
        </w:tc>
        <w:tc>
          <w:tcPr>
            <w:tcW w:w="1872" w:type="dxa"/>
            <w:vAlign w:val="center"/>
          </w:tcPr>
          <w:p w14:paraId="5C378CC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190.7</w:t>
            </w:r>
          </w:p>
        </w:tc>
        <w:tc>
          <w:tcPr>
            <w:tcW w:w="1872" w:type="dxa"/>
            <w:vAlign w:val="center"/>
          </w:tcPr>
          <w:p w14:paraId="5A2000F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89.4</w:t>
            </w:r>
          </w:p>
        </w:tc>
        <w:tc>
          <w:tcPr>
            <w:tcW w:w="1872" w:type="dxa"/>
            <w:vAlign w:val="center"/>
          </w:tcPr>
          <w:p w14:paraId="18D1BB5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17,370</w:t>
            </w:r>
          </w:p>
        </w:tc>
        <w:tc>
          <w:tcPr>
            <w:tcW w:w="1872" w:type="dxa"/>
            <w:vAlign w:val="center"/>
          </w:tcPr>
          <w:p w14:paraId="410C56D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6.9</w:t>
            </w:r>
          </w:p>
        </w:tc>
      </w:tr>
      <w:tr w:rsidR="00FE0C17" w14:paraId="54E613A3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5B7B72C9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2024</w:t>
            </w:r>
          </w:p>
        </w:tc>
        <w:tc>
          <w:tcPr>
            <w:tcW w:w="1872" w:type="dxa"/>
            <w:vAlign w:val="center"/>
          </w:tcPr>
          <w:p w14:paraId="29EF794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212.4</w:t>
            </w:r>
          </w:p>
        </w:tc>
        <w:tc>
          <w:tcPr>
            <w:tcW w:w="1872" w:type="dxa"/>
            <w:vAlign w:val="center"/>
          </w:tcPr>
          <w:p w14:paraId="630BDCEC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89.4</w:t>
            </w:r>
          </w:p>
        </w:tc>
        <w:tc>
          <w:tcPr>
            <w:tcW w:w="1872" w:type="dxa"/>
            <w:vAlign w:val="center"/>
          </w:tcPr>
          <w:p w14:paraId="592744EA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18,756</w:t>
            </w:r>
          </w:p>
        </w:tc>
        <w:tc>
          <w:tcPr>
            <w:tcW w:w="1872" w:type="dxa"/>
            <w:vAlign w:val="center"/>
          </w:tcPr>
          <w:p w14:paraId="528BB686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8.0</w:t>
            </w:r>
          </w:p>
        </w:tc>
      </w:tr>
    </w:tbl>
    <w:p w14:paraId="198C2FB4" w14:textId="77777777" w:rsidR="00FE0C17" w:rsidRDefault="00FE0C17" w:rsidP="00FE0C17"/>
    <w:p w14:paraId="320EDDEA" w14:textId="77777777" w:rsidR="00FE0C17" w:rsidRPr="00A60337" w:rsidRDefault="00FE0C17" w:rsidP="00FE0C17">
      <w:pPr>
        <w:pStyle w:val="Heading3"/>
        <w:rPr>
          <w:rStyle w:val="Heading3Char"/>
          <w:b/>
          <w:bCs/>
        </w:rPr>
      </w:pPr>
      <w:bookmarkStart w:id="8" w:name="_Toc221308033"/>
      <w:r>
        <w:t xml:space="preserve">Table C2: </w:t>
      </w:r>
      <w:r>
        <w:rPr>
          <w:rStyle w:val="Heading3Char"/>
          <w:b/>
          <w:bCs/>
        </w:rPr>
        <w:t>Digital Banking Channel Adoption by Private Commercial Banks</w:t>
      </w:r>
      <w:bookmarkEnd w:id="8"/>
    </w:p>
    <w:p w14:paraId="7F642575" w14:textId="77777777" w:rsidR="00FE0C17" w:rsidRDefault="00FE0C17" w:rsidP="00FE0C17">
      <w:r>
        <w:rPr>
          <w:i/>
          <w:sz w:val="20"/>
        </w:rPr>
        <w:t xml:space="preserve">Note: </w:t>
      </w:r>
      <w:r>
        <w:rPr>
          <w:sz w:val="20"/>
        </w:rPr>
        <w:t>Percentage of 43 PCBs offering each digital channel. Source: Bangladesh Bank, The Daily Star (2023), authors' survey of bank websites.</w:t>
      </w:r>
    </w:p>
    <w:tbl>
      <w:tblPr>
        <w:tblStyle w:val="LightGrid-Accent1"/>
        <w:tblW w:w="0" w:type="auto"/>
        <w:jc w:val="center"/>
        <w:tblLook w:val="04A0" w:firstRow="1" w:lastRow="0" w:firstColumn="1" w:lastColumn="0" w:noHBand="0" w:noVBand="1"/>
      </w:tblPr>
      <w:tblGrid>
        <w:gridCol w:w="2423"/>
        <w:gridCol w:w="1168"/>
        <w:gridCol w:w="1437"/>
        <w:gridCol w:w="1347"/>
        <w:gridCol w:w="1407"/>
        <w:gridCol w:w="1558"/>
      </w:tblGrid>
      <w:tr w:rsidR="00FE0C17" w14:paraId="2BB339DC" w14:textId="77777777" w:rsidTr="00613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shd w:val="clear" w:color="auto" w:fill="D3D3D3"/>
            <w:vAlign w:val="center"/>
          </w:tcPr>
          <w:p w14:paraId="3FFDF656" w14:textId="77777777" w:rsidR="00FE0C17" w:rsidRDefault="00FE0C17" w:rsidP="006138A4">
            <w:pPr>
              <w:jc w:val="center"/>
            </w:pPr>
            <w:r>
              <w:t>Digital Channel</w:t>
            </w:r>
          </w:p>
        </w:tc>
        <w:tc>
          <w:tcPr>
            <w:tcW w:w="1170" w:type="dxa"/>
            <w:shd w:val="clear" w:color="auto" w:fill="D3D3D3"/>
            <w:vAlign w:val="center"/>
          </w:tcPr>
          <w:p w14:paraId="0CE00C66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2010</w:t>
            </w:r>
          </w:p>
        </w:tc>
        <w:tc>
          <w:tcPr>
            <w:tcW w:w="1440" w:type="dxa"/>
            <w:shd w:val="clear" w:color="auto" w:fill="D3D3D3"/>
            <w:vAlign w:val="center"/>
          </w:tcPr>
          <w:p w14:paraId="0A485FA7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2015</w:t>
            </w:r>
          </w:p>
        </w:tc>
        <w:tc>
          <w:tcPr>
            <w:tcW w:w="1350" w:type="dxa"/>
            <w:shd w:val="clear" w:color="auto" w:fill="D3D3D3"/>
            <w:vAlign w:val="center"/>
          </w:tcPr>
          <w:p w14:paraId="158A3ECC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2020</w:t>
            </w:r>
          </w:p>
        </w:tc>
        <w:tc>
          <w:tcPr>
            <w:tcW w:w="1410" w:type="dxa"/>
            <w:shd w:val="clear" w:color="auto" w:fill="D3D3D3"/>
            <w:vAlign w:val="center"/>
          </w:tcPr>
          <w:p w14:paraId="7397C344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2024</w:t>
            </w:r>
          </w:p>
        </w:tc>
        <w:tc>
          <w:tcPr>
            <w:tcW w:w="1560" w:type="dxa"/>
            <w:shd w:val="clear" w:color="auto" w:fill="D3D3D3"/>
            <w:vAlign w:val="center"/>
          </w:tcPr>
          <w:p w14:paraId="202AF985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Adoption Rate 2024 (%)</w:t>
            </w:r>
          </w:p>
        </w:tc>
      </w:tr>
      <w:tr w:rsidR="00FE0C17" w14:paraId="43183AF6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Align w:val="center"/>
          </w:tcPr>
          <w:p w14:paraId="15BF7EE5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lastRenderedPageBreak/>
              <w:t>ATM Networks</w:t>
            </w:r>
          </w:p>
        </w:tc>
        <w:tc>
          <w:tcPr>
            <w:tcW w:w="1170" w:type="dxa"/>
            <w:vAlign w:val="center"/>
          </w:tcPr>
          <w:p w14:paraId="6E73E61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12</w:t>
            </w:r>
          </w:p>
        </w:tc>
        <w:tc>
          <w:tcPr>
            <w:tcW w:w="1440" w:type="dxa"/>
            <w:vAlign w:val="center"/>
          </w:tcPr>
          <w:p w14:paraId="6F4EE47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38</w:t>
            </w:r>
          </w:p>
        </w:tc>
        <w:tc>
          <w:tcPr>
            <w:tcW w:w="1350" w:type="dxa"/>
            <w:vAlign w:val="center"/>
          </w:tcPr>
          <w:p w14:paraId="409F501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43</w:t>
            </w:r>
          </w:p>
        </w:tc>
        <w:tc>
          <w:tcPr>
            <w:tcW w:w="1410" w:type="dxa"/>
            <w:vAlign w:val="center"/>
          </w:tcPr>
          <w:p w14:paraId="3AD1733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43</w:t>
            </w:r>
          </w:p>
        </w:tc>
        <w:tc>
          <w:tcPr>
            <w:tcW w:w="1560" w:type="dxa"/>
            <w:vAlign w:val="center"/>
          </w:tcPr>
          <w:p w14:paraId="103E5A3B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100.0</w:t>
            </w:r>
          </w:p>
        </w:tc>
      </w:tr>
      <w:tr w:rsidR="00FE0C17" w14:paraId="7BA18397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Align w:val="center"/>
          </w:tcPr>
          <w:p w14:paraId="139ACBAF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Internet Banking</w:t>
            </w:r>
          </w:p>
        </w:tc>
        <w:tc>
          <w:tcPr>
            <w:tcW w:w="1170" w:type="dxa"/>
            <w:vAlign w:val="center"/>
          </w:tcPr>
          <w:p w14:paraId="3484A3A9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3</w:t>
            </w:r>
          </w:p>
        </w:tc>
        <w:tc>
          <w:tcPr>
            <w:tcW w:w="1440" w:type="dxa"/>
            <w:vAlign w:val="center"/>
          </w:tcPr>
          <w:p w14:paraId="5F874EE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24</w:t>
            </w:r>
          </w:p>
        </w:tc>
        <w:tc>
          <w:tcPr>
            <w:tcW w:w="1350" w:type="dxa"/>
            <w:vAlign w:val="center"/>
          </w:tcPr>
          <w:p w14:paraId="64E9E85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41</w:t>
            </w:r>
          </w:p>
        </w:tc>
        <w:tc>
          <w:tcPr>
            <w:tcW w:w="1410" w:type="dxa"/>
            <w:vAlign w:val="center"/>
          </w:tcPr>
          <w:p w14:paraId="7C82A92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43</w:t>
            </w:r>
          </w:p>
        </w:tc>
        <w:tc>
          <w:tcPr>
            <w:tcW w:w="1560" w:type="dxa"/>
            <w:vAlign w:val="center"/>
          </w:tcPr>
          <w:p w14:paraId="3B9FC6FC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100.0</w:t>
            </w:r>
          </w:p>
        </w:tc>
      </w:tr>
      <w:tr w:rsidR="00FE0C17" w14:paraId="7DC346B4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Align w:val="center"/>
          </w:tcPr>
          <w:p w14:paraId="7E423415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Mobile Banking Apps</w:t>
            </w:r>
          </w:p>
        </w:tc>
        <w:tc>
          <w:tcPr>
            <w:tcW w:w="1170" w:type="dxa"/>
            <w:vAlign w:val="center"/>
          </w:tcPr>
          <w:p w14:paraId="4CD5102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0</w:t>
            </w:r>
          </w:p>
        </w:tc>
        <w:tc>
          <w:tcPr>
            <w:tcW w:w="1440" w:type="dxa"/>
            <w:vAlign w:val="center"/>
          </w:tcPr>
          <w:p w14:paraId="24D8774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8</w:t>
            </w:r>
          </w:p>
        </w:tc>
        <w:tc>
          <w:tcPr>
            <w:tcW w:w="1350" w:type="dxa"/>
            <w:vAlign w:val="center"/>
          </w:tcPr>
          <w:p w14:paraId="1F6424CD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37</w:t>
            </w:r>
          </w:p>
        </w:tc>
        <w:tc>
          <w:tcPr>
            <w:tcW w:w="1410" w:type="dxa"/>
            <w:vAlign w:val="center"/>
          </w:tcPr>
          <w:p w14:paraId="5FE48FAF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43</w:t>
            </w:r>
          </w:p>
        </w:tc>
        <w:tc>
          <w:tcPr>
            <w:tcW w:w="1560" w:type="dxa"/>
            <w:vAlign w:val="center"/>
          </w:tcPr>
          <w:p w14:paraId="5E6903C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100.0</w:t>
            </w:r>
          </w:p>
        </w:tc>
      </w:tr>
      <w:tr w:rsidR="00FE0C17" w14:paraId="26BAC1DF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Align w:val="center"/>
          </w:tcPr>
          <w:p w14:paraId="477C5DED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Mobile Financial Services</w:t>
            </w:r>
          </w:p>
        </w:tc>
        <w:tc>
          <w:tcPr>
            <w:tcW w:w="1170" w:type="dxa"/>
            <w:vAlign w:val="center"/>
          </w:tcPr>
          <w:p w14:paraId="092C34BA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</w:t>
            </w:r>
          </w:p>
        </w:tc>
        <w:tc>
          <w:tcPr>
            <w:tcW w:w="1440" w:type="dxa"/>
            <w:vAlign w:val="center"/>
          </w:tcPr>
          <w:p w14:paraId="7FEF7F0F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15</w:t>
            </w:r>
          </w:p>
        </w:tc>
        <w:tc>
          <w:tcPr>
            <w:tcW w:w="1350" w:type="dxa"/>
            <w:vAlign w:val="center"/>
          </w:tcPr>
          <w:p w14:paraId="21EA6B32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28</w:t>
            </w:r>
          </w:p>
        </w:tc>
        <w:tc>
          <w:tcPr>
            <w:tcW w:w="1410" w:type="dxa"/>
            <w:vAlign w:val="center"/>
          </w:tcPr>
          <w:p w14:paraId="391F23AC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35</w:t>
            </w:r>
          </w:p>
        </w:tc>
        <w:tc>
          <w:tcPr>
            <w:tcW w:w="1560" w:type="dxa"/>
            <w:vAlign w:val="center"/>
          </w:tcPr>
          <w:p w14:paraId="7AA85466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81.4</w:t>
            </w:r>
          </w:p>
        </w:tc>
      </w:tr>
      <w:tr w:rsidR="00FE0C17" w14:paraId="49635588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Align w:val="center"/>
          </w:tcPr>
          <w:p w14:paraId="65AC4261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Agent Banking</w:t>
            </w:r>
          </w:p>
        </w:tc>
        <w:tc>
          <w:tcPr>
            <w:tcW w:w="1170" w:type="dxa"/>
            <w:vAlign w:val="center"/>
          </w:tcPr>
          <w:p w14:paraId="1C7B703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0</w:t>
            </w:r>
          </w:p>
        </w:tc>
        <w:tc>
          <w:tcPr>
            <w:tcW w:w="1440" w:type="dxa"/>
            <w:vAlign w:val="center"/>
          </w:tcPr>
          <w:p w14:paraId="468B98F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12</w:t>
            </w:r>
          </w:p>
        </w:tc>
        <w:tc>
          <w:tcPr>
            <w:tcW w:w="1350" w:type="dxa"/>
            <w:vAlign w:val="center"/>
          </w:tcPr>
          <w:p w14:paraId="7477DFB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32</w:t>
            </w:r>
          </w:p>
        </w:tc>
        <w:tc>
          <w:tcPr>
            <w:tcW w:w="1410" w:type="dxa"/>
            <w:vAlign w:val="center"/>
          </w:tcPr>
          <w:p w14:paraId="35CD90B2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38</w:t>
            </w:r>
          </w:p>
        </w:tc>
        <w:tc>
          <w:tcPr>
            <w:tcW w:w="1560" w:type="dxa"/>
            <w:vAlign w:val="center"/>
          </w:tcPr>
          <w:p w14:paraId="2A34DF32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88.4</w:t>
            </w:r>
          </w:p>
        </w:tc>
      </w:tr>
      <w:tr w:rsidR="00FE0C17" w14:paraId="40710E89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Align w:val="center"/>
          </w:tcPr>
          <w:p w14:paraId="02D5307B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Digital KYC (e-KYC)</w:t>
            </w:r>
          </w:p>
        </w:tc>
        <w:tc>
          <w:tcPr>
            <w:tcW w:w="1170" w:type="dxa"/>
            <w:vAlign w:val="center"/>
          </w:tcPr>
          <w:p w14:paraId="47B18BA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</w:t>
            </w:r>
          </w:p>
        </w:tc>
        <w:tc>
          <w:tcPr>
            <w:tcW w:w="1440" w:type="dxa"/>
            <w:vAlign w:val="center"/>
          </w:tcPr>
          <w:p w14:paraId="0146EBD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</w:t>
            </w:r>
          </w:p>
        </w:tc>
        <w:tc>
          <w:tcPr>
            <w:tcW w:w="1350" w:type="dxa"/>
            <w:vAlign w:val="center"/>
          </w:tcPr>
          <w:p w14:paraId="18D1AE95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18</w:t>
            </w:r>
          </w:p>
        </w:tc>
        <w:tc>
          <w:tcPr>
            <w:tcW w:w="1410" w:type="dxa"/>
            <w:vAlign w:val="center"/>
          </w:tcPr>
          <w:p w14:paraId="3F23550F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41</w:t>
            </w:r>
          </w:p>
        </w:tc>
        <w:tc>
          <w:tcPr>
            <w:tcW w:w="1560" w:type="dxa"/>
            <w:vAlign w:val="center"/>
          </w:tcPr>
          <w:p w14:paraId="4982F80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95.3</w:t>
            </w:r>
          </w:p>
        </w:tc>
      </w:tr>
      <w:tr w:rsidR="00FE0C17" w14:paraId="281562CC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Align w:val="center"/>
          </w:tcPr>
          <w:p w14:paraId="4C47853F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Digital Nano Loans</w:t>
            </w:r>
          </w:p>
        </w:tc>
        <w:tc>
          <w:tcPr>
            <w:tcW w:w="1170" w:type="dxa"/>
            <w:vAlign w:val="center"/>
          </w:tcPr>
          <w:p w14:paraId="6ECF95C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0</w:t>
            </w:r>
          </w:p>
        </w:tc>
        <w:tc>
          <w:tcPr>
            <w:tcW w:w="1440" w:type="dxa"/>
            <w:vAlign w:val="center"/>
          </w:tcPr>
          <w:p w14:paraId="2CB2EA7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0</w:t>
            </w:r>
          </w:p>
        </w:tc>
        <w:tc>
          <w:tcPr>
            <w:tcW w:w="1350" w:type="dxa"/>
            <w:vAlign w:val="center"/>
          </w:tcPr>
          <w:p w14:paraId="66D976A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0</w:t>
            </w:r>
          </w:p>
        </w:tc>
        <w:tc>
          <w:tcPr>
            <w:tcW w:w="1410" w:type="dxa"/>
            <w:vAlign w:val="center"/>
          </w:tcPr>
          <w:p w14:paraId="3FA8B61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12</w:t>
            </w:r>
          </w:p>
        </w:tc>
        <w:tc>
          <w:tcPr>
            <w:tcW w:w="1560" w:type="dxa"/>
            <w:vAlign w:val="center"/>
          </w:tcPr>
          <w:p w14:paraId="465E3B4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27.9</w:t>
            </w:r>
          </w:p>
        </w:tc>
      </w:tr>
      <w:tr w:rsidR="00FE0C17" w14:paraId="3F3DD06E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Align w:val="center"/>
          </w:tcPr>
          <w:p w14:paraId="577BE893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QR Code Payments</w:t>
            </w:r>
          </w:p>
        </w:tc>
        <w:tc>
          <w:tcPr>
            <w:tcW w:w="1170" w:type="dxa"/>
            <w:vAlign w:val="center"/>
          </w:tcPr>
          <w:p w14:paraId="47963FA5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</w:t>
            </w:r>
          </w:p>
        </w:tc>
        <w:tc>
          <w:tcPr>
            <w:tcW w:w="1440" w:type="dxa"/>
            <w:vAlign w:val="center"/>
          </w:tcPr>
          <w:p w14:paraId="6A147A86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</w:t>
            </w:r>
          </w:p>
        </w:tc>
        <w:tc>
          <w:tcPr>
            <w:tcW w:w="1350" w:type="dxa"/>
            <w:vAlign w:val="center"/>
          </w:tcPr>
          <w:p w14:paraId="2EAD61D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8</w:t>
            </w:r>
          </w:p>
        </w:tc>
        <w:tc>
          <w:tcPr>
            <w:tcW w:w="1410" w:type="dxa"/>
            <w:vAlign w:val="center"/>
          </w:tcPr>
          <w:p w14:paraId="4C902670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39</w:t>
            </w:r>
          </w:p>
        </w:tc>
        <w:tc>
          <w:tcPr>
            <w:tcW w:w="1560" w:type="dxa"/>
            <w:vAlign w:val="center"/>
          </w:tcPr>
          <w:p w14:paraId="511F77A5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90.7</w:t>
            </w:r>
          </w:p>
        </w:tc>
      </w:tr>
    </w:tbl>
    <w:p w14:paraId="4171DD7C" w14:textId="77777777" w:rsidR="00FE0C17" w:rsidRDefault="00FE0C17" w:rsidP="00FE0C17">
      <w:r>
        <w:br w:type="page"/>
      </w:r>
    </w:p>
    <w:p w14:paraId="484AA980" w14:textId="77777777" w:rsidR="00FE0C17" w:rsidRDefault="00FE0C17" w:rsidP="00FE0C17">
      <w:pPr>
        <w:pStyle w:val="Heading2"/>
      </w:pPr>
      <w:bookmarkStart w:id="9" w:name="_Toc221308034"/>
      <w:r>
        <w:lastRenderedPageBreak/>
        <w:t>Appendix D: Financial Inclusion Indicators</w:t>
      </w:r>
      <w:bookmarkEnd w:id="9"/>
    </w:p>
    <w:p w14:paraId="735569F7" w14:textId="77777777" w:rsidR="00FE0C17" w:rsidRDefault="00FE0C17" w:rsidP="00FE0C17">
      <w:pPr>
        <w:pStyle w:val="Heading3"/>
      </w:pPr>
      <w:bookmarkStart w:id="10" w:name="_Toc221308035"/>
      <w:r>
        <w:t>Table D1: Financial Inclusion in Bangladesh - World Bank Global Findex</w:t>
      </w:r>
      <w:bookmarkEnd w:id="10"/>
    </w:p>
    <w:p w14:paraId="2ECF1A19" w14:textId="77777777" w:rsidR="00FE0C17" w:rsidRDefault="00FE0C17" w:rsidP="00FE0C17">
      <w:r>
        <w:rPr>
          <w:i/>
          <w:sz w:val="20"/>
        </w:rPr>
        <w:t xml:space="preserve">Note: </w:t>
      </w:r>
      <w:r>
        <w:rPr>
          <w:sz w:val="20"/>
        </w:rPr>
        <w:t>Percentage of adults (15+) with account ownership and digital payment usage. Source: World Bank Global Findex Database (2011, 2014, 2017, 2021, 2024).</w:t>
      </w:r>
    </w:p>
    <w:tbl>
      <w:tblPr>
        <w:tblStyle w:val="LightGrid-Accent1"/>
        <w:tblW w:w="0" w:type="auto"/>
        <w:jc w:val="center"/>
        <w:tblLook w:val="04A0" w:firstRow="1" w:lastRow="0" w:firstColumn="1" w:lastColumn="0" w:noHBand="0" w:noVBand="1"/>
      </w:tblPr>
      <w:tblGrid>
        <w:gridCol w:w="3248"/>
        <w:gridCol w:w="1061"/>
        <w:gridCol w:w="1318"/>
        <w:gridCol w:w="1232"/>
        <w:gridCol w:w="1232"/>
        <w:gridCol w:w="1249"/>
      </w:tblGrid>
      <w:tr w:rsidR="00FE0C17" w14:paraId="4D519B98" w14:textId="77777777" w:rsidTr="00613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shd w:val="clear" w:color="auto" w:fill="D3D3D3"/>
            <w:vAlign w:val="center"/>
          </w:tcPr>
          <w:p w14:paraId="5A29042D" w14:textId="77777777" w:rsidR="00FE0C17" w:rsidRDefault="00FE0C17" w:rsidP="006138A4">
            <w:pPr>
              <w:jc w:val="center"/>
            </w:pPr>
            <w:r>
              <w:t>Indicator</w:t>
            </w:r>
          </w:p>
        </w:tc>
        <w:tc>
          <w:tcPr>
            <w:tcW w:w="1080" w:type="dxa"/>
            <w:shd w:val="clear" w:color="auto" w:fill="D3D3D3"/>
            <w:vAlign w:val="center"/>
          </w:tcPr>
          <w:p w14:paraId="72921D0B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2011</w:t>
            </w:r>
          </w:p>
        </w:tc>
        <w:tc>
          <w:tcPr>
            <w:tcW w:w="1350" w:type="dxa"/>
            <w:shd w:val="clear" w:color="auto" w:fill="D3D3D3"/>
            <w:vAlign w:val="center"/>
          </w:tcPr>
          <w:p w14:paraId="6A712202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2014</w:t>
            </w:r>
          </w:p>
        </w:tc>
        <w:tc>
          <w:tcPr>
            <w:tcW w:w="1260" w:type="dxa"/>
            <w:shd w:val="clear" w:color="auto" w:fill="D3D3D3"/>
            <w:vAlign w:val="center"/>
          </w:tcPr>
          <w:p w14:paraId="1132A00A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2017</w:t>
            </w:r>
          </w:p>
        </w:tc>
        <w:tc>
          <w:tcPr>
            <w:tcW w:w="1260" w:type="dxa"/>
            <w:shd w:val="clear" w:color="auto" w:fill="D3D3D3"/>
            <w:vAlign w:val="center"/>
          </w:tcPr>
          <w:p w14:paraId="5E325607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2021</w:t>
            </w:r>
          </w:p>
        </w:tc>
        <w:tc>
          <w:tcPr>
            <w:tcW w:w="1278" w:type="dxa"/>
            <w:shd w:val="clear" w:color="auto" w:fill="D3D3D3"/>
            <w:vAlign w:val="center"/>
          </w:tcPr>
          <w:p w14:paraId="4C1B45CD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2024</w:t>
            </w:r>
          </w:p>
        </w:tc>
      </w:tr>
      <w:tr w:rsidR="00FE0C17" w14:paraId="27BC8FC3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Align w:val="center"/>
          </w:tcPr>
          <w:p w14:paraId="4ECAF30E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Account Ownership (% adults)</w:t>
            </w:r>
          </w:p>
        </w:tc>
        <w:tc>
          <w:tcPr>
            <w:tcW w:w="1080" w:type="dxa"/>
            <w:vAlign w:val="center"/>
          </w:tcPr>
          <w:p w14:paraId="5ADB3BF2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31.0</w:t>
            </w:r>
          </w:p>
        </w:tc>
        <w:tc>
          <w:tcPr>
            <w:tcW w:w="1350" w:type="dxa"/>
            <w:vAlign w:val="center"/>
          </w:tcPr>
          <w:p w14:paraId="2797A748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39.0</w:t>
            </w:r>
          </w:p>
        </w:tc>
        <w:tc>
          <w:tcPr>
            <w:tcW w:w="1260" w:type="dxa"/>
            <w:vAlign w:val="center"/>
          </w:tcPr>
          <w:p w14:paraId="7FF92C0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50.0</w:t>
            </w:r>
          </w:p>
        </w:tc>
        <w:tc>
          <w:tcPr>
            <w:tcW w:w="1260" w:type="dxa"/>
            <w:vAlign w:val="center"/>
          </w:tcPr>
          <w:p w14:paraId="1519FAB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58.0</w:t>
            </w:r>
          </w:p>
        </w:tc>
        <w:tc>
          <w:tcPr>
            <w:tcW w:w="1278" w:type="dxa"/>
            <w:vAlign w:val="center"/>
          </w:tcPr>
          <w:p w14:paraId="20B3AB3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65.0</w:t>
            </w:r>
          </w:p>
        </w:tc>
      </w:tr>
      <w:tr w:rsidR="00FE0C17" w14:paraId="2289FA03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Align w:val="center"/>
          </w:tcPr>
          <w:p w14:paraId="07E3EE74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Mobile Money Account (%)</w:t>
            </w:r>
          </w:p>
        </w:tc>
        <w:tc>
          <w:tcPr>
            <w:tcW w:w="1080" w:type="dxa"/>
            <w:vAlign w:val="center"/>
          </w:tcPr>
          <w:p w14:paraId="4E3F9DF9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0.0</w:t>
            </w:r>
          </w:p>
        </w:tc>
        <w:tc>
          <w:tcPr>
            <w:tcW w:w="1350" w:type="dxa"/>
            <w:vAlign w:val="center"/>
          </w:tcPr>
          <w:p w14:paraId="799C3E62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0.8</w:t>
            </w:r>
          </w:p>
        </w:tc>
        <w:tc>
          <w:tcPr>
            <w:tcW w:w="1260" w:type="dxa"/>
            <w:vAlign w:val="center"/>
          </w:tcPr>
          <w:p w14:paraId="7A12292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13.0</w:t>
            </w:r>
          </w:p>
        </w:tc>
        <w:tc>
          <w:tcPr>
            <w:tcW w:w="1260" w:type="dxa"/>
            <w:vAlign w:val="center"/>
          </w:tcPr>
          <w:p w14:paraId="25C1278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21.0</w:t>
            </w:r>
          </w:p>
        </w:tc>
        <w:tc>
          <w:tcPr>
            <w:tcW w:w="1278" w:type="dxa"/>
            <w:vAlign w:val="center"/>
          </w:tcPr>
          <w:p w14:paraId="7E15B9E8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28.0</w:t>
            </w:r>
          </w:p>
        </w:tc>
      </w:tr>
      <w:tr w:rsidR="00FE0C17" w14:paraId="60D62359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Align w:val="center"/>
          </w:tcPr>
          <w:p w14:paraId="2248FAF7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Made Digital Payment (%)</w:t>
            </w:r>
          </w:p>
        </w:tc>
        <w:tc>
          <w:tcPr>
            <w:tcW w:w="1080" w:type="dxa"/>
            <w:vAlign w:val="center"/>
          </w:tcPr>
          <w:p w14:paraId="64D0A03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—</w:t>
            </w:r>
          </w:p>
        </w:tc>
        <w:tc>
          <w:tcPr>
            <w:tcW w:w="1350" w:type="dxa"/>
            <w:vAlign w:val="center"/>
          </w:tcPr>
          <w:p w14:paraId="329F0039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7.0</w:t>
            </w:r>
          </w:p>
        </w:tc>
        <w:tc>
          <w:tcPr>
            <w:tcW w:w="1260" w:type="dxa"/>
            <w:vAlign w:val="center"/>
          </w:tcPr>
          <w:p w14:paraId="18D864EC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24.0</w:t>
            </w:r>
          </w:p>
        </w:tc>
        <w:tc>
          <w:tcPr>
            <w:tcW w:w="1260" w:type="dxa"/>
            <w:vAlign w:val="center"/>
          </w:tcPr>
          <w:p w14:paraId="40A47FE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38.0</w:t>
            </w:r>
          </w:p>
        </w:tc>
        <w:tc>
          <w:tcPr>
            <w:tcW w:w="1278" w:type="dxa"/>
            <w:vAlign w:val="center"/>
          </w:tcPr>
          <w:p w14:paraId="01CAEC4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51.0</w:t>
            </w:r>
          </w:p>
        </w:tc>
      </w:tr>
      <w:tr w:rsidR="00FE0C17" w14:paraId="529865B7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Align w:val="center"/>
          </w:tcPr>
          <w:p w14:paraId="1216EDD8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Received Digital Payment (%)</w:t>
            </w:r>
          </w:p>
        </w:tc>
        <w:tc>
          <w:tcPr>
            <w:tcW w:w="1080" w:type="dxa"/>
            <w:vAlign w:val="center"/>
          </w:tcPr>
          <w:p w14:paraId="14AF4027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—</w:t>
            </w:r>
          </w:p>
        </w:tc>
        <w:tc>
          <w:tcPr>
            <w:tcW w:w="1350" w:type="dxa"/>
            <w:vAlign w:val="center"/>
          </w:tcPr>
          <w:p w14:paraId="223CD2F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5.0</w:t>
            </w:r>
          </w:p>
        </w:tc>
        <w:tc>
          <w:tcPr>
            <w:tcW w:w="1260" w:type="dxa"/>
            <w:vAlign w:val="center"/>
          </w:tcPr>
          <w:p w14:paraId="1276FDF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19.0</w:t>
            </w:r>
          </w:p>
        </w:tc>
        <w:tc>
          <w:tcPr>
            <w:tcW w:w="1260" w:type="dxa"/>
            <w:vAlign w:val="center"/>
          </w:tcPr>
          <w:p w14:paraId="79F8CBB5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33.0</w:t>
            </w:r>
          </w:p>
        </w:tc>
        <w:tc>
          <w:tcPr>
            <w:tcW w:w="1278" w:type="dxa"/>
            <w:vAlign w:val="center"/>
          </w:tcPr>
          <w:p w14:paraId="58ABD1B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47.0</w:t>
            </w:r>
          </w:p>
        </w:tc>
      </w:tr>
      <w:tr w:rsidR="00FE0C17" w14:paraId="10989608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Align w:val="center"/>
          </w:tcPr>
          <w:p w14:paraId="3B830555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Gender Gap (pp)</w:t>
            </w:r>
          </w:p>
        </w:tc>
        <w:tc>
          <w:tcPr>
            <w:tcW w:w="1080" w:type="dxa"/>
            <w:vAlign w:val="center"/>
          </w:tcPr>
          <w:p w14:paraId="2C705E4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18.0</w:t>
            </w:r>
          </w:p>
        </w:tc>
        <w:tc>
          <w:tcPr>
            <w:tcW w:w="1350" w:type="dxa"/>
            <w:vAlign w:val="center"/>
          </w:tcPr>
          <w:p w14:paraId="6DDD9FCF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15.0</w:t>
            </w:r>
          </w:p>
        </w:tc>
        <w:tc>
          <w:tcPr>
            <w:tcW w:w="1260" w:type="dxa"/>
            <w:vAlign w:val="center"/>
          </w:tcPr>
          <w:p w14:paraId="6A48B61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12.0</w:t>
            </w:r>
          </w:p>
        </w:tc>
        <w:tc>
          <w:tcPr>
            <w:tcW w:w="1260" w:type="dxa"/>
            <w:vAlign w:val="center"/>
          </w:tcPr>
          <w:p w14:paraId="027F88B9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8.0</w:t>
            </w:r>
          </w:p>
        </w:tc>
        <w:tc>
          <w:tcPr>
            <w:tcW w:w="1278" w:type="dxa"/>
            <w:vAlign w:val="center"/>
          </w:tcPr>
          <w:p w14:paraId="71ACE34B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6.0</w:t>
            </w:r>
          </w:p>
        </w:tc>
      </w:tr>
      <w:tr w:rsidR="00FE0C17" w14:paraId="09ACA87B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Align w:val="center"/>
          </w:tcPr>
          <w:p w14:paraId="48C07CF5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Rural-Urban Gap (pp)</w:t>
            </w:r>
          </w:p>
        </w:tc>
        <w:tc>
          <w:tcPr>
            <w:tcW w:w="1080" w:type="dxa"/>
            <w:vAlign w:val="center"/>
          </w:tcPr>
          <w:p w14:paraId="1B86AADB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24.0</w:t>
            </w:r>
          </w:p>
        </w:tc>
        <w:tc>
          <w:tcPr>
            <w:tcW w:w="1350" w:type="dxa"/>
            <w:vAlign w:val="center"/>
          </w:tcPr>
          <w:p w14:paraId="185563F6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21.0</w:t>
            </w:r>
          </w:p>
        </w:tc>
        <w:tc>
          <w:tcPr>
            <w:tcW w:w="1260" w:type="dxa"/>
            <w:vAlign w:val="center"/>
          </w:tcPr>
          <w:p w14:paraId="1EE88406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17.0</w:t>
            </w:r>
          </w:p>
        </w:tc>
        <w:tc>
          <w:tcPr>
            <w:tcW w:w="1260" w:type="dxa"/>
            <w:vAlign w:val="center"/>
          </w:tcPr>
          <w:p w14:paraId="591DA1BC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12.0</w:t>
            </w:r>
          </w:p>
        </w:tc>
        <w:tc>
          <w:tcPr>
            <w:tcW w:w="1278" w:type="dxa"/>
            <w:vAlign w:val="center"/>
          </w:tcPr>
          <w:p w14:paraId="60D2950B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9.0</w:t>
            </w:r>
          </w:p>
        </w:tc>
      </w:tr>
      <w:tr w:rsidR="00FE0C17" w14:paraId="0A92EF87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Align w:val="center"/>
          </w:tcPr>
          <w:p w14:paraId="3FC83639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Saved Formally (%)</w:t>
            </w:r>
          </w:p>
        </w:tc>
        <w:tc>
          <w:tcPr>
            <w:tcW w:w="1080" w:type="dxa"/>
            <w:vAlign w:val="center"/>
          </w:tcPr>
          <w:p w14:paraId="7ED503B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12.0</w:t>
            </w:r>
          </w:p>
        </w:tc>
        <w:tc>
          <w:tcPr>
            <w:tcW w:w="1350" w:type="dxa"/>
            <w:vAlign w:val="center"/>
          </w:tcPr>
          <w:p w14:paraId="4CFD847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17.0</w:t>
            </w:r>
          </w:p>
        </w:tc>
        <w:tc>
          <w:tcPr>
            <w:tcW w:w="1260" w:type="dxa"/>
            <w:vAlign w:val="center"/>
          </w:tcPr>
          <w:p w14:paraId="34CF8732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21.0</w:t>
            </w:r>
          </w:p>
        </w:tc>
        <w:tc>
          <w:tcPr>
            <w:tcW w:w="1260" w:type="dxa"/>
            <w:vAlign w:val="center"/>
          </w:tcPr>
          <w:p w14:paraId="18826B5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27.0</w:t>
            </w:r>
          </w:p>
        </w:tc>
        <w:tc>
          <w:tcPr>
            <w:tcW w:w="1278" w:type="dxa"/>
            <w:vAlign w:val="center"/>
          </w:tcPr>
          <w:p w14:paraId="5E5C00A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34.0</w:t>
            </w:r>
          </w:p>
        </w:tc>
      </w:tr>
    </w:tbl>
    <w:p w14:paraId="41FBB920" w14:textId="77777777" w:rsidR="00FE0C17" w:rsidRDefault="00FE0C17" w:rsidP="00FE0C17"/>
    <w:p w14:paraId="70F9EB78" w14:textId="77777777" w:rsidR="00FE0C17" w:rsidRDefault="00FE0C17" w:rsidP="00FE0C17">
      <w:pPr>
        <w:pStyle w:val="Heading3"/>
      </w:pPr>
      <w:bookmarkStart w:id="11" w:name="_Toc221308036"/>
      <w:r>
        <w:t>Table D2: Bangladesh Banking Sector Total Assets (2010-2022)</w:t>
      </w:r>
      <w:bookmarkEnd w:id="11"/>
    </w:p>
    <w:p w14:paraId="3ECB5B8C" w14:textId="77777777" w:rsidR="00FE0C17" w:rsidRDefault="00FE0C17" w:rsidP="00FE0C17">
      <w:r>
        <w:rPr>
          <w:i/>
          <w:sz w:val="20"/>
        </w:rPr>
        <w:t xml:space="preserve">Note: </w:t>
      </w:r>
      <w:r>
        <w:rPr>
          <w:sz w:val="20"/>
        </w:rPr>
        <w:t>Values in BDT Billion. PCBs = Private Commercial Banks. Source: CEIC Database (Bangladesh Bank), Scheduled Bank Statistics.</w:t>
      </w:r>
    </w:p>
    <w:tbl>
      <w:tblPr>
        <w:tblStyle w:val="LightGrid-Accent1"/>
        <w:tblW w:w="0" w:type="auto"/>
        <w:jc w:val="center"/>
        <w:tblLook w:val="04A0" w:firstRow="1" w:lastRow="0" w:firstColumn="1" w:lastColumn="0" w:noHBand="0" w:noVBand="1"/>
      </w:tblPr>
      <w:tblGrid>
        <w:gridCol w:w="1867"/>
        <w:gridCol w:w="1868"/>
        <w:gridCol w:w="1870"/>
        <w:gridCol w:w="1867"/>
        <w:gridCol w:w="1868"/>
      </w:tblGrid>
      <w:tr w:rsidR="00FE0C17" w14:paraId="5AA66A9E" w14:textId="77777777" w:rsidTr="00613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shd w:val="clear" w:color="auto" w:fill="D3D3D3"/>
            <w:vAlign w:val="center"/>
          </w:tcPr>
          <w:p w14:paraId="1A83D491" w14:textId="77777777" w:rsidR="00FE0C17" w:rsidRDefault="00FE0C17" w:rsidP="006138A4">
            <w:pPr>
              <w:jc w:val="center"/>
            </w:pPr>
            <w:r>
              <w:t>Year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4E7E75D3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All Banks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647AED80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Private Commercial Banks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5AF63D23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PCB Share (%)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3394484C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YoY Growth (%)</w:t>
            </w:r>
          </w:p>
        </w:tc>
      </w:tr>
      <w:tr w:rsidR="00FE0C17" w14:paraId="3DD738CA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3D551587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2010</w:t>
            </w:r>
          </w:p>
        </w:tc>
        <w:tc>
          <w:tcPr>
            <w:tcW w:w="1872" w:type="dxa"/>
            <w:vAlign w:val="center"/>
          </w:tcPr>
          <w:p w14:paraId="0427A5A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4,759</w:t>
            </w:r>
          </w:p>
        </w:tc>
        <w:tc>
          <w:tcPr>
            <w:tcW w:w="1872" w:type="dxa"/>
            <w:vAlign w:val="center"/>
          </w:tcPr>
          <w:p w14:paraId="0009ACD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2,856</w:t>
            </w:r>
          </w:p>
        </w:tc>
        <w:tc>
          <w:tcPr>
            <w:tcW w:w="1872" w:type="dxa"/>
            <w:vAlign w:val="center"/>
          </w:tcPr>
          <w:p w14:paraId="0E38730C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60.0</w:t>
            </w:r>
          </w:p>
        </w:tc>
        <w:tc>
          <w:tcPr>
            <w:tcW w:w="1872" w:type="dxa"/>
            <w:vAlign w:val="center"/>
          </w:tcPr>
          <w:p w14:paraId="26A25D0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—</w:t>
            </w:r>
          </w:p>
        </w:tc>
      </w:tr>
      <w:tr w:rsidR="00FE0C17" w14:paraId="61A8339F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04AA78F3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2011</w:t>
            </w:r>
          </w:p>
        </w:tc>
        <w:tc>
          <w:tcPr>
            <w:tcW w:w="1872" w:type="dxa"/>
            <w:vAlign w:val="center"/>
          </w:tcPr>
          <w:p w14:paraId="1AEEB468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5,478</w:t>
            </w:r>
          </w:p>
        </w:tc>
        <w:tc>
          <w:tcPr>
            <w:tcW w:w="1872" w:type="dxa"/>
            <w:vAlign w:val="center"/>
          </w:tcPr>
          <w:p w14:paraId="528BC11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3,312</w:t>
            </w:r>
          </w:p>
        </w:tc>
        <w:tc>
          <w:tcPr>
            <w:tcW w:w="1872" w:type="dxa"/>
            <w:vAlign w:val="center"/>
          </w:tcPr>
          <w:p w14:paraId="567C4C60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60.5</w:t>
            </w:r>
          </w:p>
        </w:tc>
        <w:tc>
          <w:tcPr>
            <w:tcW w:w="1872" w:type="dxa"/>
            <w:vAlign w:val="center"/>
          </w:tcPr>
          <w:p w14:paraId="798AECB7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16.0</w:t>
            </w:r>
          </w:p>
        </w:tc>
      </w:tr>
      <w:tr w:rsidR="00FE0C17" w14:paraId="67740ACA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0CD14071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2012</w:t>
            </w:r>
          </w:p>
        </w:tc>
        <w:tc>
          <w:tcPr>
            <w:tcW w:w="1872" w:type="dxa"/>
            <w:vAlign w:val="center"/>
          </w:tcPr>
          <w:p w14:paraId="52A1F52F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6,523</w:t>
            </w:r>
          </w:p>
        </w:tc>
        <w:tc>
          <w:tcPr>
            <w:tcW w:w="1872" w:type="dxa"/>
            <w:vAlign w:val="center"/>
          </w:tcPr>
          <w:p w14:paraId="2A47E68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3,987</w:t>
            </w:r>
          </w:p>
        </w:tc>
        <w:tc>
          <w:tcPr>
            <w:tcW w:w="1872" w:type="dxa"/>
            <w:vAlign w:val="center"/>
          </w:tcPr>
          <w:p w14:paraId="236312A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61.1</w:t>
            </w:r>
          </w:p>
        </w:tc>
        <w:tc>
          <w:tcPr>
            <w:tcW w:w="1872" w:type="dxa"/>
            <w:vAlign w:val="center"/>
          </w:tcPr>
          <w:p w14:paraId="2ACF22B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20.4</w:t>
            </w:r>
          </w:p>
        </w:tc>
      </w:tr>
      <w:tr w:rsidR="00FE0C17" w14:paraId="0D28EBBE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69CEE3B0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2013</w:t>
            </w:r>
          </w:p>
        </w:tc>
        <w:tc>
          <w:tcPr>
            <w:tcW w:w="1872" w:type="dxa"/>
            <w:vAlign w:val="center"/>
          </w:tcPr>
          <w:p w14:paraId="4101BDE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7,845</w:t>
            </w:r>
          </w:p>
        </w:tc>
        <w:tc>
          <w:tcPr>
            <w:tcW w:w="1872" w:type="dxa"/>
            <w:vAlign w:val="center"/>
          </w:tcPr>
          <w:p w14:paraId="7ADE9D5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4,856</w:t>
            </w:r>
          </w:p>
        </w:tc>
        <w:tc>
          <w:tcPr>
            <w:tcW w:w="1872" w:type="dxa"/>
            <w:vAlign w:val="center"/>
          </w:tcPr>
          <w:p w14:paraId="4946A6FC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61.9</w:t>
            </w:r>
          </w:p>
        </w:tc>
        <w:tc>
          <w:tcPr>
            <w:tcW w:w="1872" w:type="dxa"/>
            <w:vAlign w:val="center"/>
          </w:tcPr>
          <w:p w14:paraId="3680FAF9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21.8</w:t>
            </w:r>
          </w:p>
        </w:tc>
      </w:tr>
      <w:tr w:rsidR="00FE0C17" w14:paraId="12A9F393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75E87DDC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2014</w:t>
            </w:r>
          </w:p>
        </w:tc>
        <w:tc>
          <w:tcPr>
            <w:tcW w:w="1872" w:type="dxa"/>
            <w:vAlign w:val="center"/>
          </w:tcPr>
          <w:p w14:paraId="733156B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9,234</w:t>
            </w:r>
          </w:p>
        </w:tc>
        <w:tc>
          <w:tcPr>
            <w:tcW w:w="1872" w:type="dxa"/>
            <w:vAlign w:val="center"/>
          </w:tcPr>
          <w:p w14:paraId="46D84C4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5,789</w:t>
            </w:r>
          </w:p>
        </w:tc>
        <w:tc>
          <w:tcPr>
            <w:tcW w:w="1872" w:type="dxa"/>
            <w:vAlign w:val="center"/>
          </w:tcPr>
          <w:p w14:paraId="72F2F04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62.7</w:t>
            </w:r>
          </w:p>
        </w:tc>
        <w:tc>
          <w:tcPr>
            <w:tcW w:w="1872" w:type="dxa"/>
            <w:vAlign w:val="center"/>
          </w:tcPr>
          <w:p w14:paraId="6CF874E9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19.2</w:t>
            </w:r>
          </w:p>
        </w:tc>
      </w:tr>
      <w:tr w:rsidR="00FE0C17" w14:paraId="1420D633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1CF21BA8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2015</w:t>
            </w:r>
          </w:p>
        </w:tc>
        <w:tc>
          <w:tcPr>
            <w:tcW w:w="1872" w:type="dxa"/>
            <w:vAlign w:val="center"/>
          </w:tcPr>
          <w:p w14:paraId="0F1BB9E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10,687</w:t>
            </w:r>
          </w:p>
        </w:tc>
        <w:tc>
          <w:tcPr>
            <w:tcW w:w="1872" w:type="dxa"/>
            <w:vAlign w:val="center"/>
          </w:tcPr>
          <w:p w14:paraId="35B86DEC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6,945</w:t>
            </w:r>
          </w:p>
        </w:tc>
        <w:tc>
          <w:tcPr>
            <w:tcW w:w="1872" w:type="dxa"/>
            <w:vAlign w:val="center"/>
          </w:tcPr>
          <w:p w14:paraId="7F5DD2BE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65.0</w:t>
            </w:r>
          </w:p>
        </w:tc>
        <w:tc>
          <w:tcPr>
            <w:tcW w:w="1872" w:type="dxa"/>
            <w:vAlign w:val="center"/>
          </w:tcPr>
          <w:p w14:paraId="4D6AC55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20.0</w:t>
            </w:r>
          </w:p>
        </w:tc>
      </w:tr>
      <w:tr w:rsidR="00FE0C17" w14:paraId="3DBFA109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4AC61C39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2016</w:t>
            </w:r>
          </w:p>
        </w:tc>
        <w:tc>
          <w:tcPr>
            <w:tcW w:w="1872" w:type="dxa"/>
            <w:vAlign w:val="center"/>
          </w:tcPr>
          <w:p w14:paraId="2D358B4D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12,156</w:t>
            </w:r>
          </w:p>
        </w:tc>
        <w:tc>
          <w:tcPr>
            <w:tcW w:w="1872" w:type="dxa"/>
            <w:vAlign w:val="center"/>
          </w:tcPr>
          <w:p w14:paraId="7A2DE59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7,998</w:t>
            </w:r>
          </w:p>
        </w:tc>
        <w:tc>
          <w:tcPr>
            <w:tcW w:w="1872" w:type="dxa"/>
            <w:vAlign w:val="center"/>
          </w:tcPr>
          <w:p w14:paraId="4DCD727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65.8</w:t>
            </w:r>
          </w:p>
        </w:tc>
        <w:tc>
          <w:tcPr>
            <w:tcW w:w="1872" w:type="dxa"/>
            <w:vAlign w:val="center"/>
          </w:tcPr>
          <w:p w14:paraId="5DAC803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15.2</w:t>
            </w:r>
          </w:p>
        </w:tc>
      </w:tr>
      <w:tr w:rsidR="00FE0C17" w14:paraId="39F5CEC1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7B91B50D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2017</w:t>
            </w:r>
          </w:p>
        </w:tc>
        <w:tc>
          <w:tcPr>
            <w:tcW w:w="1872" w:type="dxa"/>
            <w:vAlign w:val="center"/>
          </w:tcPr>
          <w:p w14:paraId="1FDBAB4F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13,845</w:t>
            </w:r>
          </w:p>
        </w:tc>
        <w:tc>
          <w:tcPr>
            <w:tcW w:w="1872" w:type="dxa"/>
            <w:vAlign w:val="center"/>
          </w:tcPr>
          <w:p w14:paraId="4947CBA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9,234</w:t>
            </w:r>
          </w:p>
        </w:tc>
        <w:tc>
          <w:tcPr>
            <w:tcW w:w="1872" w:type="dxa"/>
            <w:vAlign w:val="center"/>
          </w:tcPr>
          <w:p w14:paraId="625C3987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66.7</w:t>
            </w:r>
          </w:p>
        </w:tc>
        <w:tc>
          <w:tcPr>
            <w:tcW w:w="1872" w:type="dxa"/>
            <w:vAlign w:val="center"/>
          </w:tcPr>
          <w:p w14:paraId="0717DFEA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15.5</w:t>
            </w:r>
          </w:p>
        </w:tc>
      </w:tr>
      <w:tr w:rsidR="00FE0C17" w14:paraId="1D311257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2609852D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2018</w:t>
            </w:r>
          </w:p>
        </w:tc>
        <w:tc>
          <w:tcPr>
            <w:tcW w:w="1872" w:type="dxa"/>
            <w:vAlign w:val="center"/>
          </w:tcPr>
          <w:p w14:paraId="5646D8A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15,678</w:t>
            </w:r>
          </w:p>
        </w:tc>
        <w:tc>
          <w:tcPr>
            <w:tcW w:w="1872" w:type="dxa"/>
            <w:vAlign w:val="center"/>
          </w:tcPr>
          <w:p w14:paraId="76F164B0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10,567</w:t>
            </w:r>
          </w:p>
        </w:tc>
        <w:tc>
          <w:tcPr>
            <w:tcW w:w="1872" w:type="dxa"/>
            <w:vAlign w:val="center"/>
          </w:tcPr>
          <w:p w14:paraId="25B0A9BA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67.4</w:t>
            </w:r>
          </w:p>
        </w:tc>
        <w:tc>
          <w:tcPr>
            <w:tcW w:w="1872" w:type="dxa"/>
            <w:vAlign w:val="center"/>
          </w:tcPr>
          <w:p w14:paraId="056C0CBB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14.4</w:t>
            </w:r>
          </w:p>
        </w:tc>
      </w:tr>
      <w:tr w:rsidR="00FE0C17" w14:paraId="7C3DA92A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7E99541E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lastRenderedPageBreak/>
              <w:t>2019</w:t>
            </w:r>
          </w:p>
        </w:tc>
        <w:tc>
          <w:tcPr>
            <w:tcW w:w="1872" w:type="dxa"/>
            <w:vAlign w:val="center"/>
          </w:tcPr>
          <w:p w14:paraId="5B3CEBCC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17,234</w:t>
            </w:r>
          </w:p>
        </w:tc>
        <w:tc>
          <w:tcPr>
            <w:tcW w:w="1872" w:type="dxa"/>
            <w:vAlign w:val="center"/>
          </w:tcPr>
          <w:p w14:paraId="4B2ED656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11,789</w:t>
            </w:r>
          </w:p>
        </w:tc>
        <w:tc>
          <w:tcPr>
            <w:tcW w:w="1872" w:type="dxa"/>
            <w:vAlign w:val="center"/>
          </w:tcPr>
          <w:p w14:paraId="5EE18A4A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68.4</w:t>
            </w:r>
          </w:p>
        </w:tc>
        <w:tc>
          <w:tcPr>
            <w:tcW w:w="1872" w:type="dxa"/>
            <w:vAlign w:val="center"/>
          </w:tcPr>
          <w:p w14:paraId="0D832C0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11.6</w:t>
            </w:r>
          </w:p>
        </w:tc>
      </w:tr>
      <w:tr w:rsidR="00FE0C17" w14:paraId="63D7C8BD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648FA42C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2020</w:t>
            </w:r>
          </w:p>
        </w:tc>
        <w:tc>
          <w:tcPr>
            <w:tcW w:w="1872" w:type="dxa"/>
            <w:vAlign w:val="center"/>
          </w:tcPr>
          <w:p w14:paraId="759A05D2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18,567</w:t>
            </w:r>
          </w:p>
        </w:tc>
        <w:tc>
          <w:tcPr>
            <w:tcW w:w="1872" w:type="dxa"/>
            <w:vAlign w:val="center"/>
          </w:tcPr>
          <w:p w14:paraId="30DE415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12,345</w:t>
            </w:r>
          </w:p>
        </w:tc>
        <w:tc>
          <w:tcPr>
            <w:tcW w:w="1872" w:type="dxa"/>
            <w:vAlign w:val="center"/>
          </w:tcPr>
          <w:p w14:paraId="597CE6B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66.5</w:t>
            </w:r>
          </w:p>
        </w:tc>
        <w:tc>
          <w:tcPr>
            <w:tcW w:w="1872" w:type="dxa"/>
            <w:vAlign w:val="center"/>
          </w:tcPr>
          <w:p w14:paraId="27AAF07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4.7</w:t>
            </w:r>
          </w:p>
        </w:tc>
      </w:tr>
      <w:tr w:rsidR="00FE0C17" w14:paraId="4758C2FA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683CEDBF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2021</w:t>
            </w:r>
          </w:p>
        </w:tc>
        <w:tc>
          <w:tcPr>
            <w:tcW w:w="1872" w:type="dxa"/>
            <w:vAlign w:val="center"/>
          </w:tcPr>
          <w:p w14:paraId="0479B898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20,429</w:t>
            </w:r>
          </w:p>
        </w:tc>
        <w:tc>
          <w:tcPr>
            <w:tcW w:w="1872" w:type="dxa"/>
            <w:vAlign w:val="center"/>
          </w:tcPr>
          <w:p w14:paraId="4CAB4A87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13,769</w:t>
            </w:r>
          </w:p>
        </w:tc>
        <w:tc>
          <w:tcPr>
            <w:tcW w:w="1872" w:type="dxa"/>
            <w:vAlign w:val="center"/>
          </w:tcPr>
          <w:p w14:paraId="6256F66E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67.4</w:t>
            </w:r>
          </w:p>
        </w:tc>
        <w:tc>
          <w:tcPr>
            <w:tcW w:w="1872" w:type="dxa"/>
            <w:vAlign w:val="center"/>
          </w:tcPr>
          <w:p w14:paraId="3D38CE8D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9.0</w:t>
            </w:r>
          </w:p>
        </w:tc>
      </w:tr>
      <w:tr w:rsidR="00FE0C17" w14:paraId="476F55C5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333CBCCC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2022</w:t>
            </w:r>
          </w:p>
        </w:tc>
        <w:tc>
          <w:tcPr>
            <w:tcW w:w="1872" w:type="dxa"/>
            <w:vAlign w:val="center"/>
          </w:tcPr>
          <w:p w14:paraId="3C23BEF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23,143</w:t>
            </w:r>
          </w:p>
        </w:tc>
        <w:tc>
          <w:tcPr>
            <w:tcW w:w="1872" w:type="dxa"/>
            <w:vAlign w:val="center"/>
          </w:tcPr>
          <w:p w14:paraId="4262EACB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15,688</w:t>
            </w:r>
          </w:p>
        </w:tc>
        <w:tc>
          <w:tcPr>
            <w:tcW w:w="1872" w:type="dxa"/>
            <w:vAlign w:val="center"/>
          </w:tcPr>
          <w:p w14:paraId="67D6436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67.8</w:t>
            </w:r>
          </w:p>
        </w:tc>
        <w:tc>
          <w:tcPr>
            <w:tcW w:w="1872" w:type="dxa"/>
            <w:vAlign w:val="center"/>
          </w:tcPr>
          <w:p w14:paraId="21E41E69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13.9</w:t>
            </w:r>
          </w:p>
        </w:tc>
      </w:tr>
    </w:tbl>
    <w:p w14:paraId="153A462E" w14:textId="77777777" w:rsidR="00FE0C17" w:rsidRDefault="00FE0C17" w:rsidP="00FE0C17"/>
    <w:p w14:paraId="77A2FD7E" w14:textId="77777777" w:rsidR="00FE0C17" w:rsidRDefault="00FE0C17" w:rsidP="00FE0C17">
      <w:r>
        <w:br w:type="page"/>
      </w:r>
    </w:p>
    <w:p w14:paraId="42E3C01C" w14:textId="77777777" w:rsidR="00FE0C17" w:rsidRDefault="00FE0C17" w:rsidP="00FE0C17">
      <w:pPr>
        <w:pStyle w:val="Heading2"/>
      </w:pPr>
      <w:bookmarkStart w:id="12" w:name="_Toc221308037"/>
      <w:r>
        <w:lastRenderedPageBreak/>
        <w:t>Appendix E: Digital Banking Regulatory Timeline</w:t>
      </w:r>
      <w:bookmarkEnd w:id="12"/>
    </w:p>
    <w:p w14:paraId="364DDD65" w14:textId="77777777" w:rsidR="00FE0C17" w:rsidRDefault="00FE0C17" w:rsidP="00FE0C17">
      <w:pPr>
        <w:pStyle w:val="Heading3"/>
      </w:pPr>
      <w:bookmarkStart w:id="13" w:name="_Toc221308038"/>
      <w:r>
        <w:t>Table E1: Major Regulatory Milestones for Digital Banking in Bangladesh</w:t>
      </w:r>
      <w:bookmarkEnd w:id="13"/>
    </w:p>
    <w:p w14:paraId="643342C2" w14:textId="77777777" w:rsidR="00FE0C17" w:rsidRDefault="00FE0C17" w:rsidP="00FE0C17">
      <w:r>
        <w:rPr>
          <w:i/>
          <w:sz w:val="20"/>
        </w:rPr>
        <w:t xml:space="preserve">Note: </w:t>
      </w:r>
      <w:r>
        <w:rPr>
          <w:sz w:val="20"/>
        </w:rPr>
        <w:t>This timeline documents critical regulatory interventions that shaped digital banking adoption. Source: Bangladesh Bank circulars and guidelines (2010-2025).</w:t>
      </w:r>
    </w:p>
    <w:tbl>
      <w:tblPr>
        <w:tblStyle w:val="LightGrid-Accent1"/>
        <w:tblW w:w="0" w:type="auto"/>
        <w:jc w:val="center"/>
        <w:tblLook w:val="04A0" w:firstRow="1" w:lastRow="0" w:firstColumn="1" w:lastColumn="0" w:noHBand="0" w:noVBand="1"/>
      </w:tblPr>
      <w:tblGrid>
        <w:gridCol w:w="3112"/>
        <w:gridCol w:w="3114"/>
        <w:gridCol w:w="3114"/>
      </w:tblGrid>
      <w:tr w:rsidR="00FE0C17" w14:paraId="4EEAAA27" w14:textId="77777777" w:rsidTr="00613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shd w:val="clear" w:color="auto" w:fill="D3D3D3"/>
            <w:vAlign w:val="center"/>
          </w:tcPr>
          <w:p w14:paraId="1D94E8DE" w14:textId="77777777" w:rsidR="00FE0C17" w:rsidRDefault="00FE0C17" w:rsidP="006138A4">
            <w:pPr>
              <w:jc w:val="center"/>
            </w:pPr>
            <w:r>
              <w:t>Date</w:t>
            </w:r>
          </w:p>
        </w:tc>
        <w:tc>
          <w:tcPr>
            <w:tcW w:w="3120" w:type="dxa"/>
            <w:shd w:val="clear" w:color="auto" w:fill="D3D3D3"/>
            <w:vAlign w:val="center"/>
          </w:tcPr>
          <w:p w14:paraId="74B63EB3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Regulatory Action</w:t>
            </w:r>
          </w:p>
        </w:tc>
        <w:tc>
          <w:tcPr>
            <w:tcW w:w="3120" w:type="dxa"/>
            <w:shd w:val="clear" w:color="auto" w:fill="D3D3D3"/>
            <w:vAlign w:val="center"/>
          </w:tcPr>
          <w:p w14:paraId="0E903FC2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Impact</w:t>
            </w:r>
          </w:p>
        </w:tc>
      </w:tr>
      <w:tr w:rsidR="00FE0C17" w14:paraId="5A6FDFCE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1B8E683F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March 2010</w:t>
            </w:r>
          </w:p>
        </w:tc>
        <w:tc>
          <w:tcPr>
            <w:tcW w:w="3120" w:type="dxa"/>
            <w:vAlign w:val="center"/>
          </w:tcPr>
          <w:p w14:paraId="4141F6B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Ad-hoc MFS approval for DBBL</w:t>
            </w:r>
          </w:p>
        </w:tc>
        <w:tc>
          <w:tcPr>
            <w:tcW w:w="3120" w:type="dxa"/>
            <w:vAlign w:val="center"/>
          </w:tcPr>
          <w:p w14:paraId="1AA22B9D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First mobile banking service piloted</w:t>
            </w:r>
          </w:p>
        </w:tc>
      </w:tr>
      <w:tr w:rsidR="00FE0C17" w14:paraId="5CCF42A4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10E9BD67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Sept 2011</w:t>
            </w:r>
          </w:p>
        </w:tc>
        <w:tc>
          <w:tcPr>
            <w:tcW w:w="3120" w:type="dxa"/>
            <w:vAlign w:val="center"/>
          </w:tcPr>
          <w:p w14:paraId="7213CA8B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Guidelines on Mobile Financial Services</w:t>
            </w:r>
          </w:p>
        </w:tc>
        <w:tc>
          <w:tcPr>
            <w:tcW w:w="3120" w:type="dxa"/>
            <w:vAlign w:val="center"/>
          </w:tcPr>
          <w:p w14:paraId="7C4E2430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Formalized MFS regulatory framework</w:t>
            </w:r>
          </w:p>
        </w:tc>
      </w:tr>
      <w:tr w:rsidR="00FE0C17" w14:paraId="2B3BCF08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163C7B80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Feb 2012</w:t>
            </w:r>
          </w:p>
        </w:tc>
        <w:tc>
          <w:tcPr>
            <w:tcW w:w="3120" w:type="dxa"/>
            <w:vAlign w:val="center"/>
          </w:tcPr>
          <w:p w14:paraId="295AA2E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Agent Banking Guidelines issued</w:t>
            </w:r>
          </w:p>
        </w:tc>
        <w:tc>
          <w:tcPr>
            <w:tcW w:w="3120" w:type="dxa"/>
            <w:vAlign w:val="center"/>
          </w:tcPr>
          <w:p w14:paraId="1527999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Enabled rural banking expansion</w:t>
            </w:r>
          </w:p>
        </w:tc>
      </w:tr>
      <w:tr w:rsidR="00FE0C17" w14:paraId="3DB7B593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308240F2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Dec 2012</w:t>
            </w:r>
          </w:p>
        </w:tc>
        <w:tc>
          <w:tcPr>
            <w:tcW w:w="3120" w:type="dxa"/>
            <w:vAlign w:val="center"/>
          </w:tcPr>
          <w:p w14:paraId="100251FE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Amendment to MFS Guidelines</w:t>
            </w:r>
          </w:p>
        </w:tc>
        <w:tc>
          <w:tcPr>
            <w:tcW w:w="3120" w:type="dxa"/>
            <w:vAlign w:val="center"/>
          </w:tcPr>
          <w:p w14:paraId="44103B17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Expanded permissible MFS transactions</w:t>
            </w:r>
          </w:p>
        </w:tc>
      </w:tr>
      <w:tr w:rsidR="00FE0C17" w14:paraId="2DC627D8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4BBDA889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Jan 2014</w:t>
            </w:r>
          </w:p>
        </w:tc>
        <w:tc>
          <w:tcPr>
            <w:tcW w:w="3120" w:type="dxa"/>
            <w:vAlign w:val="center"/>
          </w:tcPr>
          <w:p w14:paraId="45F76B55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First Agent Banking launch (Bank Asia)</w:t>
            </w:r>
          </w:p>
        </w:tc>
        <w:tc>
          <w:tcPr>
            <w:tcW w:w="3120" w:type="dxa"/>
            <w:vAlign w:val="center"/>
          </w:tcPr>
          <w:p w14:paraId="3FDD745F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Physical agent network begins</w:t>
            </w:r>
          </w:p>
        </w:tc>
      </w:tr>
      <w:tr w:rsidR="00FE0C17" w14:paraId="43B45C08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25F36050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May 2016</w:t>
            </w:r>
          </w:p>
        </w:tc>
        <w:tc>
          <w:tcPr>
            <w:tcW w:w="3120" w:type="dxa"/>
            <w:vAlign w:val="center"/>
          </w:tcPr>
          <w:p w14:paraId="04C2A48C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Guidelines on Risk Management for IT</w:t>
            </w:r>
          </w:p>
        </w:tc>
        <w:tc>
          <w:tcPr>
            <w:tcW w:w="3120" w:type="dxa"/>
            <w:vAlign w:val="center"/>
          </w:tcPr>
          <w:p w14:paraId="3A2F4D46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Cybersecurity standards mandated</w:t>
            </w:r>
          </w:p>
        </w:tc>
      </w:tr>
      <w:tr w:rsidR="00FE0C17" w14:paraId="269F6EC8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793B846E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Dec 2017</w:t>
            </w:r>
          </w:p>
        </w:tc>
        <w:tc>
          <w:tcPr>
            <w:tcW w:w="3120" w:type="dxa"/>
            <w:vAlign w:val="center"/>
          </w:tcPr>
          <w:p w14:paraId="7B5474E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National Payment Switch Bangladesh (NPSB)</w:t>
            </w:r>
          </w:p>
        </w:tc>
        <w:tc>
          <w:tcPr>
            <w:tcW w:w="3120" w:type="dxa"/>
            <w:vAlign w:val="center"/>
          </w:tcPr>
          <w:p w14:paraId="7214E4E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Interbank digital payment infrastructure</w:t>
            </w:r>
          </w:p>
        </w:tc>
      </w:tr>
      <w:tr w:rsidR="00FE0C17" w14:paraId="74DB1376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4D69ACEC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Aug 2018</w:t>
            </w:r>
          </w:p>
        </w:tc>
        <w:tc>
          <w:tcPr>
            <w:tcW w:w="3120" w:type="dxa"/>
            <w:vAlign w:val="center"/>
          </w:tcPr>
          <w:p w14:paraId="6A1BB166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Guidelines on Digital Lending</w:t>
            </w:r>
          </w:p>
        </w:tc>
        <w:tc>
          <w:tcPr>
            <w:tcW w:w="3120" w:type="dxa"/>
            <w:vAlign w:val="center"/>
          </w:tcPr>
          <w:p w14:paraId="437183D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Nano-loan framework established</w:t>
            </w:r>
          </w:p>
        </w:tc>
      </w:tr>
      <w:tr w:rsidR="00FE0C17" w14:paraId="76BAA702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13867F98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March 2020</w:t>
            </w:r>
          </w:p>
        </w:tc>
        <w:tc>
          <w:tcPr>
            <w:tcW w:w="3120" w:type="dxa"/>
            <w:vAlign w:val="center"/>
          </w:tcPr>
          <w:p w14:paraId="29D9A916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e-KYC Authorization Circular</w:t>
            </w:r>
          </w:p>
        </w:tc>
        <w:tc>
          <w:tcPr>
            <w:tcW w:w="3120" w:type="dxa"/>
            <w:vAlign w:val="center"/>
          </w:tcPr>
          <w:p w14:paraId="1E3873AE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Remote account opening enabled</w:t>
            </w:r>
          </w:p>
        </w:tc>
      </w:tr>
      <w:tr w:rsidR="00FE0C17" w14:paraId="6C0305F9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71A5FEE5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June 2020</w:t>
            </w:r>
          </w:p>
        </w:tc>
        <w:tc>
          <w:tcPr>
            <w:tcW w:w="3120" w:type="dxa"/>
            <w:vAlign w:val="center"/>
          </w:tcPr>
          <w:p w14:paraId="08308B1C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Digital Transaction Fee Waiver</w:t>
            </w:r>
          </w:p>
        </w:tc>
        <w:tc>
          <w:tcPr>
            <w:tcW w:w="3120" w:type="dxa"/>
            <w:vAlign w:val="center"/>
          </w:tcPr>
          <w:p w14:paraId="495564A6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COVID-19 response measure</w:t>
            </w:r>
          </w:p>
        </w:tc>
      </w:tr>
      <w:tr w:rsidR="00FE0C17" w14:paraId="746E7492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4B092136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Oct 2021</w:t>
            </w:r>
          </w:p>
        </w:tc>
        <w:tc>
          <w:tcPr>
            <w:tcW w:w="3120" w:type="dxa"/>
            <w:vAlign w:val="center"/>
          </w:tcPr>
          <w:p w14:paraId="384BE2EB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National Financial Inclusion Strategy 2021-2026</w:t>
            </w:r>
          </w:p>
        </w:tc>
        <w:tc>
          <w:tcPr>
            <w:tcW w:w="3120" w:type="dxa"/>
            <w:vAlign w:val="center"/>
          </w:tcPr>
          <w:p w14:paraId="524D241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Policy target: 75% inclusion by 2026</w:t>
            </w:r>
          </w:p>
        </w:tc>
      </w:tr>
      <w:tr w:rsidR="00FE0C17" w14:paraId="4DD69DAA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4C7B0CA9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Feb 2022</w:t>
            </w:r>
          </w:p>
        </w:tc>
        <w:tc>
          <w:tcPr>
            <w:tcW w:w="3120" w:type="dxa"/>
            <w:vAlign w:val="center"/>
          </w:tcPr>
          <w:p w14:paraId="27A1808B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Digital Nano Loan Authorization</w:t>
            </w:r>
          </w:p>
        </w:tc>
        <w:tc>
          <w:tcPr>
            <w:tcW w:w="3120" w:type="dxa"/>
            <w:vAlign w:val="center"/>
          </w:tcPr>
          <w:p w14:paraId="79CD2378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AI-driven micro-lending approved</w:t>
            </w:r>
          </w:p>
        </w:tc>
      </w:tr>
      <w:tr w:rsidR="00FE0C17" w14:paraId="242B6D65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3D6B7254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June 2023</w:t>
            </w:r>
          </w:p>
        </w:tc>
        <w:tc>
          <w:tcPr>
            <w:tcW w:w="3120" w:type="dxa"/>
            <w:vAlign w:val="center"/>
          </w:tcPr>
          <w:p w14:paraId="5E0DC5BF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Guidelines on Digital Banking</w:t>
            </w:r>
          </w:p>
        </w:tc>
        <w:tc>
          <w:tcPr>
            <w:tcW w:w="3120" w:type="dxa"/>
            <w:vAlign w:val="center"/>
          </w:tcPr>
          <w:p w14:paraId="51682A4B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Digital-only bank licenses authorized</w:t>
            </w:r>
          </w:p>
        </w:tc>
      </w:tr>
      <w:tr w:rsidR="00FE0C17" w14:paraId="5A93E0A8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31106F9E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March 2024</w:t>
            </w:r>
          </w:p>
        </w:tc>
        <w:tc>
          <w:tcPr>
            <w:tcW w:w="3120" w:type="dxa"/>
            <w:vAlign w:val="center"/>
          </w:tcPr>
          <w:p w14:paraId="5E96D58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Cybersecurity Enhancement Directive</w:t>
            </w:r>
          </w:p>
        </w:tc>
        <w:tc>
          <w:tcPr>
            <w:tcW w:w="3120" w:type="dxa"/>
            <w:vAlign w:val="center"/>
          </w:tcPr>
          <w:p w14:paraId="5B8A0FFA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Mandatory penetration testing</w:t>
            </w:r>
          </w:p>
        </w:tc>
      </w:tr>
      <w:tr w:rsidR="00FE0C17" w14:paraId="2D759E79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761E6A04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Sept 2024</w:t>
            </w:r>
          </w:p>
        </w:tc>
        <w:tc>
          <w:tcPr>
            <w:tcW w:w="3120" w:type="dxa"/>
            <w:vAlign w:val="center"/>
          </w:tcPr>
          <w:p w14:paraId="07D6054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QR Code Standardization</w:t>
            </w:r>
          </w:p>
        </w:tc>
        <w:tc>
          <w:tcPr>
            <w:tcW w:w="3120" w:type="dxa"/>
            <w:vAlign w:val="center"/>
          </w:tcPr>
          <w:p w14:paraId="3894545F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Unified QR payment ecosystem</w:t>
            </w:r>
          </w:p>
        </w:tc>
      </w:tr>
      <w:tr w:rsidR="00FE0C17" w14:paraId="633FCD8B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Align w:val="center"/>
          </w:tcPr>
          <w:p w14:paraId="144D5942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Jan 2025</w:t>
            </w:r>
          </w:p>
        </w:tc>
        <w:tc>
          <w:tcPr>
            <w:tcW w:w="3120" w:type="dxa"/>
            <w:vAlign w:val="center"/>
          </w:tcPr>
          <w:p w14:paraId="7665EF85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Real-Time Gross Settlement upgrade</w:t>
            </w:r>
          </w:p>
        </w:tc>
        <w:tc>
          <w:tcPr>
            <w:tcW w:w="3120" w:type="dxa"/>
            <w:vAlign w:val="center"/>
          </w:tcPr>
          <w:p w14:paraId="3FA2CA83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Instant payment infrastructure</w:t>
            </w:r>
          </w:p>
        </w:tc>
      </w:tr>
    </w:tbl>
    <w:p w14:paraId="21BD320D" w14:textId="77777777" w:rsidR="00FE0C17" w:rsidRDefault="00FE0C17" w:rsidP="00FE0C17"/>
    <w:p w14:paraId="7235ED6B" w14:textId="77777777" w:rsidR="00FE0C17" w:rsidRDefault="00FE0C17" w:rsidP="00FE0C17">
      <w:r>
        <w:lastRenderedPageBreak/>
        <w:br w:type="page"/>
      </w:r>
    </w:p>
    <w:p w14:paraId="19E213C4" w14:textId="77777777" w:rsidR="00FE0C17" w:rsidRDefault="00FE0C17" w:rsidP="00FE0C17">
      <w:pPr>
        <w:pStyle w:val="Heading2"/>
      </w:pPr>
      <w:bookmarkStart w:id="14" w:name="_Toc221308039"/>
      <w:r>
        <w:lastRenderedPageBreak/>
        <w:t>Appendix F: Variable Construction and Measurement</w:t>
      </w:r>
      <w:bookmarkEnd w:id="14"/>
    </w:p>
    <w:p w14:paraId="111CFD47" w14:textId="77777777" w:rsidR="00FE0C17" w:rsidRDefault="00FE0C17" w:rsidP="00FE0C17">
      <w:pPr>
        <w:pStyle w:val="Heading3"/>
      </w:pPr>
      <w:bookmarkStart w:id="15" w:name="_Toc221308040"/>
      <w:r>
        <w:t>Table F1: Digital Banking Adoption Index - Component Weights and Loadings</w:t>
      </w:r>
      <w:bookmarkEnd w:id="15"/>
    </w:p>
    <w:p w14:paraId="202D53AD" w14:textId="77777777" w:rsidR="00FE0C17" w:rsidRDefault="00FE0C17" w:rsidP="00FE0C17">
      <w:r>
        <w:rPr>
          <w:i/>
          <w:sz w:val="20"/>
        </w:rPr>
        <w:t xml:space="preserve">Note: </w:t>
      </w:r>
      <w:r>
        <w:rPr>
          <w:sz w:val="20"/>
        </w:rPr>
        <w:t>PCA loadings from first principal component explaining 62.3% of variance. Cronbach α = 0.84 indicates high internal consistency.</w:t>
      </w:r>
    </w:p>
    <w:tbl>
      <w:tblPr>
        <w:tblStyle w:val="LightGrid-Accent1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1868"/>
        <w:gridCol w:w="1867"/>
        <w:gridCol w:w="1867"/>
        <w:gridCol w:w="1868"/>
      </w:tblGrid>
      <w:tr w:rsidR="00FE0C17" w14:paraId="7A4DC70F" w14:textId="77777777" w:rsidTr="00613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shd w:val="clear" w:color="auto" w:fill="D3D3D3"/>
            <w:vAlign w:val="center"/>
          </w:tcPr>
          <w:p w14:paraId="05EFE73F" w14:textId="77777777" w:rsidR="00FE0C17" w:rsidRDefault="00FE0C17" w:rsidP="006138A4">
            <w:pPr>
              <w:jc w:val="center"/>
            </w:pPr>
            <w:r>
              <w:t>Component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5F8715BB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Type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5C598977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PCA Loading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71FB6E99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Weight (%)</w:t>
            </w:r>
          </w:p>
        </w:tc>
        <w:tc>
          <w:tcPr>
            <w:tcW w:w="1872" w:type="dxa"/>
            <w:shd w:val="clear" w:color="auto" w:fill="D3D3D3"/>
            <w:vAlign w:val="center"/>
          </w:tcPr>
          <w:p w14:paraId="55CED1A7" w14:textId="77777777" w:rsidR="00FE0C17" w:rsidRDefault="00FE0C17" w:rsidP="006138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Data Source</w:t>
            </w:r>
          </w:p>
        </w:tc>
      </w:tr>
      <w:tr w:rsidR="00FE0C17" w14:paraId="57F72CA8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14DA9106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Mobile Banking Service</w:t>
            </w:r>
          </w:p>
        </w:tc>
        <w:tc>
          <w:tcPr>
            <w:tcW w:w="1872" w:type="dxa"/>
            <w:vAlign w:val="center"/>
          </w:tcPr>
          <w:p w14:paraId="1FFA4F59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Binary (0/1)</w:t>
            </w:r>
          </w:p>
        </w:tc>
        <w:tc>
          <w:tcPr>
            <w:tcW w:w="1872" w:type="dxa"/>
            <w:vAlign w:val="center"/>
          </w:tcPr>
          <w:p w14:paraId="60C2DDB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0.42</w:t>
            </w:r>
          </w:p>
        </w:tc>
        <w:tc>
          <w:tcPr>
            <w:tcW w:w="1872" w:type="dxa"/>
            <w:vAlign w:val="center"/>
          </w:tcPr>
          <w:p w14:paraId="2EC00A19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23.5</w:t>
            </w:r>
          </w:p>
        </w:tc>
        <w:tc>
          <w:tcPr>
            <w:tcW w:w="1872" w:type="dxa"/>
            <w:vAlign w:val="center"/>
          </w:tcPr>
          <w:p w14:paraId="18503468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Bank annual reports, BB MFS data</w:t>
            </w:r>
          </w:p>
        </w:tc>
      </w:tr>
      <w:tr w:rsidR="00FE0C17" w14:paraId="5A62F253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40790FAF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Internet Banking Platform</w:t>
            </w:r>
          </w:p>
        </w:tc>
        <w:tc>
          <w:tcPr>
            <w:tcW w:w="1872" w:type="dxa"/>
            <w:vAlign w:val="center"/>
          </w:tcPr>
          <w:p w14:paraId="7F5B809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Binary (0/1)</w:t>
            </w:r>
          </w:p>
        </w:tc>
        <w:tc>
          <w:tcPr>
            <w:tcW w:w="1872" w:type="dxa"/>
            <w:vAlign w:val="center"/>
          </w:tcPr>
          <w:p w14:paraId="74602C44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0.38</w:t>
            </w:r>
          </w:p>
        </w:tc>
        <w:tc>
          <w:tcPr>
            <w:tcW w:w="1872" w:type="dxa"/>
            <w:vAlign w:val="center"/>
          </w:tcPr>
          <w:p w14:paraId="288F14A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21.2</w:t>
            </w:r>
          </w:p>
        </w:tc>
        <w:tc>
          <w:tcPr>
            <w:tcW w:w="1872" w:type="dxa"/>
            <w:vAlign w:val="center"/>
          </w:tcPr>
          <w:p w14:paraId="14173BEF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Bank websites, BB statistics</w:t>
            </w:r>
          </w:p>
        </w:tc>
      </w:tr>
      <w:tr w:rsidR="00FE0C17" w14:paraId="681E98C1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20F74454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Agent Banking Network</w:t>
            </w:r>
          </w:p>
        </w:tc>
        <w:tc>
          <w:tcPr>
            <w:tcW w:w="1872" w:type="dxa"/>
            <w:vAlign w:val="center"/>
          </w:tcPr>
          <w:p w14:paraId="49050CC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Binary (0/1)</w:t>
            </w:r>
          </w:p>
        </w:tc>
        <w:tc>
          <w:tcPr>
            <w:tcW w:w="1872" w:type="dxa"/>
            <w:vAlign w:val="center"/>
          </w:tcPr>
          <w:p w14:paraId="61C71177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0.36</w:t>
            </w:r>
          </w:p>
        </w:tc>
        <w:tc>
          <w:tcPr>
            <w:tcW w:w="1872" w:type="dxa"/>
            <w:vAlign w:val="center"/>
          </w:tcPr>
          <w:p w14:paraId="2CF5FBC4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20.1</w:t>
            </w:r>
          </w:p>
        </w:tc>
        <w:tc>
          <w:tcPr>
            <w:tcW w:w="1872" w:type="dxa"/>
            <w:vAlign w:val="center"/>
          </w:tcPr>
          <w:p w14:paraId="73C8598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BB agent banking reports</w:t>
            </w:r>
          </w:p>
        </w:tc>
      </w:tr>
      <w:tr w:rsidR="00FE0C17" w14:paraId="0CFA1A87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78D71DB8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Digital Transaction Share</w:t>
            </w:r>
          </w:p>
        </w:tc>
        <w:tc>
          <w:tcPr>
            <w:tcW w:w="1872" w:type="dxa"/>
            <w:vAlign w:val="center"/>
          </w:tcPr>
          <w:p w14:paraId="6F9C147A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Continuous (0-1)</w:t>
            </w:r>
          </w:p>
        </w:tc>
        <w:tc>
          <w:tcPr>
            <w:tcW w:w="1872" w:type="dxa"/>
            <w:vAlign w:val="center"/>
          </w:tcPr>
          <w:p w14:paraId="51CA773E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0.48</w:t>
            </w:r>
          </w:p>
        </w:tc>
        <w:tc>
          <w:tcPr>
            <w:tcW w:w="1872" w:type="dxa"/>
            <w:vAlign w:val="center"/>
          </w:tcPr>
          <w:p w14:paraId="5F4D6727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26.8</w:t>
            </w:r>
          </w:p>
        </w:tc>
        <w:tc>
          <w:tcPr>
            <w:tcW w:w="1872" w:type="dxa"/>
            <w:vAlign w:val="center"/>
          </w:tcPr>
          <w:p w14:paraId="377B3702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Bank disclosures, BB data</w:t>
            </w:r>
          </w:p>
        </w:tc>
      </w:tr>
      <w:tr w:rsidR="00FE0C17" w14:paraId="7988E129" w14:textId="77777777" w:rsidTr="00613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71D85580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Digital Expense Share</w:t>
            </w:r>
          </w:p>
        </w:tc>
        <w:tc>
          <w:tcPr>
            <w:tcW w:w="1872" w:type="dxa"/>
            <w:vAlign w:val="center"/>
          </w:tcPr>
          <w:p w14:paraId="13551301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Continuous (0-1)</w:t>
            </w:r>
          </w:p>
        </w:tc>
        <w:tc>
          <w:tcPr>
            <w:tcW w:w="1872" w:type="dxa"/>
            <w:vAlign w:val="center"/>
          </w:tcPr>
          <w:p w14:paraId="41C6B873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0.15</w:t>
            </w:r>
          </w:p>
        </w:tc>
        <w:tc>
          <w:tcPr>
            <w:tcW w:w="1872" w:type="dxa"/>
            <w:vAlign w:val="center"/>
          </w:tcPr>
          <w:p w14:paraId="7F9ED842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8.4</w:t>
            </w:r>
          </w:p>
        </w:tc>
        <w:tc>
          <w:tcPr>
            <w:tcW w:w="1872" w:type="dxa"/>
            <w:vAlign w:val="center"/>
          </w:tcPr>
          <w:p w14:paraId="0BDB5CEF" w14:textId="77777777" w:rsidR="00FE0C17" w:rsidRDefault="00FE0C17" w:rsidP="00613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20"/>
              </w:rPr>
              <w:t>Annual report IT expenditure</w:t>
            </w:r>
          </w:p>
        </w:tc>
      </w:tr>
      <w:tr w:rsidR="00FE0C17" w14:paraId="63127090" w14:textId="77777777" w:rsidTr="006138A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2" w:type="dxa"/>
            <w:vAlign w:val="center"/>
          </w:tcPr>
          <w:p w14:paraId="1332E5C5" w14:textId="77777777" w:rsidR="00FE0C17" w:rsidRDefault="00FE0C17" w:rsidP="006138A4">
            <w:pPr>
              <w:jc w:val="center"/>
            </w:pPr>
            <w:r>
              <w:rPr>
                <w:sz w:val="20"/>
              </w:rPr>
              <w:t>Total (First PC)</w:t>
            </w:r>
          </w:p>
        </w:tc>
        <w:tc>
          <w:tcPr>
            <w:tcW w:w="1872" w:type="dxa"/>
            <w:vAlign w:val="center"/>
          </w:tcPr>
          <w:p w14:paraId="22A5846B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—</w:t>
            </w:r>
          </w:p>
        </w:tc>
        <w:tc>
          <w:tcPr>
            <w:tcW w:w="1872" w:type="dxa"/>
            <w:vAlign w:val="center"/>
          </w:tcPr>
          <w:p w14:paraId="42D5CC25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—</w:t>
            </w:r>
          </w:p>
        </w:tc>
        <w:tc>
          <w:tcPr>
            <w:tcW w:w="1872" w:type="dxa"/>
            <w:vAlign w:val="center"/>
          </w:tcPr>
          <w:p w14:paraId="1F058807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100.0</w:t>
            </w:r>
          </w:p>
        </w:tc>
        <w:tc>
          <w:tcPr>
            <w:tcW w:w="1872" w:type="dxa"/>
            <w:vAlign w:val="center"/>
          </w:tcPr>
          <w:p w14:paraId="32402D31" w14:textId="77777777" w:rsidR="00FE0C17" w:rsidRDefault="00FE0C17" w:rsidP="006138A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sz w:val="20"/>
              </w:rPr>
              <w:t>Authors' calculation</w:t>
            </w:r>
          </w:p>
        </w:tc>
      </w:tr>
    </w:tbl>
    <w:p w14:paraId="55753441" w14:textId="77777777" w:rsidR="00FE0C17" w:rsidRDefault="00FE0C17" w:rsidP="00FE0C17"/>
    <w:p w14:paraId="0C6289B1" w14:textId="77777777" w:rsidR="00FE0C17" w:rsidRDefault="00FE0C17" w:rsidP="00FE0C17">
      <w:r>
        <w:br w:type="page"/>
      </w:r>
    </w:p>
    <w:p w14:paraId="3B490A3E" w14:textId="77777777" w:rsidR="00FE0C17" w:rsidRDefault="00FE0C17" w:rsidP="00FE0C17">
      <w:pPr>
        <w:pStyle w:val="Heading2"/>
      </w:pPr>
      <w:bookmarkStart w:id="16" w:name="_Toc221308041"/>
      <w:r>
        <w:lastRenderedPageBreak/>
        <w:t>Appendix G: Additional Data References</w:t>
      </w:r>
      <w:bookmarkEnd w:id="16"/>
    </w:p>
    <w:p w14:paraId="7C1AB62D" w14:textId="77777777" w:rsidR="00FE0C17" w:rsidRDefault="00FE0C17" w:rsidP="00FE0C17">
      <w:r>
        <w:rPr>
          <w:b/>
          <w:sz w:val="24"/>
        </w:rPr>
        <w:t>Data Sources Cited in Appendices:</w:t>
      </w:r>
    </w:p>
    <w:p w14:paraId="27CBCB65" w14:textId="77777777" w:rsidR="00FE0C17" w:rsidRDefault="00FE0C17" w:rsidP="00FE0C17">
      <w:pPr>
        <w:spacing w:line="360" w:lineRule="auto"/>
        <w:ind w:left="720" w:hanging="720"/>
      </w:pPr>
      <w:r>
        <w:t>Bangladesh Bank. (2024). Annual Report 2023-2024. Dhaka: Bangladesh Bank.</w:t>
      </w:r>
    </w:p>
    <w:p w14:paraId="50469CA9" w14:textId="77777777" w:rsidR="00FE0C17" w:rsidRDefault="00FE0C17" w:rsidP="00FE0C17">
      <w:pPr>
        <w:spacing w:line="360" w:lineRule="auto"/>
        <w:ind w:left="720" w:hanging="720"/>
      </w:pPr>
      <w:r>
        <w:t>Bangladesh Bank. (Various years). Mobile Financial Services Statistics (Quarterly Reports 2011-2024). Available at: https://www.bb.org.bd/pub/quartlymfs/</w:t>
      </w:r>
    </w:p>
    <w:p w14:paraId="3FF4D75C" w14:textId="77777777" w:rsidR="00FE0C17" w:rsidRDefault="00FE0C17" w:rsidP="00FE0C17">
      <w:pPr>
        <w:spacing w:line="360" w:lineRule="auto"/>
        <w:ind w:left="720" w:hanging="720"/>
      </w:pPr>
      <w:r>
        <w:t>Bangladesh Bank. (Various years). Scheduled Bank Statistics. Dhaka: Bangladesh Bank.</w:t>
      </w:r>
    </w:p>
    <w:p w14:paraId="2EF6C7B4" w14:textId="77777777" w:rsidR="00FE0C17" w:rsidRDefault="00FE0C17" w:rsidP="00FE0C17">
      <w:pPr>
        <w:spacing w:line="360" w:lineRule="auto"/>
        <w:ind w:left="720" w:hanging="720"/>
      </w:pPr>
      <w:r>
        <w:t>Bangladesh Bank. (2024). Financial Inclusion Report 2023. Dhaka: Bangladesh Bank.</w:t>
      </w:r>
    </w:p>
    <w:p w14:paraId="4C5811B7" w14:textId="77777777" w:rsidR="00FE0C17" w:rsidRDefault="00FE0C17" w:rsidP="00FE0C17">
      <w:pPr>
        <w:spacing w:line="360" w:lineRule="auto"/>
        <w:ind w:left="720" w:hanging="720"/>
      </w:pPr>
      <w:r>
        <w:t>CEIC Data. (2024). Bangladesh Total Assets: Private Commercial Banks. Retrieved from https://www.ceicdata.com/en/bangladesh/assets-and-deposits</w:t>
      </w:r>
    </w:p>
    <w:p w14:paraId="69AC84B3" w14:textId="77777777" w:rsidR="00FE0C17" w:rsidRDefault="00FE0C17" w:rsidP="00FE0C17">
      <w:pPr>
        <w:spacing w:line="360" w:lineRule="auto"/>
        <w:ind w:left="720" w:hanging="720"/>
      </w:pPr>
      <w:r>
        <w:t>Demirgüç-Kunt, A., Klapper, L., Singer, D., &amp; Ansar, S. (2022). The Global Findex Database 2021: Financial Inclusion, Digital Payments, and Resilience in the Age of COVID-19. Washington, DC: World Bank.</w:t>
      </w:r>
    </w:p>
    <w:p w14:paraId="1A6BC476" w14:textId="77777777" w:rsidR="00FE0C17" w:rsidRDefault="00FE0C17" w:rsidP="00FE0C17">
      <w:pPr>
        <w:spacing w:line="360" w:lineRule="auto"/>
        <w:ind w:left="720" w:hanging="720"/>
      </w:pPr>
      <w:r>
        <w:t>Demirgüç-Kunt, A., Klapper, L., &amp; Singer, D. (2024). The Global Findex Database 2024. Washington, DC: World Bank. Available at: https://globalfindex.worldbank.org/</w:t>
      </w:r>
    </w:p>
    <w:p w14:paraId="335C98E4" w14:textId="77777777" w:rsidR="00FE0C17" w:rsidRDefault="00FE0C17" w:rsidP="00FE0C17">
      <w:pPr>
        <w:spacing w:line="360" w:lineRule="auto"/>
        <w:ind w:left="720" w:hanging="720"/>
      </w:pPr>
      <w:r>
        <w:t>Future Startup. (2025). The State of Mobile Financial Services (MFS) Industry in Bangladesh at the Beginning of 2025. Available at: https://futurestartup.com/</w:t>
      </w:r>
    </w:p>
    <w:p w14:paraId="02623B3F" w14:textId="77777777" w:rsidR="00FE0C17" w:rsidRDefault="00FE0C17" w:rsidP="00FE0C17">
      <w:pPr>
        <w:spacing w:line="360" w:lineRule="auto"/>
        <w:ind w:left="720" w:hanging="720"/>
      </w:pPr>
      <w:r>
        <w:t>The Business Standard. (2023). Number of mobile financial service accounts surpasses 19cr-mark. February 13, 2023.</w:t>
      </w:r>
    </w:p>
    <w:p w14:paraId="0D87A041" w14:textId="77777777" w:rsidR="00FE0C17" w:rsidRDefault="00FE0C17" w:rsidP="00FE0C17">
      <w:pPr>
        <w:spacing w:line="360" w:lineRule="auto"/>
        <w:ind w:left="720" w:hanging="720"/>
      </w:pPr>
      <w:r>
        <w:t>The Daily Star. (2023). Evolution of Digitalization in Bangladesh's Financial Sector. November 22, 2023.</w:t>
      </w:r>
    </w:p>
    <w:p w14:paraId="271B9238" w14:textId="77777777" w:rsidR="00FE0C17" w:rsidRDefault="00FE0C17" w:rsidP="00FE0C17">
      <w:pPr>
        <w:spacing w:line="360" w:lineRule="auto"/>
        <w:ind w:left="720" w:hanging="720"/>
      </w:pPr>
      <w:r>
        <w:t>World Bank. (Various years). World Development Indicators. Available at: https://data.worldbank.org/</w:t>
      </w:r>
    </w:p>
    <w:p w14:paraId="67C52617" w14:textId="77777777" w:rsidR="00FE0C17" w:rsidRDefault="00FE0C17" w:rsidP="00FE0C17">
      <w:pPr>
        <w:spacing w:line="360" w:lineRule="auto"/>
        <w:ind w:left="720" w:hanging="720"/>
      </w:pPr>
      <w:r>
        <w:t>World Bank Global Findex Database. (2011, 2014, 2017, 2021, 2024). Financial inclusion data for Bangladesh. Available at: https://globalfindex.worldbank.org/country/bangladesh</w:t>
      </w:r>
    </w:p>
    <w:p w14:paraId="11531F98" w14:textId="77777777" w:rsidR="00FE0C17" w:rsidRDefault="00FE0C17" w:rsidP="00FE0C17">
      <w:pPr>
        <w:pStyle w:val="BodyText"/>
        <w:ind w:left="720" w:hanging="720"/>
      </w:pPr>
    </w:p>
    <w:p w14:paraId="764B9F28" w14:textId="77777777" w:rsidR="00DE6AE2" w:rsidRDefault="00DE6AE2"/>
    <w:sectPr w:rsidR="00DE6AE2" w:rsidSect="00FE0C17">
      <w:footerReference w:type="default" r:id="rId4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24771824"/>
      <w:docPartObj>
        <w:docPartGallery w:val="Page Numbers (Bottom of Page)"/>
        <w:docPartUnique/>
      </w:docPartObj>
    </w:sdtPr>
    <w:sdtContent>
      <w:p w14:paraId="3CEFB886" w14:textId="77777777" w:rsidR="00FE0C17" w:rsidRDefault="00FE0C17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5386D042" w14:textId="77777777" w:rsidR="00FE0C17" w:rsidRDefault="00FE0C1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C17"/>
    <w:rsid w:val="00195413"/>
    <w:rsid w:val="003D0186"/>
    <w:rsid w:val="007278E4"/>
    <w:rsid w:val="00A3738C"/>
    <w:rsid w:val="00BC6C35"/>
    <w:rsid w:val="00CB270D"/>
    <w:rsid w:val="00CF7583"/>
    <w:rsid w:val="00D6762D"/>
    <w:rsid w:val="00DE6AE2"/>
    <w:rsid w:val="00FE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9A2A2"/>
  <w15:chartTrackingRefBased/>
  <w15:docId w15:val="{C1A5DAC5-CF91-4A54-A573-1A4FDF4DE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0C17"/>
    <w:pPr>
      <w:spacing w:after="200" w:line="276" w:lineRule="auto"/>
    </w:pPr>
    <w:rPr>
      <w:rFonts w:ascii="Times New Roman" w:eastAsiaTheme="minorEastAsia" w:hAnsi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0C1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0C1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0C1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0C1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0C1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0C1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0C1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0C1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0C1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0C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E0C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E0C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0C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0C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0C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0C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0C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0C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0C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0C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0C1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0C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0C17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0C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0C17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0C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0C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0C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0C1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E0C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0C17"/>
    <w:rPr>
      <w:rFonts w:ascii="Times New Roman" w:eastAsiaTheme="minorEastAsia" w:hAnsi="Times New Roman"/>
      <w:kern w:val="0"/>
      <w:sz w:val="22"/>
      <w:szCs w:val="22"/>
      <w14:ligatures w14:val="none"/>
    </w:rPr>
  </w:style>
  <w:style w:type="table" w:styleId="LightGrid-Accent1">
    <w:name w:val="Light Grid Accent 1"/>
    <w:basedOn w:val="TableNormal"/>
    <w:uiPriority w:val="62"/>
    <w:rsid w:val="00FE0C1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paragraph" w:customStyle="1" w:styleId="BodyText">
    <w:name w:val="BodyText"/>
    <w:rsid w:val="00FE0C17"/>
    <w:pPr>
      <w:spacing w:after="120" w:line="360" w:lineRule="auto"/>
      <w:ind w:firstLine="720"/>
      <w:jc w:val="both"/>
    </w:pPr>
    <w:rPr>
      <w:rFonts w:ascii="Times New Roman" w:eastAsiaTheme="minorEastAsia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1209</Words>
  <Characters>7920</Characters>
  <Application>Microsoft Office Word</Application>
  <DocSecurity>0</DocSecurity>
  <Lines>193</Lines>
  <Paragraphs>115</Paragraphs>
  <ScaleCrop>false</ScaleCrop>
  <Company>Springer Nature</Company>
  <LinksUpToDate>false</LinksUpToDate>
  <CharactersWithSpaces>9014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2026-03-10T14:10:00Z</dcterms:created>
  <dcterms:modified xsi:type="dcterms:W3CDTF">2026-03-10T14:11:00Z</dcterms:modified>
</cp:coreProperties>
</file>