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10EE" w14:textId="77777777" w:rsidR="00B1799A" w:rsidRPr="00B1799A" w:rsidRDefault="00B1799A" w:rsidP="00B1799A">
      <w:pPr>
        <w:rPr>
          <w:rFonts w:ascii="Times New Roman" w:hAnsi="Times New Roman" w:cs="Times New Roman"/>
          <w:sz w:val="24"/>
        </w:rPr>
      </w:pPr>
      <w:r w:rsidRPr="00B1799A">
        <w:rPr>
          <w:rFonts w:ascii="Times New Roman" w:hAnsi="Times New Roman" w:cs="Times New Roman"/>
          <w:sz w:val="24"/>
        </w:rPr>
        <w:t>Supplementary data legends</w:t>
      </w:r>
    </w:p>
    <w:p w14:paraId="533FE09F" w14:textId="77777777" w:rsidR="00B1799A" w:rsidRPr="00B1799A" w:rsidRDefault="00B1799A" w:rsidP="00B1799A">
      <w:pPr>
        <w:rPr>
          <w:rFonts w:ascii="Times New Roman" w:hAnsi="Times New Roman" w:cs="Times New Roman"/>
          <w:sz w:val="24"/>
        </w:rPr>
      </w:pPr>
    </w:p>
    <w:p w14:paraId="46101331" w14:textId="77777777" w:rsidR="00B1799A" w:rsidRPr="00B1799A" w:rsidRDefault="00B1799A" w:rsidP="00B1799A">
      <w:pPr>
        <w:rPr>
          <w:rFonts w:ascii="Times New Roman" w:hAnsi="Times New Roman" w:cs="Times New Roman"/>
          <w:sz w:val="24"/>
        </w:rPr>
      </w:pPr>
      <w:r w:rsidRPr="00B1799A">
        <w:rPr>
          <w:rFonts w:ascii="Times New Roman" w:hAnsi="Times New Roman" w:cs="Times New Roman"/>
          <w:sz w:val="24"/>
        </w:rPr>
        <w:t>Supplemental Figure 1. Inhibitory effect of canagliflozin on the proliferation of cultured GBM cell lines</w:t>
      </w:r>
    </w:p>
    <w:p w14:paraId="54A99D55" w14:textId="77777777" w:rsidR="00B1799A" w:rsidRPr="00B1799A" w:rsidRDefault="00B1799A" w:rsidP="00B1799A">
      <w:pPr>
        <w:rPr>
          <w:rFonts w:ascii="Times New Roman" w:hAnsi="Times New Roman" w:cs="Times New Roman"/>
          <w:sz w:val="24"/>
        </w:rPr>
      </w:pPr>
    </w:p>
    <w:p w14:paraId="68631E60" w14:textId="77777777" w:rsidR="00B1799A" w:rsidRPr="00B1799A" w:rsidRDefault="00B1799A" w:rsidP="00B1799A">
      <w:pPr>
        <w:pStyle w:val="a9"/>
        <w:numPr>
          <w:ilvl w:val="0"/>
          <w:numId w:val="2"/>
        </w:numPr>
        <w:ind w:left="0" w:firstLine="0"/>
        <w:rPr>
          <w:rFonts w:ascii="Times New Roman" w:hAnsi="Times New Roman" w:cs="Times New Roman"/>
          <w:sz w:val="24"/>
        </w:rPr>
      </w:pPr>
      <w:r w:rsidRPr="00B1799A">
        <w:rPr>
          <w:rFonts w:ascii="Times New Roman" w:hAnsi="Times New Roman" w:cs="Times New Roman"/>
          <w:sz w:val="24"/>
        </w:rPr>
        <w:t xml:space="preserve">Dose responses of canagliflozin on proliferation in human GBM cell lines T98G, U87MG, and NGT191. Cell viability was assessed using the WST-1 assay. GBM cell lines were treated with indicated concentrations (0 - 200 </w:t>
      </w:r>
      <w:proofErr w:type="spellStart"/>
      <w:r w:rsidRPr="00B1799A">
        <w:rPr>
          <w:rFonts w:ascii="Times New Roman" w:hAnsi="Times New Roman" w:cs="Times New Roman"/>
          <w:sz w:val="24"/>
        </w:rPr>
        <w:t>μM</w:t>
      </w:r>
      <w:proofErr w:type="spellEnd"/>
      <w:r w:rsidRPr="00B1799A">
        <w:rPr>
          <w:rFonts w:ascii="Times New Roman" w:hAnsi="Times New Roman" w:cs="Times New Roman"/>
          <w:sz w:val="24"/>
        </w:rPr>
        <w:t xml:space="preserve">) of canagliflozin for 72 hours. The viability of untreated cells (vehicle control: 0 </w:t>
      </w:r>
      <w:proofErr w:type="spellStart"/>
      <w:r w:rsidRPr="00B1799A">
        <w:rPr>
          <w:rFonts w:ascii="Times New Roman" w:hAnsi="Times New Roman" w:cs="Times New Roman"/>
          <w:sz w:val="24"/>
        </w:rPr>
        <w:t>μM</w:t>
      </w:r>
      <w:proofErr w:type="spellEnd"/>
      <w:r w:rsidRPr="00B1799A">
        <w:rPr>
          <w:rFonts w:ascii="Times New Roman" w:hAnsi="Times New Roman" w:cs="Times New Roman"/>
          <w:sz w:val="24"/>
        </w:rPr>
        <w:t xml:space="preserve"> canagliflozin) was considered 100 %. Data are presented as mean ± SEM. Similar results were obtained from triplicate experiments (*</w:t>
      </w:r>
      <w:r w:rsidRPr="00B1799A">
        <w:rPr>
          <w:rFonts w:ascii="Times New Roman" w:hAnsi="Times New Roman" w:cs="Times New Roman"/>
          <w:i/>
          <w:iCs/>
          <w:sz w:val="24"/>
        </w:rPr>
        <w:t>p</w:t>
      </w:r>
      <w:r w:rsidRPr="00B1799A">
        <w:rPr>
          <w:rFonts w:ascii="Times New Roman" w:hAnsi="Times New Roman" w:cs="Times New Roman"/>
          <w:sz w:val="24"/>
        </w:rPr>
        <w:t xml:space="preserve"> &lt; 0.05, **</w:t>
      </w:r>
      <w:r w:rsidRPr="00B1799A">
        <w:rPr>
          <w:rFonts w:ascii="Times New Roman" w:hAnsi="Times New Roman" w:cs="Times New Roman"/>
          <w:i/>
          <w:iCs/>
          <w:sz w:val="24"/>
        </w:rPr>
        <w:t>p</w:t>
      </w:r>
      <w:r w:rsidRPr="00B1799A">
        <w:rPr>
          <w:rFonts w:ascii="Times New Roman" w:hAnsi="Times New Roman" w:cs="Times New Roman"/>
          <w:sz w:val="24"/>
        </w:rPr>
        <w:t xml:space="preserve"> &lt; 0.01, ***</w:t>
      </w:r>
      <w:r w:rsidRPr="00B1799A">
        <w:rPr>
          <w:rFonts w:ascii="Times New Roman" w:hAnsi="Times New Roman" w:cs="Times New Roman"/>
          <w:i/>
          <w:iCs/>
          <w:sz w:val="24"/>
        </w:rPr>
        <w:t>p</w:t>
      </w:r>
      <w:r w:rsidRPr="00B1799A">
        <w:rPr>
          <w:rFonts w:ascii="Times New Roman" w:hAnsi="Times New Roman" w:cs="Times New Roman"/>
          <w:sz w:val="24"/>
        </w:rPr>
        <w:t xml:space="preserve"> &lt; 0.001, ****</w:t>
      </w:r>
      <w:r w:rsidRPr="00B1799A">
        <w:rPr>
          <w:rFonts w:ascii="Times New Roman" w:hAnsi="Times New Roman" w:cs="Times New Roman"/>
          <w:i/>
          <w:iCs/>
          <w:sz w:val="24"/>
        </w:rPr>
        <w:t>p</w:t>
      </w:r>
      <w:r w:rsidRPr="00B1799A">
        <w:rPr>
          <w:rFonts w:ascii="Times New Roman" w:hAnsi="Times New Roman" w:cs="Times New Roman"/>
          <w:sz w:val="24"/>
        </w:rPr>
        <w:t xml:space="preserve"> &lt; 0.0001 vs. control culture: one-way ANOVA with Dunnett’s multiple comparisons). (B) Microscopic image of NGT41 cells 72 hours after canagliflozin treatment at </w:t>
      </w:r>
      <w:r w:rsidRPr="00B1799A">
        <w:rPr>
          <w:rFonts w:ascii="Times New Roman" w:hAnsi="Times New Roman" w:cs="Times New Roman"/>
          <w:sz w:val="24"/>
        </w:rPr>
        <w:t xml:space="preserve">the </w:t>
      </w:r>
      <w:r w:rsidRPr="00B1799A">
        <w:rPr>
          <w:rFonts w:ascii="Times New Roman" w:hAnsi="Times New Roman" w:cs="Times New Roman"/>
          <w:sz w:val="24"/>
        </w:rPr>
        <w:t>indicated doses.</w:t>
      </w:r>
    </w:p>
    <w:p w14:paraId="7F565CAF" w14:textId="77777777" w:rsidR="00B1799A" w:rsidRPr="00B1799A" w:rsidRDefault="00B1799A" w:rsidP="00B1799A">
      <w:pPr>
        <w:pStyle w:val="a9"/>
        <w:ind w:left="0"/>
        <w:rPr>
          <w:rFonts w:ascii="Times New Roman" w:hAnsi="Times New Roman" w:cs="Times New Roman"/>
          <w:sz w:val="24"/>
        </w:rPr>
      </w:pPr>
    </w:p>
    <w:p w14:paraId="2B38D970" w14:textId="77777777" w:rsidR="00B1799A" w:rsidRPr="00B1799A" w:rsidRDefault="00B1799A" w:rsidP="00B1799A">
      <w:pPr>
        <w:pStyle w:val="a9"/>
        <w:ind w:left="0"/>
        <w:rPr>
          <w:rFonts w:ascii="Times New Roman" w:hAnsi="Times New Roman" w:cs="Times New Roman"/>
          <w:sz w:val="24"/>
        </w:rPr>
      </w:pPr>
    </w:p>
    <w:p w14:paraId="0D12462F" w14:textId="77777777" w:rsidR="00B1799A" w:rsidRPr="00B1799A" w:rsidRDefault="00B1799A" w:rsidP="00B1799A">
      <w:pPr>
        <w:pStyle w:val="a9"/>
        <w:ind w:left="0"/>
        <w:rPr>
          <w:rFonts w:ascii="Times New Roman" w:hAnsi="Times New Roman" w:cs="Times New Roman"/>
          <w:sz w:val="24"/>
        </w:rPr>
      </w:pPr>
      <w:r w:rsidRPr="00B1799A">
        <w:rPr>
          <w:rFonts w:ascii="Times New Roman" w:hAnsi="Times New Roman" w:cs="Times New Roman"/>
          <w:sz w:val="24"/>
        </w:rPr>
        <w:t>Supplemental Figure 2. Effects of canagliflozin on AMPK activation in GBM cell lines.</w:t>
      </w:r>
    </w:p>
    <w:p w14:paraId="5B5DA553" w14:textId="77777777" w:rsidR="00B1799A" w:rsidRPr="00B1799A" w:rsidRDefault="00B1799A" w:rsidP="00B1799A">
      <w:pPr>
        <w:pStyle w:val="a9"/>
        <w:ind w:left="0"/>
        <w:rPr>
          <w:rFonts w:ascii="Times New Roman" w:hAnsi="Times New Roman" w:cs="Times New Roman"/>
          <w:sz w:val="24"/>
        </w:rPr>
      </w:pPr>
    </w:p>
    <w:p w14:paraId="24113C9E" w14:textId="5F5689CB" w:rsidR="00B1799A" w:rsidRDefault="00B1799A" w:rsidP="00B1799A">
      <w:pPr>
        <w:pStyle w:val="a9"/>
        <w:ind w:left="0"/>
        <w:rPr>
          <w:rFonts w:ascii="Times New Roman" w:hAnsi="Times New Roman" w:cs="Times New Roman"/>
          <w:sz w:val="24"/>
        </w:rPr>
      </w:pPr>
      <w:r w:rsidRPr="00B1799A">
        <w:rPr>
          <w:rFonts w:ascii="Times New Roman" w:hAnsi="Times New Roman" w:cs="Times New Roman"/>
          <w:sz w:val="24"/>
        </w:rPr>
        <w:t xml:space="preserve">Dose response of canagliflozin on the activation of AMPK and ACC in human GBM cell lines T98G, U87MG, and NGT191. Cells were treated with the indicated concentrations (0–100 </w:t>
      </w:r>
      <w:proofErr w:type="spellStart"/>
      <w:r w:rsidRPr="00B1799A">
        <w:rPr>
          <w:rFonts w:ascii="Times New Roman" w:hAnsi="Times New Roman" w:cs="Times New Roman"/>
          <w:sz w:val="24"/>
        </w:rPr>
        <w:t>μM</w:t>
      </w:r>
      <w:proofErr w:type="spellEnd"/>
      <w:r w:rsidRPr="00B1799A">
        <w:rPr>
          <w:rFonts w:ascii="Times New Roman" w:hAnsi="Times New Roman" w:cs="Times New Roman"/>
          <w:sz w:val="24"/>
        </w:rPr>
        <w:t xml:space="preserve">) of canagliflozin for 72 hours. Cell lysates were subjected to immunoblot analysis using antibodies against phosphorylated AMPK (Thr172), total AMPK, phosphorylated ACC (Ser79), and total ACC. The level of phosphorylated and total AMPK or ACC was indicated by the corresponding bands. Immunoblots were subjected to densitometric quantification after standardizing </w:t>
      </w:r>
      <w:proofErr w:type="spellStart"/>
      <w:r w:rsidRPr="00B1799A">
        <w:rPr>
          <w:rFonts w:ascii="Times New Roman" w:hAnsi="Times New Roman" w:cs="Times New Roman"/>
          <w:sz w:val="24"/>
        </w:rPr>
        <w:t>phospho</w:t>
      </w:r>
      <w:proofErr w:type="spellEnd"/>
      <w:r w:rsidRPr="00B1799A">
        <w:rPr>
          <w:rFonts w:ascii="Times New Roman" w:hAnsi="Times New Roman" w:cs="Times New Roman"/>
          <w:sz w:val="24"/>
        </w:rPr>
        <w:t>/total AMPK ratio and presented as a bar graph. Similar results were obtained from triplicate experiments (*</w:t>
      </w:r>
      <w:r w:rsidRPr="00B1799A">
        <w:rPr>
          <w:rFonts w:ascii="Times New Roman" w:hAnsi="Times New Roman" w:cs="Times New Roman"/>
          <w:i/>
          <w:iCs/>
          <w:sz w:val="24"/>
        </w:rPr>
        <w:t>p</w:t>
      </w:r>
      <w:r w:rsidRPr="00B1799A">
        <w:rPr>
          <w:rFonts w:ascii="Times New Roman" w:hAnsi="Times New Roman" w:cs="Times New Roman"/>
          <w:sz w:val="24"/>
        </w:rPr>
        <w:t xml:space="preserve"> &lt; 0.05, **</w:t>
      </w:r>
      <w:r w:rsidRPr="00B1799A">
        <w:rPr>
          <w:rFonts w:ascii="Times New Roman" w:hAnsi="Times New Roman" w:cs="Times New Roman"/>
          <w:i/>
          <w:iCs/>
          <w:sz w:val="24"/>
        </w:rPr>
        <w:t>p</w:t>
      </w:r>
      <w:r w:rsidRPr="00B1799A">
        <w:rPr>
          <w:rFonts w:ascii="Times New Roman" w:hAnsi="Times New Roman" w:cs="Times New Roman"/>
          <w:sz w:val="24"/>
        </w:rPr>
        <w:t xml:space="preserve"> &lt; 0.01, ***</w:t>
      </w:r>
      <w:r w:rsidRPr="00B1799A">
        <w:rPr>
          <w:rFonts w:ascii="Times New Roman" w:hAnsi="Times New Roman" w:cs="Times New Roman"/>
          <w:i/>
          <w:iCs/>
          <w:sz w:val="24"/>
        </w:rPr>
        <w:t>p</w:t>
      </w:r>
      <w:r w:rsidRPr="00B1799A">
        <w:rPr>
          <w:rFonts w:ascii="Times New Roman" w:hAnsi="Times New Roman" w:cs="Times New Roman"/>
          <w:sz w:val="24"/>
        </w:rPr>
        <w:t xml:space="preserve"> &lt; 0.001, ****</w:t>
      </w:r>
      <w:r w:rsidRPr="00B1799A">
        <w:rPr>
          <w:rFonts w:ascii="Times New Roman" w:hAnsi="Times New Roman" w:cs="Times New Roman"/>
          <w:i/>
          <w:iCs/>
          <w:sz w:val="24"/>
        </w:rPr>
        <w:t>p</w:t>
      </w:r>
      <w:r w:rsidRPr="00B1799A">
        <w:rPr>
          <w:rFonts w:ascii="Times New Roman" w:hAnsi="Times New Roman" w:cs="Times New Roman"/>
          <w:sz w:val="24"/>
        </w:rPr>
        <w:t xml:space="preserve"> &lt; 0.0001 vs. control culture: one-way ANOVA with Dunnett’s multiple comparisons). </w:t>
      </w:r>
    </w:p>
    <w:p w14:paraId="2D7C1369" w14:textId="77777777" w:rsidR="00B1799A" w:rsidRDefault="00B1799A" w:rsidP="00B1799A">
      <w:pPr>
        <w:pStyle w:val="a9"/>
        <w:ind w:left="0"/>
        <w:rPr>
          <w:rFonts w:ascii="Times New Roman" w:hAnsi="Times New Roman" w:cs="Times New Roman"/>
          <w:sz w:val="24"/>
        </w:rPr>
      </w:pPr>
    </w:p>
    <w:p w14:paraId="5AF0B4E9" w14:textId="77777777" w:rsidR="00B1799A" w:rsidRDefault="00B1799A" w:rsidP="00B1799A">
      <w:pPr>
        <w:pStyle w:val="a9"/>
        <w:ind w:left="0"/>
        <w:rPr>
          <w:rFonts w:ascii="Times New Roman" w:hAnsi="Times New Roman" w:cs="Times New Roman"/>
          <w:sz w:val="24"/>
        </w:rPr>
      </w:pPr>
    </w:p>
    <w:p w14:paraId="4EBBC055" w14:textId="3F848BB7" w:rsidR="00B1799A" w:rsidRDefault="00B1799A" w:rsidP="00B1799A">
      <w:pPr>
        <w:pStyle w:val="a9"/>
        <w:ind w:left="0"/>
        <w:rPr>
          <w:rFonts w:ascii="Times New Roman" w:hAnsi="Times New Roman" w:cs="Times New Roman"/>
          <w:sz w:val="24"/>
        </w:rPr>
      </w:pPr>
      <w:r w:rsidRPr="00B1799A">
        <w:rPr>
          <w:rFonts w:ascii="Times New Roman" w:hAnsi="Times New Roman" w:cs="Times New Roman"/>
          <w:sz w:val="24"/>
        </w:rPr>
        <w:t>Supplemental Figure 3. Canagliflozin inhibits mTORC1 signaling in GBM cell lines</w:t>
      </w:r>
    </w:p>
    <w:p w14:paraId="6FE70B3C" w14:textId="77777777" w:rsidR="00B1799A" w:rsidRDefault="00B1799A" w:rsidP="00B1799A">
      <w:pPr>
        <w:pStyle w:val="a9"/>
        <w:ind w:left="0"/>
        <w:rPr>
          <w:rFonts w:ascii="Times New Roman" w:hAnsi="Times New Roman" w:cs="Times New Roman"/>
          <w:sz w:val="24"/>
        </w:rPr>
      </w:pPr>
    </w:p>
    <w:p w14:paraId="51DC7049" w14:textId="77777777" w:rsidR="00B1799A" w:rsidRDefault="00B1799A" w:rsidP="00B1799A">
      <w:pPr>
        <w:pStyle w:val="a9"/>
        <w:ind w:left="0"/>
        <w:rPr>
          <w:rFonts w:ascii="Times New Roman" w:hAnsi="Times New Roman" w:cs="Times New Roman"/>
          <w:sz w:val="24"/>
        </w:rPr>
      </w:pPr>
      <w:r w:rsidRPr="00B1799A">
        <w:rPr>
          <w:rFonts w:ascii="Times New Roman" w:hAnsi="Times New Roman" w:cs="Times New Roman"/>
          <w:sz w:val="24"/>
        </w:rPr>
        <w:t xml:space="preserve">The human GBM cell lines T98G, U87MG, and NGT191 were treated with indicated concentrations of canagliflozin (0–100 </w:t>
      </w:r>
      <w:proofErr w:type="spellStart"/>
      <w:r w:rsidRPr="00B1799A">
        <w:rPr>
          <w:rFonts w:ascii="Times New Roman" w:hAnsi="Times New Roman" w:cs="Times New Roman"/>
          <w:sz w:val="24"/>
        </w:rPr>
        <w:t>μM</w:t>
      </w:r>
      <w:proofErr w:type="spellEnd"/>
      <w:r w:rsidRPr="00B1799A">
        <w:rPr>
          <w:rFonts w:ascii="Times New Roman" w:hAnsi="Times New Roman" w:cs="Times New Roman"/>
          <w:sz w:val="24"/>
        </w:rPr>
        <w:t xml:space="preserve">) for 72 hours. Phosphorylation levels of p70S6K (Thr389) and S6 (Ser240/244) were analyzed by Western blot (A-C). The level of phosphorylated and total p70S6K or S6 was indicated by the corresponding bands. Densitometric analysis of phospho-p70S6K and phospho-S6 normalized to total protein </w:t>
      </w:r>
      <w:r w:rsidRPr="00B1799A">
        <w:rPr>
          <w:rFonts w:ascii="Times New Roman" w:hAnsi="Times New Roman" w:cs="Times New Roman"/>
          <w:sz w:val="24"/>
        </w:rPr>
        <w:lastRenderedPageBreak/>
        <w:t xml:space="preserve">levels. β-actin was used as a loading control. Immunoblots were subjected to densitometric quantification after standardizing </w:t>
      </w:r>
      <w:proofErr w:type="spellStart"/>
      <w:r w:rsidRPr="00B1799A">
        <w:rPr>
          <w:rFonts w:ascii="Times New Roman" w:hAnsi="Times New Roman" w:cs="Times New Roman"/>
          <w:sz w:val="24"/>
        </w:rPr>
        <w:t>phospho</w:t>
      </w:r>
      <w:proofErr w:type="spellEnd"/>
      <w:r w:rsidRPr="00B1799A">
        <w:rPr>
          <w:rFonts w:ascii="Times New Roman" w:hAnsi="Times New Roman" w:cs="Times New Roman"/>
          <w:sz w:val="24"/>
        </w:rPr>
        <w:t>/total AMPK ratio and presented as a bar graph. Similar results were obtained from triplicate experiments (*</w:t>
      </w:r>
      <w:r w:rsidRPr="00B1799A">
        <w:rPr>
          <w:rFonts w:ascii="Times New Roman" w:hAnsi="Times New Roman" w:cs="Times New Roman"/>
          <w:i/>
          <w:iCs/>
          <w:sz w:val="24"/>
        </w:rPr>
        <w:t>p</w:t>
      </w:r>
      <w:r w:rsidRPr="00B1799A">
        <w:rPr>
          <w:rFonts w:ascii="Times New Roman" w:hAnsi="Times New Roman" w:cs="Times New Roman"/>
          <w:sz w:val="24"/>
        </w:rPr>
        <w:t xml:space="preserve"> &lt; 0.05, **</w:t>
      </w:r>
      <w:r w:rsidRPr="00B1799A">
        <w:rPr>
          <w:rFonts w:ascii="Times New Roman" w:hAnsi="Times New Roman" w:cs="Times New Roman"/>
          <w:i/>
          <w:iCs/>
          <w:sz w:val="24"/>
        </w:rPr>
        <w:t>p</w:t>
      </w:r>
      <w:r w:rsidRPr="00B1799A">
        <w:rPr>
          <w:rFonts w:ascii="Times New Roman" w:hAnsi="Times New Roman" w:cs="Times New Roman"/>
          <w:sz w:val="24"/>
        </w:rPr>
        <w:t xml:space="preserve"> &lt;0.01, ***</w:t>
      </w:r>
      <w:r w:rsidRPr="00B1799A">
        <w:rPr>
          <w:rFonts w:ascii="Times New Roman" w:hAnsi="Times New Roman" w:cs="Times New Roman"/>
          <w:i/>
          <w:iCs/>
          <w:sz w:val="24"/>
        </w:rPr>
        <w:t>p</w:t>
      </w:r>
      <w:r w:rsidRPr="00B1799A">
        <w:rPr>
          <w:rFonts w:ascii="Times New Roman" w:hAnsi="Times New Roman" w:cs="Times New Roman"/>
          <w:sz w:val="24"/>
        </w:rPr>
        <w:t xml:space="preserve"> &lt;0.001, ****</w:t>
      </w:r>
      <w:r w:rsidRPr="00B1799A">
        <w:rPr>
          <w:rFonts w:ascii="Times New Roman" w:hAnsi="Times New Roman" w:cs="Times New Roman"/>
          <w:i/>
          <w:iCs/>
          <w:sz w:val="24"/>
        </w:rPr>
        <w:t>p</w:t>
      </w:r>
      <w:r w:rsidRPr="00B1799A">
        <w:rPr>
          <w:rFonts w:ascii="Times New Roman" w:hAnsi="Times New Roman" w:cs="Times New Roman"/>
          <w:sz w:val="24"/>
        </w:rPr>
        <w:t xml:space="preserve"> &lt;0.0001 vs. control culture: one-way ANOVA with Dunnett’s multiple comparisons).</w:t>
      </w:r>
    </w:p>
    <w:p w14:paraId="0F98CBEF" w14:textId="77777777" w:rsidR="00B1799A" w:rsidRDefault="00B1799A" w:rsidP="00B1799A">
      <w:pPr>
        <w:pStyle w:val="a9"/>
        <w:ind w:left="0"/>
        <w:rPr>
          <w:rFonts w:ascii="Times New Roman" w:hAnsi="Times New Roman" w:cs="Times New Roman"/>
          <w:sz w:val="24"/>
        </w:rPr>
      </w:pPr>
    </w:p>
    <w:p w14:paraId="71A6CA33" w14:textId="77777777" w:rsidR="00B1799A" w:rsidRDefault="00B1799A" w:rsidP="00B1799A">
      <w:pPr>
        <w:pStyle w:val="a9"/>
        <w:ind w:left="0"/>
        <w:rPr>
          <w:rFonts w:ascii="Times New Roman" w:hAnsi="Times New Roman" w:cs="Times New Roman"/>
          <w:sz w:val="24"/>
        </w:rPr>
      </w:pPr>
      <w:r w:rsidRPr="00B1799A">
        <w:rPr>
          <w:rFonts w:ascii="Times New Roman" w:hAnsi="Times New Roman" w:cs="Times New Roman"/>
          <w:sz w:val="24"/>
        </w:rPr>
        <w:t xml:space="preserve">Supplemental Figure 4. Effect of canagliflozin on translation: Evaluation of protein synthesis rate using </w:t>
      </w:r>
      <w:proofErr w:type="spellStart"/>
      <w:r w:rsidRPr="00B1799A">
        <w:rPr>
          <w:rFonts w:ascii="Times New Roman" w:hAnsi="Times New Roman" w:cs="Times New Roman"/>
          <w:sz w:val="24"/>
        </w:rPr>
        <w:t>SUnSET</w:t>
      </w:r>
      <w:proofErr w:type="spellEnd"/>
      <w:r w:rsidRPr="00B1799A">
        <w:rPr>
          <w:rFonts w:ascii="Times New Roman" w:hAnsi="Times New Roman" w:cs="Times New Roman"/>
          <w:sz w:val="24"/>
        </w:rPr>
        <w:t xml:space="preserve"> method</w:t>
      </w:r>
    </w:p>
    <w:p w14:paraId="506F0EA8" w14:textId="77777777" w:rsidR="00B1799A" w:rsidRDefault="00B1799A" w:rsidP="00B1799A">
      <w:pPr>
        <w:pStyle w:val="a9"/>
        <w:ind w:left="0"/>
        <w:rPr>
          <w:rFonts w:ascii="Times New Roman" w:hAnsi="Times New Roman" w:cs="Times New Roman"/>
          <w:sz w:val="24"/>
        </w:rPr>
      </w:pPr>
    </w:p>
    <w:p w14:paraId="30D39B53" w14:textId="0D9325C9" w:rsidR="00B1799A" w:rsidRPr="00B1799A" w:rsidRDefault="00B1799A" w:rsidP="00B1799A">
      <w:pPr>
        <w:pStyle w:val="a9"/>
        <w:ind w:left="0"/>
        <w:rPr>
          <w:rFonts w:ascii="Times New Roman" w:hAnsi="Times New Roman" w:cs="Times New Roman"/>
          <w:sz w:val="24"/>
        </w:rPr>
      </w:pPr>
      <w:r w:rsidRPr="00B1799A">
        <w:rPr>
          <w:rFonts w:ascii="Times New Roman" w:hAnsi="Times New Roman" w:cs="Times New Roman"/>
          <w:sz w:val="24"/>
        </w:rPr>
        <w:t xml:space="preserve">(A) Immunoblotting using anti-puromycin antibody against synthesized polypeptide chains. GBM cell lines NGT41, T98G, U87MG, and NGT191 were treated with canagliflozin (50 </w:t>
      </w:r>
      <w:proofErr w:type="spellStart"/>
      <w:r w:rsidRPr="00B1799A">
        <w:rPr>
          <w:rFonts w:ascii="Times New Roman" w:hAnsi="Times New Roman" w:cs="Times New Roman"/>
          <w:sz w:val="24"/>
        </w:rPr>
        <w:t>μM</w:t>
      </w:r>
      <w:proofErr w:type="spellEnd"/>
      <w:r w:rsidRPr="00B1799A">
        <w:rPr>
          <w:rFonts w:ascii="Times New Roman" w:hAnsi="Times New Roman" w:cs="Times New Roman"/>
          <w:sz w:val="24"/>
        </w:rPr>
        <w:t>) for the indicated times, followed by puromycin administration and sampling. (B) Quantification of protein synthesis activity by canagliflozin. Immunoblotting results were quantified and presented as bar graphs. Similar results were obtained from triplicate experiments (*</w:t>
      </w:r>
      <w:r w:rsidRPr="00B1799A">
        <w:rPr>
          <w:rFonts w:ascii="Times New Roman" w:hAnsi="Times New Roman" w:cs="Times New Roman"/>
          <w:i/>
          <w:iCs/>
          <w:sz w:val="24"/>
        </w:rPr>
        <w:t>p</w:t>
      </w:r>
      <w:r w:rsidRPr="00B1799A">
        <w:rPr>
          <w:rFonts w:ascii="Times New Roman" w:hAnsi="Times New Roman" w:cs="Times New Roman"/>
          <w:sz w:val="24"/>
        </w:rPr>
        <w:t xml:space="preserve"> &lt; 0.05, **</w:t>
      </w:r>
      <w:r w:rsidRPr="00B1799A">
        <w:rPr>
          <w:rFonts w:ascii="Times New Roman" w:hAnsi="Times New Roman" w:cs="Times New Roman"/>
          <w:i/>
          <w:iCs/>
          <w:sz w:val="24"/>
        </w:rPr>
        <w:t>p</w:t>
      </w:r>
      <w:r w:rsidRPr="00B1799A">
        <w:rPr>
          <w:rFonts w:ascii="Times New Roman" w:hAnsi="Times New Roman" w:cs="Times New Roman"/>
          <w:sz w:val="24"/>
        </w:rPr>
        <w:t xml:space="preserve"> &lt; 0.01, ***</w:t>
      </w:r>
      <w:r w:rsidRPr="00B1799A">
        <w:rPr>
          <w:rFonts w:ascii="Times New Roman" w:hAnsi="Times New Roman" w:cs="Times New Roman"/>
          <w:i/>
          <w:iCs/>
          <w:sz w:val="24"/>
        </w:rPr>
        <w:t>p</w:t>
      </w:r>
      <w:r w:rsidRPr="00B1799A">
        <w:rPr>
          <w:rFonts w:ascii="Times New Roman" w:hAnsi="Times New Roman" w:cs="Times New Roman"/>
          <w:sz w:val="24"/>
        </w:rPr>
        <w:t xml:space="preserve"> &lt; 0.001, ****</w:t>
      </w:r>
      <w:r w:rsidRPr="00B1799A">
        <w:rPr>
          <w:rFonts w:ascii="Times New Roman" w:hAnsi="Times New Roman" w:cs="Times New Roman"/>
          <w:i/>
          <w:iCs/>
          <w:sz w:val="24"/>
        </w:rPr>
        <w:t>p</w:t>
      </w:r>
      <w:r w:rsidRPr="00B1799A">
        <w:rPr>
          <w:rFonts w:ascii="Times New Roman" w:hAnsi="Times New Roman" w:cs="Times New Roman"/>
          <w:sz w:val="24"/>
        </w:rPr>
        <w:t xml:space="preserve"> &lt; 0.0001 vs. control culture: one-way ANOVA with Dunnett’s multiple comparisons). </w:t>
      </w:r>
    </w:p>
    <w:sectPr w:rsidR="00B1799A" w:rsidRPr="00B1799A" w:rsidSect="006936F6">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C79"/>
    <w:multiLevelType w:val="hybridMultilevel"/>
    <w:tmpl w:val="14CAE8A8"/>
    <w:lvl w:ilvl="0" w:tplc="703C215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7D1149"/>
    <w:multiLevelType w:val="hybridMultilevel"/>
    <w:tmpl w:val="2FECE5A4"/>
    <w:lvl w:ilvl="0" w:tplc="29D8C188">
      <w:start w:val="1"/>
      <w:numFmt w:val="upp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35471">
    <w:abstractNumId w:val="1"/>
  </w:num>
  <w:num w:numId="2" w16cid:durableId="80539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9A"/>
    <w:rsid w:val="000144C3"/>
    <w:rsid w:val="00017D4E"/>
    <w:rsid w:val="000225D4"/>
    <w:rsid w:val="00025332"/>
    <w:rsid w:val="0003300E"/>
    <w:rsid w:val="000377A6"/>
    <w:rsid w:val="000403B3"/>
    <w:rsid w:val="00040B2D"/>
    <w:rsid w:val="00043177"/>
    <w:rsid w:val="00062611"/>
    <w:rsid w:val="00062A61"/>
    <w:rsid w:val="00062E81"/>
    <w:rsid w:val="00065EE9"/>
    <w:rsid w:val="00066AB9"/>
    <w:rsid w:val="00070AD2"/>
    <w:rsid w:val="00071082"/>
    <w:rsid w:val="0009164F"/>
    <w:rsid w:val="000A14E7"/>
    <w:rsid w:val="000A3FEC"/>
    <w:rsid w:val="000A4692"/>
    <w:rsid w:val="000B1F4E"/>
    <w:rsid w:val="000B4B78"/>
    <w:rsid w:val="000B5443"/>
    <w:rsid w:val="000B6223"/>
    <w:rsid w:val="000C2A31"/>
    <w:rsid w:val="000D44FD"/>
    <w:rsid w:val="000D4C41"/>
    <w:rsid w:val="000D7705"/>
    <w:rsid w:val="000E05D5"/>
    <w:rsid w:val="000E769B"/>
    <w:rsid w:val="000F120B"/>
    <w:rsid w:val="000F1B85"/>
    <w:rsid w:val="000F7245"/>
    <w:rsid w:val="000F7797"/>
    <w:rsid w:val="00101144"/>
    <w:rsid w:val="00104057"/>
    <w:rsid w:val="00116116"/>
    <w:rsid w:val="00130BD0"/>
    <w:rsid w:val="00131899"/>
    <w:rsid w:val="0013256E"/>
    <w:rsid w:val="00133E21"/>
    <w:rsid w:val="00134C6D"/>
    <w:rsid w:val="00136D6D"/>
    <w:rsid w:val="00143950"/>
    <w:rsid w:val="00145CA5"/>
    <w:rsid w:val="00146671"/>
    <w:rsid w:val="00151115"/>
    <w:rsid w:val="001522E8"/>
    <w:rsid w:val="00154CFB"/>
    <w:rsid w:val="001565DB"/>
    <w:rsid w:val="0015794E"/>
    <w:rsid w:val="00160459"/>
    <w:rsid w:val="001651F7"/>
    <w:rsid w:val="00167BC1"/>
    <w:rsid w:val="00170C7B"/>
    <w:rsid w:val="00170E4F"/>
    <w:rsid w:val="0017272A"/>
    <w:rsid w:val="00172E39"/>
    <w:rsid w:val="0017486E"/>
    <w:rsid w:val="00175B41"/>
    <w:rsid w:val="001944AB"/>
    <w:rsid w:val="001A1CD0"/>
    <w:rsid w:val="001A40A7"/>
    <w:rsid w:val="001A5B56"/>
    <w:rsid w:val="001B33E8"/>
    <w:rsid w:val="001B49EC"/>
    <w:rsid w:val="001C00CC"/>
    <w:rsid w:val="001C0BC5"/>
    <w:rsid w:val="001C1C37"/>
    <w:rsid w:val="001D0511"/>
    <w:rsid w:val="001D12AC"/>
    <w:rsid w:val="001D2E3F"/>
    <w:rsid w:val="001E7C8E"/>
    <w:rsid w:val="001F1C26"/>
    <w:rsid w:val="001F33FC"/>
    <w:rsid w:val="001F3BC0"/>
    <w:rsid w:val="001F48D8"/>
    <w:rsid w:val="0020300A"/>
    <w:rsid w:val="002039AA"/>
    <w:rsid w:val="002060BE"/>
    <w:rsid w:val="00216477"/>
    <w:rsid w:val="002235FE"/>
    <w:rsid w:val="002236AC"/>
    <w:rsid w:val="00224A76"/>
    <w:rsid w:val="002305B0"/>
    <w:rsid w:val="00233796"/>
    <w:rsid w:val="00235814"/>
    <w:rsid w:val="002371E6"/>
    <w:rsid w:val="00243B2E"/>
    <w:rsid w:val="00246D16"/>
    <w:rsid w:val="002471C0"/>
    <w:rsid w:val="0025637B"/>
    <w:rsid w:val="0026271B"/>
    <w:rsid w:val="0026700E"/>
    <w:rsid w:val="00270131"/>
    <w:rsid w:val="00273875"/>
    <w:rsid w:val="002752DA"/>
    <w:rsid w:val="00275C8D"/>
    <w:rsid w:val="002774B4"/>
    <w:rsid w:val="0028158F"/>
    <w:rsid w:val="00291106"/>
    <w:rsid w:val="002A306C"/>
    <w:rsid w:val="002A5386"/>
    <w:rsid w:val="002A5ACF"/>
    <w:rsid w:val="002A6C28"/>
    <w:rsid w:val="002B07F7"/>
    <w:rsid w:val="002C5C25"/>
    <w:rsid w:val="002C68EF"/>
    <w:rsid w:val="002C6916"/>
    <w:rsid w:val="002D019D"/>
    <w:rsid w:val="002D175B"/>
    <w:rsid w:val="002D3064"/>
    <w:rsid w:val="002D574B"/>
    <w:rsid w:val="002D5DE0"/>
    <w:rsid w:val="002E3FBB"/>
    <w:rsid w:val="002F0A67"/>
    <w:rsid w:val="00303CFA"/>
    <w:rsid w:val="003043D2"/>
    <w:rsid w:val="003051B6"/>
    <w:rsid w:val="00311667"/>
    <w:rsid w:val="003127C9"/>
    <w:rsid w:val="00320C3A"/>
    <w:rsid w:val="003264BB"/>
    <w:rsid w:val="00326DEE"/>
    <w:rsid w:val="00327B00"/>
    <w:rsid w:val="00340D6A"/>
    <w:rsid w:val="003539FC"/>
    <w:rsid w:val="00356BD0"/>
    <w:rsid w:val="00357B00"/>
    <w:rsid w:val="00361465"/>
    <w:rsid w:val="00370BBE"/>
    <w:rsid w:val="0037320A"/>
    <w:rsid w:val="003735A7"/>
    <w:rsid w:val="0037467C"/>
    <w:rsid w:val="00375C3D"/>
    <w:rsid w:val="003800CA"/>
    <w:rsid w:val="00380523"/>
    <w:rsid w:val="00382809"/>
    <w:rsid w:val="0038455A"/>
    <w:rsid w:val="00386F0F"/>
    <w:rsid w:val="00392786"/>
    <w:rsid w:val="00397133"/>
    <w:rsid w:val="003A154C"/>
    <w:rsid w:val="003A1C97"/>
    <w:rsid w:val="003A2237"/>
    <w:rsid w:val="003A44B4"/>
    <w:rsid w:val="003A6773"/>
    <w:rsid w:val="003B3594"/>
    <w:rsid w:val="003B6393"/>
    <w:rsid w:val="003C0592"/>
    <w:rsid w:val="003C24C9"/>
    <w:rsid w:val="003C5A25"/>
    <w:rsid w:val="003C7565"/>
    <w:rsid w:val="003D5404"/>
    <w:rsid w:val="003D6ED7"/>
    <w:rsid w:val="003E0946"/>
    <w:rsid w:val="003E211A"/>
    <w:rsid w:val="003E3BE4"/>
    <w:rsid w:val="003E53D6"/>
    <w:rsid w:val="003F3B0A"/>
    <w:rsid w:val="003F7848"/>
    <w:rsid w:val="004043B8"/>
    <w:rsid w:val="00407073"/>
    <w:rsid w:val="00410158"/>
    <w:rsid w:val="0041111B"/>
    <w:rsid w:val="004128F8"/>
    <w:rsid w:val="004132FF"/>
    <w:rsid w:val="00424F39"/>
    <w:rsid w:val="00430265"/>
    <w:rsid w:val="0043191C"/>
    <w:rsid w:val="00435B95"/>
    <w:rsid w:val="00435BEC"/>
    <w:rsid w:val="00435D5D"/>
    <w:rsid w:val="00445C5C"/>
    <w:rsid w:val="00452ADB"/>
    <w:rsid w:val="00465044"/>
    <w:rsid w:val="00467540"/>
    <w:rsid w:val="00477A94"/>
    <w:rsid w:val="004816F4"/>
    <w:rsid w:val="004922C8"/>
    <w:rsid w:val="00493F41"/>
    <w:rsid w:val="00496192"/>
    <w:rsid w:val="004A0E7E"/>
    <w:rsid w:val="004A2060"/>
    <w:rsid w:val="004A3806"/>
    <w:rsid w:val="004A56DD"/>
    <w:rsid w:val="004B1077"/>
    <w:rsid w:val="004C184D"/>
    <w:rsid w:val="004C43B8"/>
    <w:rsid w:val="004C4833"/>
    <w:rsid w:val="004C4EB4"/>
    <w:rsid w:val="004C7100"/>
    <w:rsid w:val="004D2BBE"/>
    <w:rsid w:val="004D4464"/>
    <w:rsid w:val="004D5E49"/>
    <w:rsid w:val="004D71A7"/>
    <w:rsid w:val="004E5A77"/>
    <w:rsid w:val="004E5CCD"/>
    <w:rsid w:val="004E72D3"/>
    <w:rsid w:val="004F2851"/>
    <w:rsid w:val="004F3E60"/>
    <w:rsid w:val="004F4DA4"/>
    <w:rsid w:val="004F7CD9"/>
    <w:rsid w:val="00501437"/>
    <w:rsid w:val="00502B2C"/>
    <w:rsid w:val="00503EE5"/>
    <w:rsid w:val="00504799"/>
    <w:rsid w:val="00510AF2"/>
    <w:rsid w:val="00513BED"/>
    <w:rsid w:val="00516D66"/>
    <w:rsid w:val="00524E8D"/>
    <w:rsid w:val="00525351"/>
    <w:rsid w:val="00525551"/>
    <w:rsid w:val="00526C75"/>
    <w:rsid w:val="00526CC0"/>
    <w:rsid w:val="00531011"/>
    <w:rsid w:val="00542D70"/>
    <w:rsid w:val="00544A21"/>
    <w:rsid w:val="00556359"/>
    <w:rsid w:val="00557F33"/>
    <w:rsid w:val="00560114"/>
    <w:rsid w:val="005654FC"/>
    <w:rsid w:val="00572341"/>
    <w:rsid w:val="00575DCD"/>
    <w:rsid w:val="005764EA"/>
    <w:rsid w:val="0057775F"/>
    <w:rsid w:val="005808D6"/>
    <w:rsid w:val="00580ED5"/>
    <w:rsid w:val="005839C2"/>
    <w:rsid w:val="005869BA"/>
    <w:rsid w:val="0059176C"/>
    <w:rsid w:val="00593F0F"/>
    <w:rsid w:val="00594471"/>
    <w:rsid w:val="00597F6A"/>
    <w:rsid w:val="005A22F4"/>
    <w:rsid w:val="005B04EB"/>
    <w:rsid w:val="005B1803"/>
    <w:rsid w:val="005B6750"/>
    <w:rsid w:val="005C1B2B"/>
    <w:rsid w:val="005E1306"/>
    <w:rsid w:val="005E237F"/>
    <w:rsid w:val="005E5B05"/>
    <w:rsid w:val="005E7052"/>
    <w:rsid w:val="005F24D4"/>
    <w:rsid w:val="005F2FEA"/>
    <w:rsid w:val="005F3057"/>
    <w:rsid w:val="005F318E"/>
    <w:rsid w:val="005F7246"/>
    <w:rsid w:val="005F7B29"/>
    <w:rsid w:val="005F7B7F"/>
    <w:rsid w:val="00600EC8"/>
    <w:rsid w:val="006018F3"/>
    <w:rsid w:val="00601A55"/>
    <w:rsid w:val="00601E3C"/>
    <w:rsid w:val="006067B3"/>
    <w:rsid w:val="0060699E"/>
    <w:rsid w:val="00611988"/>
    <w:rsid w:val="00614B12"/>
    <w:rsid w:val="006153A3"/>
    <w:rsid w:val="00622E7C"/>
    <w:rsid w:val="00623B62"/>
    <w:rsid w:val="006243A7"/>
    <w:rsid w:val="00627A31"/>
    <w:rsid w:val="00631206"/>
    <w:rsid w:val="00634A80"/>
    <w:rsid w:val="00636D00"/>
    <w:rsid w:val="00651063"/>
    <w:rsid w:val="006518DB"/>
    <w:rsid w:val="00661405"/>
    <w:rsid w:val="00664B24"/>
    <w:rsid w:val="006707F0"/>
    <w:rsid w:val="00683499"/>
    <w:rsid w:val="006857D3"/>
    <w:rsid w:val="00686A6C"/>
    <w:rsid w:val="00690891"/>
    <w:rsid w:val="00691F8F"/>
    <w:rsid w:val="006936F6"/>
    <w:rsid w:val="0069694F"/>
    <w:rsid w:val="006A070D"/>
    <w:rsid w:val="006A0BBD"/>
    <w:rsid w:val="006A1E4E"/>
    <w:rsid w:val="006A4411"/>
    <w:rsid w:val="006B3C6A"/>
    <w:rsid w:val="006C4CE8"/>
    <w:rsid w:val="006D086E"/>
    <w:rsid w:val="006E67BF"/>
    <w:rsid w:val="006F0A7D"/>
    <w:rsid w:val="006F159F"/>
    <w:rsid w:val="006F248D"/>
    <w:rsid w:val="006F36A2"/>
    <w:rsid w:val="006F5926"/>
    <w:rsid w:val="00700091"/>
    <w:rsid w:val="007062EE"/>
    <w:rsid w:val="00710B5A"/>
    <w:rsid w:val="007134AC"/>
    <w:rsid w:val="007137FD"/>
    <w:rsid w:val="0072540E"/>
    <w:rsid w:val="007259DD"/>
    <w:rsid w:val="00726098"/>
    <w:rsid w:val="007331BD"/>
    <w:rsid w:val="0075075A"/>
    <w:rsid w:val="00754D2B"/>
    <w:rsid w:val="00756299"/>
    <w:rsid w:val="00760BB1"/>
    <w:rsid w:val="00761BA6"/>
    <w:rsid w:val="00762B5D"/>
    <w:rsid w:val="00764302"/>
    <w:rsid w:val="0077029F"/>
    <w:rsid w:val="00776AD6"/>
    <w:rsid w:val="0079434D"/>
    <w:rsid w:val="00795B34"/>
    <w:rsid w:val="007962E1"/>
    <w:rsid w:val="00796D7C"/>
    <w:rsid w:val="007A7811"/>
    <w:rsid w:val="007B2DD1"/>
    <w:rsid w:val="007B32E7"/>
    <w:rsid w:val="007B38C6"/>
    <w:rsid w:val="007B39F7"/>
    <w:rsid w:val="007B5FC1"/>
    <w:rsid w:val="007B7D27"/>
    <w:rsid w:val="007C2267"/>
    <w:rsid w:val="007C2835"/>
    <w:rsid w:val="007C307D"/>
    <w:rsid w:val="007D649A"/>
    <w:rsid w:val="007D7F06"/>
    <w:rsid w:val="007E2137"/>
    <w:rsid w:val="007E2662"/>
    <w:rsid w:val="007E288D"/>
    <w:rsid w:val="007E6437"/>
    <w:rsid w:val="007E7BC4"/>
    <w:rsid w:val="008032EC"/>
    <w:rsid w:val="0080483E"/>
    <w:rsid w:val="00810D1D"/>
    <w:rsid w:val="008123D6"/>
    <w:rsid w:val="00814090"/>
    <w:rsid w:val="00817AB5"/>
    <w:rsid w:val="008205E6"/>
    <w:rsid w:val="0082264C"/>
    <w:rsid w:val="0083147D"/>
    <w:rsid w:val="00833761"/>
    <w:rsid w:val="008426E8"/>
    <w:rsid w:val="00846AAA"/>
    <w:rsid w:val="008504DE"/>
    <w:rsid w:val="0085323F"/>
    <w:rsid w:val="0086170E"/>
    <w:rsid w:val="00871F83"/>
    <w:rsid w:val="00876A9C"/>
    <w:rsid w:val="00880D54"/>
    <w:rsid w:val="008843B7"/>
    <w:rsid w:val="00884442"/>
    <w:rsid w:val="008857DD"/>
    <w:rsid w:val="00890DDB"/>
    <w:rsid w:val="008919C9"/>
    <w:rsid w:val="00892364"/>
    <w:rsid w:val="008A5780"/>
    <w:rsid w:val="008B13D1"/>
    <w:rsid w:val="008B49D2"/>
    <w:rsid w:val="008B7638"/>
    <w:rsid w:val="008C00BD"/>
    <w:rsid w:val="008C17AC"/>
    <w:rsid w:val="008D1B09"/>
    <w:rsid w:val="008D5F61"/>
    <w:rsid w:val="008D746C"/>
    <w:rsid w:val="008F4529"/>
    <w:rsid w:val="008F7ABD"/>
    <w:rsid w:val="00905710"/>
    <w:rsid w:val="00907DA6"/>
    <w:rsid w:val="00914278"/>
    <w:rsid w:val="00923C25"/>
    <w:rsid w:val="009257F4"/>
    <w:rsid w:val="00931000"/>
    <w:rsid w:val="009332B7"/>
    <w:rsid w:val="00934799"/>
    <w:rsid w:val="00934D30"/>
    <w:rsid w:val="009423F7"/>
    <w:rsid w:val="0094338F"/>
    <w:rsid w:val="009444DF"/>
    <w:rsid w:val="00952EEC"/>
    <w:rsid w:val="00955099"/>
    <w:rsid w:val="00957F38"/>
    <w:rsid w:val="0096415C"/>
    <w:rsid w:val="00965A82"/>
    <w:rsid w:val="00966557"/>
    <w:rsid w:val="0097310D"/>
    <w:rsid w:val="00975A31"/>
    <w:rsid w:val="009852A4"/>
    <w:rsid w:val="0099028D"/>
    <w:rsid w:val="00994F7C"/>
    <w:rsid w:val="00995849"/>
    <w:rsid w:val="00996CCE"/>
    <w:rsid w:val="00997008"/>
    <w:rsid w:val="009A2448"/>
    <w:rsid w:val="009A4707"/>
    <w:rsid w:val="009A49FD"/>
    <w:rsid w:val="009A593C"/>
    <w:rsid w:val="009B597D"/>
    <w:rsid w:val="009B7B69"/>
    <w:rsid w:val="009B7C94"/>
    <w:rsid w:val="009C01C3"/>
    <w:rsid w:val="009C1121"/>
    <w:rsid w:val="009C22BE"/>
    <w:rsid w:val="009C452F"/>
    <w:rsid w:val="009C7AE1"/>
    <w:rsid w:val="009D2BA0"/>
    <w:rsid w:val="009D2DEB"/>
    <w:rsid w:val="009D79DF"/>
    <w:rsid w:val="009E1D98"/>
    <w:rsid w:val="009E1DED"/>
    <w:rsid w:val="009E5197"/>
    <w:rsid w:val="009F44A5"/>
    <w:rsid w:val="009F598D"/>
    <w:rsid w:val="009F63CB"/>
    <w:rsid w:val="00A02961"/>
    <w:rsid w:val="00A0769F"/>
    <w:rsid w:val="00A12F74"/>
    <w:rsid w:val="00A145B6"/>
    <w:rsid w:val="00A14B56"/>
    <w:rsid w:val="00A165F6"/>
    <w:rsid w:val="00A221C3"/>
    <w:rsid w:val="00A332C4"/>
    <w:rsid w:val="00A33991"/>
    <w:rsid w:val="00A50E27"/>
    <w:rsid w:val="00A55E55"/>
    <w:rsid w:val="00A60820"/>
    <w:rsid w:val="00A60913"/>
    <w:rsid w:val="00A667A0"/>
    <w:rsid w:val="00A7239C"/>
    <w:rsid w:val="00A81A38"/>
    <w:rsid w:val="00A82FE0"/>
    <w:rsid w:val="00A832DF"/>
    <w:rsid w:val="00A865AD"/>
    <w:rsid w:val="00A87F19"/>
    <w:rsid w:val="00AA2883"/>
    <w:rsid w:val="00AA29C8"/>
    <w:rsid w:val="00AA5660"/>
    <w:rsid w:val="00AB3388"/>
    <w:rsid w:val="00AC4DCD"/>
    <w:rsid w:val="00AC72DB"/>
    <w:rsid w:val="00AD039E"/>
    <w:rsid w:val="00AD5AFE"/>
    <w:rsid w:val="00AD6587"/>
    <w:rsid w:val="00AE3B38"/>
    <w:rsid w:val="00AE3E02"/>
    <w:rsid w:val="00AE522E"/>
    <w:rsid w:val="00AF19EA"/>
    <w:rsid w:val="00AF2F22"/>
    <w:rsid w:val="00AF4EF8"/>
    <w:rsid w:val="00B0504B"/>
    <w:rsid w:val="00B15E30"/>
    <w:rsid w:val="00B1799A"/>
    <w:rsid w:val="00B20F85"/>
    <w:rsid w:val="00B2228D"/>
    <w:rsid w:val="00B22696"/>
    <w:rsid w:val="00B2319F"/>
    <w:rsid w:val="00B232EA"/>
    <w:rsid w:val="00B26C2A"/>
    <w:rsid w:val="00B3408D"/>
    <w:rsid w:val="00B355C2"/>
    <w:rsid w:val="00B424BF"/>
    <w:rsid w:val="00B438EF"/>
    <w:rsid w:val="00B44572"/>
    <w:rsid w:val="00B44640"/>
    <w:rsid w:val="00B50091"/>
    <w:rsid w:val="00B51A4B"/>
    <w:rsid w:val="00B53185"/>
    <w:rsid w:val="00B5646E"/>
    <w:rsid w:val="00B75385"/>
    <w:rsid w:val="00B802C4"/>
    <w:rsid w:val="00B83D6F"/>
    <w:rsid w:val="00B875AF"/>
    <w:rsid w:val="00B907D0"/>
    <w:rsid w:val="00B90843"/>
    <w:rsid w:val="00B91248"/>
    <w:rsid w:val="00BA0491"/>
    <w:rsid w:val="00BA209C"/>
    <w:rsid w:val="00BB06A9"/>
    <w:rsid w:val="00BB09E9"/>
    <w:rsid w:val="00BB5B37"/>
    <w:rsid w:val="00BC3273"/>
    <w:rsid w:val="00BC7F49"/>
    <w:rsid w:val="00BD0FB4"/>
    <w:rsid w:val="00BD48BF"/>
    <w:rsid w:val="00BD50B4"/>
    <w:rsid w:val="00BD62C1"/>
    <w:rsid w:val="00BD7828"/>
    <w:rsid w:val="00BE4BF2"/>
    <w:rsid w:val="00BE771A"/>
    <w:rsid w:val="00BF27A6"/>
    <w:rsid w:val="00BF6FD0"/>
    <w:rsid w:val="00BF755D"/>
    <w:rsid w:val="00BF7D0F"/>
    <w:rsid w:val="00C0499E"/>
    <w:rsid w:val="00C072FA"/>
    <w:rsid w:val="00C23901"/>
    <w:rsid w:val="00C27594"/>
    <w:rsid w:val="00C315A9"/>
    <w:rsid w:val="00C32FD4"/>
    <w:rsid w:val="00C35B6E"/>
    <w:rsid w:val="00C447BE"/>
    <w:rsid w:val="00C45328"/>
    <w:rsid w:val="00C57F41"/>
    <w:rsid w:val="00C6051C"/>
    <w:rsid w:val="00C632C6"/>
    <w:rsid w:val="00C7288C"/>
    <w:rsid w:val="00C757B1"/>
    <w:rsid w:val="00C76A82"/>
    <w:rsid w:val="00C77E9F"/>
    <w:rsid w:val="00C81D7D"/>
    <w:rsid w:val="00C82A8E"/>
    <w:rsid w:val="00C8365E"/>
    <w:rsid w:val="00C83CBE"/>
    <w:rsid w:val="00C84EED"/>
    <w:rsid w:val="00C8688F"/>
    <w:rsid w:val="00C937E4"/>
    <w:rsid w:val="00CA44E9"/>
    <w:rsid w:val="00CB2AF7"/>
    <w:rsid w:val="00CB4542"/>
    <w:rsid w:val="00CB4D00"/>
    <w:rsid w:val="00CC1203"/>
    <w:rsid w:val="00CC1A93"/>
    <w:rsid w:val="00CC3AC2"/>
    <w:rsid w:val="00CC3B01"/>
    <w:rsid w:val="00CD5188"/>
    <w:rsid w:val="00CE4C4B"/>
    <w:rsid w:val="00CE7626"/>
    <w:rsid w:val="00CF0690"/>
    <w:rsid w:val="00D01C7E"/>
    <w:rsid w:val="00D06734"/>
    <w:rsid w:val="00D07712"/>
    <w:rsid w:val="00D12C9C"/>
    <w:rsid w:val="00D131CA"/>
    <w:rsid w:val="00D20DAC"/>
    <w:rsid w:val="00D2134E"/>
    <w:rsid w:val="00D21784"/>
    <w:rsid w:val="00D25536"/>
    <w:rsid w:val="00D25A7E"/>
    <w:rsid w:val="00D52EF2"/>
    <w:rsid w:val="00D547B9"/>
    <w:rsid w:val="00D60ECC"/>
    <w:rsid w:val="00D62067"/>
    <w:rsid w:val="00D65C36"/>
    <w:rsid w:val="00D7071B"/>
    <w:rsid w:val="00D728DB"/>
    <w:rsid w:val="00D73A82"/>
    <w:rsid w:val="00D75AC6"/>
    <w:rsid w:val="00D81FB7"/>
    <w:rsid w:val="00D8238B"/>
    <w:rsid w:val="00D848F8"/>
    <w:rsid w:val="00D86A1D"/>
    <w:rsid w:val="00D87692"/>
    <w:rsid w:val="00D94DD8"/>
    <w:rsid w:val="00DA0DA5"/>
    <w:rsid w:val="00DA132C"/>
    <w:rsid w:val="00DA29F0"/>
    <w:rsid w:val="00DA77D7"/>
    <w:rsid w:val="00DB766D"/>
    <w:rsid w:val="00DC72C2"/>
    <w:rsid w:val="00DD1CAC"/>
    <w:rsid w:val="00DD248D"/>
    <w:rsid w:val="00DD75F9"/>
    <w:rsid w:val="00DE416D"/>
    <w:rsid w:val="00DE4DF0"/>
    <w:rsid w:val="00DE54AC"/>
    <w:rsid w:val="00DE6C82"/>
    <w:rsid w:val="00DF1E98"/>
    <w:rsid w:val="00DF36EE"/>
    <w:rsid w:val="00DF3713"/>
    <w:rsid w:val="00DF42A6"/>
    <w:rsid w:val="00E0629C"/>
    <w:rsid w:val="00E10857"/>
    <w:rsid w:val="00E127A3"/>
    <w:rsid w:val="00E1636B"/>
    <w:rsid w:val="00E17C59"/>
    <w:rsid w:val="00E21CEB"/>
    <w:rsid w:val="00E3130C"/>
    <w:rsid w:val="00E33E79"/>
    <w:rsid w:val="00E36817"/>
    <w:rsid w:val="00E37742"/>
    <w:rsid w:val="00E4061E"/>
    <w:rsid w:val="00E41753"/>
    <w:rsid w:val="00E46381"/>
    <w:rsid w:val="00E51142"/>
    <w:rsid w:val="00E519C1"/>
    <w:rsid w:val="00E531EC"/>
    <w:rsid w:val="00E60975"/>
    <w:rsid w:val="00E6110F"/>
    <w:rsid w:val="00E62476"/>
    <w:rsid w:val="00E67A2A"/>
    <w:rsid w:val="00E741A8"/>
    <w:rsid w:val="00E80DB1"/>
    <w:rsid w:val="00E81429"/>
    <w:rsid w:val="00E913F6"/>
    <w:rsid w:val="00E92E04"/>
    <w:rsid w:val="00E94766"/>
    <w:rsid w:val="00E94950"/>
    <w:rsid w:val="00E96B10"/>
    <w:rsid w:val="00EA0C95"/>
    <w:rsid w:val="00EB0CA2"/>
    <w:rsid w:val="00EB30F5"/>
    <w:rsid w:val="00EB76B4"/>
    <w:rsid w:val="00EB7A08"/>
    <w:rsid w:val="00EB7E71"/>
    <w:rsid w:val="00EC0F72"/>
    <w:rsid w:val="00EC56EB"/>
    <w:rsid w:val="00EC5CF1"/>
    <w:rsid w:val="00EC76F5"/>
    <w:rsid w:val="00EE2BDD"/>
    <w:rsid w:val="00EE3BF2"/>
    <w:rsid w:val="00EF0CC0"/>
    <w:rsid w:val="00EF2A0E"/>
    <w:rsid w:val="00EF46B9"/>
    <w:rsid w:val="00EF5CF5"/>
    <w:rsid w:val="00F0327A"/>
    <w:rsid w:val="00F03835"/>
    <w:rsid w:val="00F05864"/>
    <w:rsid w:val="00F103B1"/>
    <w:rsid w:val="00F10CEF"/>
    <w:rsid w:val="00F14564"/>
    <w:rsid w:val="00F17218"/>
    <w:rsid w:val="00F207BE"/>
    <w:rsid w:val="00F23EE7"/>
    <w:rsid w:val="00F30B14"/>
    <w:rsid w:val="00F32C9C"/>
    <w:rsid w:val="00F34D4E"/>
    <w:rsid w:val="00F60345"/>
    <w:rsid w:val="00F614D6"/>
    <w:rsid w:val="00F626DC"/>
    <w:rsid w:val="00F63075"/>
    <w:rsid w:val="00F70587"/>
    <w:rsid w:val="00F70791"/>
    <w:rsid w:val="00F7491E"/>
    <w:rsid w:val="00F758D7"/>
    <w:rsid w:val="00F7622D"/>
    <w:rsid w:val="00F77C6E"/>
    <w:rsid w:val="00F80DD7"/>
    <w:rsid w:val="00F83700"/>
    <w:rsid w:val="00F838CA"/>
    <w:rsid w:val="00F874A2"/>
    <w:rsid w:val="00F87A23"/>
    <w:rsid w:val="00F95968"/>
    <w:rsid w:val="00FA0A07"/>
    <w:rsid w:val="00FA1A05"/>
    <w:rsid w:val="00FB10C1"/>
    <w:rsid w:val="00FC2839"/>
    <w:rsid w:val="00FD63F3"/>
    <w:rsid w:val="00FE4533"/>
    <w:rsid w:val="00FE5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088778"/>
  <w15:chartTrackingRefBased/>
  <w15:docId w15:val="{D4494DA1-1E85-F941-9228-76232A45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179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9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9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79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9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9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9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9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9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79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9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9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79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79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79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79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79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79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79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7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9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7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99A"/>
    <w:pPr>
      <w:spacing w:before="160" w:after="160"/>
      <w:jc w:val="center"/>
    </w:pPr>
    <w:rPr>
      <w:i/>
      <w:iCs/>
      <w:color w:val="404040" w:themeColor="text1" w:themeTint="BF"/>
    </w:rPr>
  </w:style>
  <w:style w:type="character" w:customStyle="1" w:styleId="a8">
    <w:name w:val="引用文 (文字)"/>
    <w:basedOn w:val="a0"/>
    <w:link w:val="a7"/>
    <w:uiPriority w:val="29"/>
    <w:rsid w:val="00B1799A"/>
    <w:rPr>
      <w:i/>
      <w:iCs/>
      <w:color w:val="404040" w:themeColor="text1" w:themeTint="BF"/>
    </w:rPr>
  </w:style>
  <w:style w:type="paragraph" w:styleId="a9">
    <w:name w:val="List Paragraph"/>
    <w:basedOn w:val="a"/>
    <w:uiPriority w:val="34"/>
    <w:qFormat/>
    <w:rsid w:val="00B1799A"/>
    <w:pPr>
      <w:ind w:left="720"/>
      <w:contextualSpacing/>
    </w:pPr>
  </w:style>
  <w:style w:type="character" w:styleId="21">
    <w:name w:val="Intense Emphasis"/>
    <w:basedOn w:val="a0"/>
    <w:uiPriority w:val="21"/>
    <w:qFormat/>
    <w:rsid w:val="00B1799A"/>
    <w:rPr>
      <w:i/>
      <w:iCs/>
      <w:color w:val="0F4761" w:themeColor="accent1" w:themeShade="BF"/>
    </w:rPr>
  </w:style>
  <w:style w:type="paragraph" w:styleId="22">
    <w:name w:val="Intense Quote"/>
    <w:basedOn w:val="a"/>
    <w:next w:val="a"/>
    <w:link w:val="23"/>
    <w:uiPriority w:val="30"/>
    <w:qFormat/>
    <w:rsid w:val="00B17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799A"/>
    <w:rPr>
      <w:i/>
      <w:iCs/>
      <w:color w:val="0F4761" w:themeColor="accent1" w:themeShade="BF"/>
    </w:rPr>
  </w:style>
  <w:style w:type="character" w:styleId="24">
    <w:name w:val="Intense Reference"/>
    <w:basedOn w:val="a0"/>
    <w:uiPriority w:val="32"/>
    <w:qFormat/>
    <w:rsid w:val="00B17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2026-02-15T01:26:00Z</dcterms:created>
  <dcterms:modified xsi:type="dcterms:W3CDTF">2026-02-15T01:32:00Z</dcterms:modified>
</cp:coreProperties>
</file>