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D038E" w14:textId="77777777" w:rsidR="008F5278" w:rsidRDefault="008F5278" w:rsidP="008F5278">
      <w:pPr>
        <w:spacing w:line="360" w:lineRule="auto"/>
        <w:rPr>
          <w:rFonts w:ascii="Helvetica" w:eastAsia="Times New Roman" w:hAnsi="Helvetica" w:cs="Times New Roman"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 xml:space="preserve">Supplement Figure </w:t>
      </w:r>
      <w:r>
        <w:rPr>
          <w:rFonts w:ascii="Helvetica" w:eastAsia="Times New Roman" w:hAnsi="Helvetica" w:cs="Times New Roman"/>
          <w:b/>
          <w:bCs/>
          <w:sz w:val="22"/>
          <w:szCs w:val="22"/>
        </w:rPr>
        <w:t>7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: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ED51B8">
        <w:rPr>
          <w:rFonts w:ascii="Helvetica" w:eastAsia="Times New Roman" w:hAnsi="Helvetica" w:cs="Times New Roman"/>
          <w:b/>
          <w:bCs/>
          <w:sz w:val="22"/>
          <w:szCs w:val="22"/>
        </w:rPr>
        <w:t>A time course of endoderm gene induction in reprogrammed muscle cells.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</w:p>
    <w:p w14:paraId="1FBE5906" w14:textId="77777777" w:rsidR="008F5278" w:rsidRPr="00CE6943" w:rsidRDefault="008F5278" w:rsidP="008F5278">
      <w:pPr>
        <w:spacing w:line="360" w:lineRule="auto"/>
        <w:jc w:val="both"/>
        <w:rPr>
          <w:rFonts w:ascii="Helvetica" w:eastAsia="Times New Roman" w:hAnsi="Helvetica" w:cs="Times New Roman"/>
          <w:sz w:val="22"/>
          <w:szCs w:val="22"/>
        </w:rPr>
      </w:pP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(A-F)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Whole mount </w:t>
      </w:r>
      <w:r w:rsidRPr="00CE6943">
        <w:rPr>
          <w:rFonts w:ascii="Helvetica" w:eastAsia="Times New Roman" w:hAnsi="Helvetica" w:cs="Times New Roman"/>
          <w:i/>
          <w:sz w:val="22"/>
          <w:szCs w:val="22"/>
        </w:rPr>
        <w:t>in situ hybridization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of 28hpf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(left column)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, 48hpf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(middle column)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and 72hpf zebrafish embryos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(right column)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injected with either the muscle specific control construct </w:t>
      </w:r>
      <w:proofErr w:type="spellStart"/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mylpfa:mCherry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(control; A, C, E)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or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mylpfa:Oct4-P2A-mCherry-P2A-sox32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(B, D, F)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. Compared to </w:t>
      </w:r>
      <w:proofErr w:type="spellStart"/>
      <w:proofErr w:type="gramStart"/>
      <w:r w:rsidRPr="00CE6943">
        <w:rPr>
          <w:rFonts w:ascii="Helvetica" w:eastAsia="Times New Roman" w:hAnsi="Helvetica" w:cs="Times New Roman"/>
          <w:sz w:val="22"/>
          <w:szCs w:val="22"/>
        </w:rPr>
        <w:t>mylpfa:mCherry</w:t>
      </w:r>
      <w:proofErr w:type="spellEnd"/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controls 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>(A)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, ectopic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sox17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expression (purple)can be detected within the myotomes at 28hpf, but is not detected at 48hpf or 72hpf 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>(arrows; B)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.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(C-D)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Embryos were probed for ectopic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foxa2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expression (purple) which is not detected outside its endogenous domain in control samples 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>(C)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but is detected in the trunk region at 28hpf, 48hpf and 72hpf following </w:t>
      </w:r>
      <w:proofErr w:type="spellStart"/>
      <w:r w:rsidRPr="00CE6943">
        <w:rPr>
          <w:rFonts w:ascii="Helvetica" w:eastAsia="Times New Roman" w:hAnsi="Helvetica" w:cs="Times New Roman"/>
          <w:sz w:val="22"/>
          <w:szCs w:val="22"/>
        </w:rPr>
        <w:t>coexpression</w:t>
      </w:r>
      <w:proofErr w:type="spell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of Oct4 and sox32. </w:t>
      </w:r>
      <w:r w:rsidRPr="00CE6943">
        <w:rPr>
          <w:rFonts w:ascii="Helvetica" w:eastAsia="Times New Roman" w:hAnsi="Helvetica" w:cs="Times New Roman"/>
          <w:b/>
          <w:bCs/>
          <w:sz w:val="22"/>
          <w:szCs w:val="22"/>
        </w:rPr>
        <w:t>(E-F)</w:t>
      </w:r>
      <w:r w:rsidRPr="00CE6943">
        <w:rPr>
          <w:rFonts w:ascii="Helvetica" w:eastAsia="Times New Roman" w:hAnsi="Helvetica" w:cs="Times New Roman"/>
          <w:bCs/>
          <w:sz w:val="22"/>
          <w:szCs w:val="22"/>
        </w:rPr>
        <w:t xml:space="preserve"> In </w:t>
      </w:r>
      <w:proofErr w:type="spellStart"/>
      <w:proofErr w:type="gramStart"/>
      <w:r w:rsidRPr="00CE6943">
        <w:rPr>
          <w:rFonts w:ascii="Helvetica" w:eastAsia="Times New Roman" w:hAnsi="Helvetica" w:cs="Times New Roman"/>
          <w:sz w:val="22"/>
          <w:szCs w:val="22"/>
        </w:rPr>
        <w:t>mylpfa:mCherry</w:t>
      </w:r>
      <w:proofErr w:type="spellEnd"/>
      <w:proofErr w:type="gramEnd"/>
      <w:r w:rsidRPr="00CE6943">
        <w:rPr>
          <w:rFonts w:ascii="Helvetica" w:eastAsia="Times New Roman" w:hAnsi="Helvetica" w:cs="Times New Roman"/>
          <w:sz w:val="22"/>
          <w:szCs w:val="22"/>
        </w:rPr>
        <w:t xml:space="preserve"> injected controls, </w:t>
      </w:r>
      <w:r w:rsidRPr="00CE6943">
        <w:rPr>
          <w:rFonts w:ascii="Helvetica" w:eastAsia="Times New Roman" w:hAnsi="Helvetica" w:cs="Times New Roman"/>
          <w:i/>
          <w:sz w:val="22"/>
          <w:szCs w:val="22"/>
        </w:rPr>
        <w:t xml:space="preserve">cdx 4 </w:t>
      </w:r>
      <w:r w:rsidRPr="00CE6943">
        <w:rPr>
          <w:rFonts w:ascii="Helvetica" w:eastAsia="Times New Roman" w:hAnsi="Helvetica" w:cs="Times New Roman"/>
          <w:sz w:val="22"/>
          <w:szCs w:val="22"/>
        </w:rPr>
        <w:t>expression</w:t>
      </w:r>
      <w:r w:rsidRPr="00CE6943">
        <w:rPr>
          <w:rFonts w:ascii="Helvetica" w:eastAsia="Times New Roman" w:hAnsi="Helvetica" w:cs="Times New Roman"/>
          <w:i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sz w:val="22"/>
          <w:szCs w:val="22"/>
        </w:rPr>
        <w:t>(purple)</w:t>
      </w:r>
      <w:r w:rsidRPr="00CE6943">
        <w:rPr>
          <w:rFonts w:ascii="Helvetica" w:eastAsia="Times New Roman" w:hAnsi="Helvetica" w:cs="Times New Roman"/>
          <w:i/>
          <w:sz w:val="22"/>
          <w:szCs w:val="22"/>
        </w:rPr>
        <w:t xml:space="preserve"> 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is never detected outside its endogenous domain </w:t>
      </w:r>
      <w:r w:rsidRPr="00CE6943">
        <w:rPr>
          <w:rFonts w:ascii="Helvetica" w:eastAsia="Times New Roman" w:hAnsi="Helvetica" w:cs="Times New Roman"/>
          <w:b/>
          <w:sz w:val="22"/>
          <w:szCs w:val="22"/>
        </w:rPr>
        <w:t>(E)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but in experimental embryos, ectopic </w:t>
      </w:r>
      <w:r w:rsidRPr="00CE6943">
        <w:rPr>
          <w:rFonts w:ascii="Helvetica" w:eastAsia="Times New Roman" w:hAnsi="Helvetica" w:cs="Times New Roman"/>
          <w:i/>
          <w:iCs/>
          <w:sz w:val="22"/>
          <w:szCs w:val="22"/>
        </w:rPr>
        <w:t>cdx4</w:t>
      </w:r>
      <w:r w:rsidRPr="00CE6943">
        <w:rPr>
          <w:rFonts w:ascii="Helvetica" w:eastAsia="Times New Roman" w:hAnsi="Helvetica" w:cs="Times New Roman"/>
          <w:sz w:val="22"/>
          <w:szCs w:val="22"/>
        </w:rPr>
        <w:t xml:space="preserve"> expression can be observed within the myotomes at 48hpf but it is not detected at 28hpf or 72hpf. </w:t>
      </w:r>
    </w:p>
    <w:p w14:paraId="039492B3" w14:textId="77777777" w:rsidR="008F5278" w:rsidRDefault="008F5278"/>
    <w:sectPr w:rsidR="008F52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78"/>
    <w:rsid w:val="008F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C9DE8"/>
  <w15:chartTrackingRefBased/>
  <w15:docId w15:val="{9073306A-EC64-BC42-AE07-4F7DAD2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</dc:creator>
  <cp:keywords/>
  <dc:description/>
  <cp:lastModifiedBy>Joseph</cp:lastModifiedBy>
  <cp:revision>1</cp:revision>
  <dcterms:created xsi:type="dcterms:W3CDTF">2020-10-09T21:38:00Z</dcterms:created>
  <dcterms:modified xsi:type="dcterms:W3CDTF">2020-10-09T21:38:00Z</dcterms:modified>
</cp:coreProperties>
</file>