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85BDB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b/>
          <w:bCs/>
          <w:color w:val="36363D"/>
          <w:sz w:val="24"/>
          <w:szCs w:val="24"/>
        </w:rPr>
        <w:t>Appendix</w:t>
      </w:r>
      <w:r>
        <w:rPr>
          <w:color w:val="36363D"/>
          <w:sz w:val="24"/>
          <w:szCs w:val="24"/>
        </w:rPr>
        <w:t xml:space="preserve"> </w:t>
      </w:r>
    </w:p>
    <w:p w14:paraId="0F38CF3B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Mathematical Derivation of the Exponential Genomic–Climate Transmission Model</w:t>
      </w:r>
    </w:p>
    <w:p w14:paraId="1172C8C7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1. Classical SEIR Model</w:t>
      </w:r>
    </w:p>
    <w:p w14:paraId="7B8D3290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We begin with the standard deterministic SEIR framework:</w:t>
      </w:r>
    </w:p>
    <w:p w14:paraId="72D9A7F5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7E10862" wp14:editId="5F0B581D">
            <wp:extent cx="1457302" cy="219071"/>
            <wp:effectExtent l="0" t="0" r="0" b="0"/>
            <wp:docPr id="1030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"/>
                    <pic:cNvPicPr/>
                  </pic:nvPicPr>
                  <pic:blipFill>
                    <a:blip r:embed="rId4" cstate="print"/>
                    <a:srcRect/>
                    <a:stretch/>
                  </pic:blipFill>
                  <pic:spPr>
                    <a:xfrm>
                      <a:off x="0" y="0"/>
                      <a:ext cx="1457302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D66B4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140396F" wp14:editId="27E83C8E">
            <wp:extent cx="1666849" cy="219071"/>
            <wp:effectExtent l="0" t="0" r="0" b="0"/>
            <wp:docPr id="1031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1666849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9D53D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367D646" wp14:editId="1194083C">
            <wp:extent cx="1038209" cy="219071"/>
            <wp:effectExtent l="0" t="0" r="0" b="0"/>
            <wp:docPr id="1032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1038209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67ACC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70CA03D" wp14:editId="3A6C3813">
            <wp:extent cx="933435" cy="219071"/>
            <wp:effectExtent l="0" t="0" r="0" b="0"/>
            <wp:docPr id="1033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933435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1C4B2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Where:</w:t>
      </w:r>
    </w:p>
    <w:p w14:paraId="0AE39950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S(t) = susceptible population</w:t>
      </w:r>
    </w:p>
    <w:p w14:paraId="587D51D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E(t) = exposed individuals</w:t>
      </w:r>
    </w:p>
    <w:p w14:paraId="5AB8FB98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I(t) = infectious individuals</w:t>
      </w:r>
    </w:p>
    <w:p w14:paraId="0598DE4C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R(t) = recovered individuals</w:t>
      </w:r>
    </w:p>
    <w:p w14:paraId="5494C88C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N = total population</w:t>
      </w:r>
    </w:p>
    <w:p w14:paraId="6ADE92E0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σ⁻¹ = incubation period</w:t>
      </w:r>
    </w:p>
    <w:p w14:paraId="77B58A6A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γ⁻¹ = infectious period</w:t>
      </w:r>
    </w:p>
    <w:p w14:paraId="0A8C0C35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β = transmission rate</w:t>
      </w:r>
    </w:p>
    <w:p w14:paraId="39BCFEEF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In classical epidemic modeling, β is assumed constant. However, real epidemics show time-varying transmissibility driven by evolutionary and environmental forces.</w:t>
      </w:r>
    </w:p>
    <w:p w14:paraId="228CDAB6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2. Introducing Time-Varying Transmission</w:t>
      </w:r>
    </w:p>
    <w:p w14:paraId="10AF415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To incorporate genomic evolution and climate forcing, we define:</w:t>
      </w:r>
    </w:p>
    <w:p w14:paraId="2E69D26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β = β(t)</w:t>
      </w:r>
    </w:p>
    <w:p w14:paraId="2CB8F38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To ensure biological validity (β(t) &gt; 0), we adopt a log-linear structure.</w:t>
      </w:r>
    </w:p>
    <w:p w14:paraId="4E62B05F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3. Log-Linear Specification</w:t>
      </w:r>
    </w:p>
    <w:p w14:paraId="3B1506CD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lastRenderedPageBreak/>
        <w:t>We assume that genomic and climate effects act multiplicatively on baseline transmission.</w:t>
      </w:r>
    </w:p>
    <w:p w14:paraId="30B2BB98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Let :</w:t>
      </w:r>
    </w:p>
    <w:p w14:paraId="53D376E2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M(t) = cumulative genomic variation index</w:t>
      </w:r>
    </w:p>
    <w:p w14:paraId="72848C92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C(t) = composite climate forcing index</w:t>
      </w:r>
    </w:p>
    <w:p w14:paraId="6211C06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We specify :</w:t>
      </w:r>
    </w:p>
    <w:p w14:paraId="5E0E7FD6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4B00ABD" wp14:editId="5098ECB2">
            <wp:extent cx="2381213" cy="219071"/>
            <wp:effectExtent l="0" t="0" r="0" b="0"/>
            <wp:docPr id="1034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2381213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B27D4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Where :</w:t>
      </w:r>
    </w:p>
    <w:p w14:paraId="7743F037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β₀ = baseline transmission rate</w:t>
      </w:r>
    </w:p>
    <w:p w14:paraId="04636618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α = genomic effect coefficient</w:t>
      </w:r>
    </w:p>
    <w:p w14:paraId="745060C9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δ = climate effect coefficient</w:t>
      </w:r>
    </w:p>
    <w:p w14:paraId="4A9DF674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4. Exponential Form</w:t>
      </w:r>
    </w:p>
    <w:p w14:paraId="2904AEA9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Exponentiating both sides :</w:t>
      </w:r>
    </w:p>
    <w:p w14:paraId="33AD602A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5BD420E" wp14:editId="189BE150">
            <wp:extent cx="1990694" cy="219071"/>
            <wp:effectExtent l="0" t="0" r="0" b="0"/>
            <wp:docPr id="1035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1990694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EEBC6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This ensures :</w:t>
      </w:r>
    </w:p>
    <w:p w14:paraId="77B7CD77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• β(t) remains strictly positive</w:t>
      </w:r>
    </w:p>
    <w:p w14:paraId="61523375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• Effects scale multiplicatively</w:t>
      </w:r>
    </w:p>
    <w:p w14:paraId="298CF8A1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• Small genomic shifts may produce nonlinear epidemic acceleration</w:t>
      </w:r>
    </w:p>
    <w:p w14:paraId="202B0C4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5. Modified SEIR System</w:t>
      </w:r>
    </w:p>
    <w:p w14:paraId="2E821CAA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Substituting β(t) into the force of infection:</w:t>
      </w:r>
    </w:p>
    <w:p w14:paraId="509273AF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F1F85D1" wp14:editId="675D6EE7">
            <wp:extent cx="2743200" cy="201577"/>
            <wp:effectExtent l="0" t="0" r="0" b="0"/>
            <wp:docPr id="103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2743200" cy="201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CD6D2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67474CE" wp14:editId="3CB1B0FE">
            <wp:extent cx="2743200" cy="188339"/>
            <wp:effectExtent l="0" t="0" r="0" b="0"/>
            <wp:docPr id="103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"/>
                    <pic:cNvPicPr/>
                  </pic:nvPicPr>
                  <pic:blipFill>
                    <a:blip r:embed="rId11" cstate="print"/>
                    <a:srcRect/>
                    <a:stretch/>
                  </pic:blipFill>
                  <pic:spPr>
                    <a:xfrm>
                      <a:off x="0" y="0"/>
                      <a:ext cx="2743200" cy="188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6363D"/>
          <w:sz w:val="24"/>
          <w:szCs w:val="24"/>
        </w:rPr>
        <w:t>dI/dt = σE − γI</w:t>
      </w:r>
    </w:p>
    <w:p w14:paraId="7379EC62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7DFD5EC" wp14:editId="311E6373">
            <wp:extent cx="933435" cy="219071"/>
            <wp:effectExtent l="0" t="0" r="0" b="0"/>
            <wp:docPr id="1038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933435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E715A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The system now explicitly links transmission intensity to evolutionary and environmental drivers.</w:t>
      </w:r>
    </w:p>
    <w:p w14:paraId="52FF460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lastRenderedPageBreak/>
        <w:t>6. Time-Varying Reproduction Number</w:t>
      </w:r>
    </w:p>
    <w:p w14:paraId="262DC366" w14:textId="77777777" w:rsidR="00A964C1" w:rsidRDefault="00A964C1" w:rsidP="00A964C1">
      <w:pPr>
        <w:rPr>
          <w:color w:val="36363D"/>
          <w:sz w:val="24"/>
          <w:szCs w:val="24"/>
        </w:rPr>
      </w:pPr>
    </w:p>
    <w:p w14:paraId="44ADDF85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The dynamic basic reproduction number becomes:</w:t>
      </w:r>
    </w:p>
    <w:p w14:paraId="5D64C562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5DA0CC3" wp14:editId="49289AD0">
            <wp:extent cx="981060" cy="219071"/>
            <wp:effectExtent l="0" t="0" r="0" b="0"/>
            <wp:docPr id="1039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"/>
                    <pic:cNvPicPr/>
                  </pic:nvPicPr>
                  <pic:blipFill>
                    <a:blip r:embed="rId12" cstate="print"/>
                    <a:srcRect/>
                    <a:stretch/>
                  </pic:blipFill>
                  <pic:spPr>
                    <a:xfrm>
                      <a:off x="0" y="0"/>
                      <a:ext cx="981060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53928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Therefore :</w:t>
      </w:r>
    </w:p>
    <w:p w14:paraId="439EBDB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5C7EEB6" wp14:editId="521D8B17">
            <wp:extent cx="2419313" cy="219071"/>
            <wp:effectExtent l="0" t="0" r="0" b="0"/>
            <wp:docPr id="1040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"/>
                    <pic:cNvPicPr/>
                  </pic:nvPicPr>
                  <pic:blipFill>
                    <a:blip r:embed="rId13" cstate="print"/>
                    <a:srcRect/>
                    <a:stretch/>
                  </pic:blipFill>
                  <pic:spPr>
                    <a:xfrm>
                      <a:off x="0" y="0"/>
                      <a:ext cx="2419313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053C5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The equation demonstrates that genomic drift and climate variability directly modify epidemic thresholds.</w:t>
      </w:r>
    </w:p>
    <w:p w14:paraId="27FA7AF1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7. Early Epidemic Growth Rate</w:t>
      </w:r>
    </w:p>
    <w:p w14:paraId="4F4B493D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In early outbreak stages (S ≈ N):</w:t>
      </w:r>
    </w:p>
    <w:p w14:paraId="1645934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26DDC6D" wp14:editId="5BAE3117">
            <wp:extent cx="2276440" cy="219071"/>
            <wp:effectExtent l="0" t="0" r="0" b="0"/>
            <wp:docPr id="1041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"/>
                    <pic:cNvPicPr/>
                  </pic:nvPicPr>
                  <pic:blipFill>
                    <a:blip r:embed="rId14" cstate="print"/>
                    <a:srcRect/>
                    <a:stretch/>
                  </pic:blipFill>
                  <pic:spPr>
                    <a:xfrm>
                      <a:off x="0" y="0"/>
                      <a:ext cx="2276440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F2C9D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The instantaneous growth rate is:</w:t>
      </w:r>
    </w:p>
    <w:p w14:paraId="5ACF2A25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49E23FC" wp14:editId="01D75238">
            <wp:extent cx="2162142" cy="219071"/>
            <wp:effectExtent l="0" t="0" r="0" b="0"/>
            <wp:docPr id="1042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"/>
                    <pic:cNvPicPr/>
                  </pic:nvPicPr>
                  <pic:blipFill>
                    <a:blip r:embed="rId15" cstate="print"/>
                    <a:srcRect/>
                    <a:stretch/>
                  </pic:blipFill>
                  <pic:spPr>
                    <a:xfrm>
                      <a:off x="0" y="0"/>
                      <a:ext cx="2162142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0C699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Thus, cumulative genomic variation may amplify epidemic acceleration exponentially rather than linearly.</w:t>
      </w:r>
    </w:p>
    <w:p w14:paraId="451FD0C5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8. Bayesian Hierarchical Estimation</w:t>
      </w:r>
    </w:p>
    <w:p w14:paraId="7098F2B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To estimate parameters, we define prior distributions :</w:t>
      </w:r>
    </w:p>
    <w:p w14:paraId="36A3B4C3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β₀ ~ Gamma(a, b)</w:t>
      </w:r>
    </w:p>
    <w:p w14:paraId="415A80DF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α ~ Normal(0, σ²α)</w:t>
      </w:r>
    </w:p>
    <w:p w14:paraId="480EB14B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δ ~ Normal(0, σ²δ)</w:t>
      </w:r>
    </w:p>
    <w:p w14:paraId="76B4729E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Observed cases are modeled as :</w:t>
      </w:r>
    </w:p>
    <w:p w14:paraId="039E1894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C79CF63" wp14:editId="2815E6C7">
            <wp:extent cx="561966" cy="219071"/>
            <wp:effectExtent l="0" t="0" r="0" b="0"/>
            <wp:docPr id="1043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"/>
                    <pic:cNvPicPr/>
                  </pic:nvPicPr>
                  <pic:blipFill>
                    <a:blip r:embed="rId16" cstate="print"/>
                    <a:srcRect/>
                    <a:stretch/>
                  </pic:blipFill>
                  <pic:spPr>
                    <a:xfrm>
                      <a:off x="0" y="0"/>
                      <a:ext cx="561966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>
        <w:rPr>
          <w:color w:val="36363D"/>
          <w:sz w:val="24"/>
          <w:szCs w:val="24"/>
        </w:rPr>
        <w:t>~  Negative Binomial ( I_model(t), φ )</w:t>
      </w:r>
    </w:p>
    <w:p w14:paraId="63219EEF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Posterior distributions are obtained via:</w:t>
      </w:r>
    </w:p>
    <w:p w14:paraId="1BDB275E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Markov Chain Monte Carlo (MCMC)</w:t>
      </w:r>
    </w:p>
    <w:p w14:paraId="4182143F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This allows:</w:t>
      </w:r>
    </w:p>
    <w:p w14:paraId="364F7939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lastRenderedPageBreak/>
        <w:t>• Uncertainty quantification</w:t>
      </w:r>
    </w:p>
    <w:p w14:paraId="21EA4C5C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• Credible intervals</w:t>
      </w:r>
    </w:p>
    <w:p w14:paraId="3480384B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• Model comparison (WAIC, DIC)</w:t>
      </w:r>
    </w:p>
    <w:p w14:paraId="35FC6B0A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• Robust inference under incomplete data</w:t>
      </w:r>
    </w:p>
    <w:p w14:paraId="2FA337A6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Final Publication-Ready Model Statement</w:t>
      </w:r>
    </w:p>
    <w:p w14:paraId="239AAD0E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B433AA7" wp14:editId="0D2E1B1F">
            <wp:extent cx="1990694" cy="219071"/>
            <wp:effectExtent l="0" t="0" r="0" b="0"/>
            <wp:docPr id="1044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1990694" cy="21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DAC14" w14:textId="77777777" w:rsidR="00A964C1" w:rsidRDefault="00A964C1" w:rsidP="00A964C1">
      <w:pPr>
        <w:rPr>
          <w:color w:val="36363D"/>
          <w:sz w:val="24"/>
          <w:szCs w:val="24"/>
        </w:rPr>
      </w:pPr>
      <w:r>
        <w:rPr>
          <w:color w:val="36363D"/>
          <w:sz w:val="24"/>
          <w:szCs w:val="24"/>
        </w:rPr>
        <w:t>Integrated within the SEIR framework and estimated using Bayesian hierarchical MCMC methods.</w:t>
      </w:r>
    </w:p>
    <w:p w14:paraId="5BEF6BBB" w14:textId="77777777" w:rsidR="00A964C1" w:rsidRDefault="00A964C1" w:rsidP="00A964C1">
      <w:pPr>
        <w:rPr>
          <w:color w:val="36363D"/>
          <w:sz w:val="24"/>
          <w:szCs w:val="24"/>
        </w:rPr>
      </w:pPr>
    </w:p>
    <w:p w14:paraId="0B04D781" w14:textId="77777777" w:rsidR="00A964C1" w:rsidRDefault="00A964C1" w:rsidP="00A964C1">
      <w:pPr>
        <w:rPr>
          <w:color w:val="36363D"/>
          <w:sz w:val="24"/>
          <w:szCs w:val="24"/>
        </w:rPr>
      </w:pPr>
    </w:p>
    <w:p w14:paraId="53CC18EC" w14:textId="77777777" w:rsidR="00A964C1" w:rsidRDefault="00A964C1" w:rsidP="00A964C1">
      <w:pPr>
        <w:rPr>
          <w:color w:val="36363D"/>
          <w:sz w:val="24"/>
          <w:szCs w:val="24"/>
        </w:rPr>
      </w:pPr>
    </w:p>
    <w:p w14:paraId="57E50441" w14:textId="77777777" w:rsidR="00A964C1" w:rsidRDefault="00A964C1" w:rsidP="00A964C1">
      <w:pPr>
        <w:rPr>
          <w:color w:val="36363D"/>
          <w:sz w:val="24"/>
          <w:szCs w:val="24"/>
        </w:rPr>
      </w:pPr>
    </w:p>
    <w:p w14:paraId="1EE0026C" w14:textId="77777777" w:rsidR="00DE6AE2" w:rsidRDefault="00DE6AE2"/>
    <w:sectPr w:rsidR="00DE6AE2" w:rsidSect="00A964C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4C1"/>
    <w:rsid w:val="00195413"/>
    <w:rsid w:val="003D0186"/>
    <w:rsid w:val="007278E4"/>
    <w:rsid w:val="007D02DA"/>
    <w:rsid w:val="00A3738C"/>
    <w:rsid w:val="00A964C1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E3BB"/>
  <w15:chartTrackingRefBased/>
  <w15:docId w15:val="{631D7993-8C80-4D15-A222-594F9467C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4C1"/>
    <w:pPr>
      <w:spacing w:after="200" w:line="276" w:lineRule="auto"/>
    </w:pPr>
    <w:rPr>
      <w:rFonts w:ascii="Cambria" w:eastAsia="MS Mincho" w:hAnsi="Cambria" w:cs="SimSu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4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64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64C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4C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4C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4C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4C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4C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4C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6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4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4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4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4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4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4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6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6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4C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6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64C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64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4C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64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4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64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324</Words>
  <Characters>2112</Characters>
  <Application>Microsoft Office Word</Application>
  <DocSecurity>0</DocSecurity>
  <Lines>43</Lines>
  <Paragraphs>22</Paragraphs>
  <ScaleCrop>false</ScaleCrop>
  <Company>Springer Nature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2026-03-24T05:48:00Z</dcterms:created>
  <dcterms:modified xsi:type="dcterms:W3CDTF">2026-03-24T05:48:00Z</dcterms:modified>
</cp:coreProperties>
</file>