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CE1AF" w14:textId="77777777" w:rsidR="00A26690" w:rsidRPr="00024E0E" w:rsidRDefault="00A26690" w:rsidP="00024E0E">
      <w:pPr>
        <w:spacing w:line="480" w:lineRule="auto"/>
        <w:jc w:val="center"/>
        <w:rPr>
          <w:rFonts w:ascii="Arial" w:hAnsi="Arial" w:cs="Arial"/>
        </w:rPr>
      </w:pPr>
      <w:r w:rsidRPr="00024E0E">
        <w:rPr>
          <w:rFonts w:ascii="Arial" w:hAnsi="Arial" w:cs="Arial"/>
        </w:rPr>
        <w:t>Supplementary information</w:t>
      </w:r>
    </w:p>
    <w:p w14:paraId="505ABF7B" w14:textId="77777777" w:rsidR="00A26690" w:rsidRPr="00024E0E" w:rsidRDefault="00A26690" w:rsidP="00024E0E">
      <w:pPr>
        <w:spacing w:line="480" w:lineRule="auto"/>
        <w:jc w:val="center"/>
        <w:rPr>
          <w:rFonts w:ascii="Arial" w:hAnsi="Arial" w:cs="Arial"/>
        </w:rPr>
      </w:pPr>
    </w:p>
    <w:p w14:paraId="4470A168" w14:textId="6EE8E1BE" w:rsidR="00A26690" w:rsidRPr="00024E0E" w:rsidRDefault="00C46098" w:rsidP="00C46098">
      <w:pPr>
        <w:pStyle w:val="Title"/>
        <w:spacing w:line="480" w:lineRule="auto"/>
        <w:jc w:val="center"/>
        <w:rPr>
          <w:rFonts w:ascii="Arial" w:hAnsi="Arial" w:cs="Arial"/>
          <w:sz w:val="36"/>
          <w:szCs w:val="36"/>
        </w:rPr>
      </w:pPr>
      <w:r w:rsidRPr="00EA0E06">
        <w:rPr>
          <w:rFonts w:ascii="Arial" w:hAnsi="Arial" w:cs="Arial"/>
          <w:color w:val="000000"/>
          <w:sz w:val="32"/>
          <w:szCs w:val="32"/>
        </w:rPr>
        <w:t>Fungal response to drought in the maize rhizosphere after reusing cover crop root channels</w:t>
      </w:r>
      <w:r w:rsidR="00A26690" w:rsidRPr="00024E0E">
        <w:rPr>
          <w:rFonts w:ascii="Arial" w:hAnsi="Arial" w:cs="Arial"/>
          <w:sz w:val="36"/>
          <w:szCs w:val="36"/>
        </w:rPr>
        <w:t xml:space="preserve"> </w:t>
      </w:r>
    </w:p>
    <w:p w14:paraId="2FECF6D0" w14:textId="77777777" w:rsidR="00A26690" w:rsidRPr="00024E0E" w:rsidRDefault="00A26690" w:rsidP="00024E0E">
      <w:pPr>
        <w:spacing w:line="480" w:lineRule="auto"/>
        <w:jc w:val="center"/>
        <w:rPr>
          <w:rFonts w:ascii="Arial" w:hAnsi="Arial" w:cs="Arial"/>
        </w:rPr>
      </w:pPr>
    </w:p>
    <w:p w14:paraId="30C54FD9" w14:textId="77777777" w:rsidR="00A26690" w:rsidRDefault="00A26690" w:rsidP="00024E0E">
      <w:pPr>
        <w:spacing w:line="480" w:lineRule="auto"/>
        <w:jc w:val="center"/>
        <w:rPr>
          <w:rFonts w:ascii="Arial" w:hAnsi="Arial" w:cs="Arial"/>
        </w:rPr>
      </w:pPr>
      <w:r w:rsidRPr="00024E0E">
        <w:rPr>
          <w:rFonts w:ascii="Arial" w:hAnsi="Arial" w:cs="Arial"/>
        </w:rPr>
        <w:t>Ghosh et al.</w:t>
      </w:r>
    </w:p>
    <w:p w14:paraId="1C94F9D9" w14:textId="77777777" w:rsidR="00024E0E" w:rsidRDefault="00024E0E" w:rsidP="00024E0E">
      <w:pPr>
        <w:spacing w:line="480" w:lineRule="auto"/>
        <w:jc w:val="center"/>
        <w:rPr>
          <w:rFonts w:ascii="Arial" w:hAnsi="Arial" w:cs="Arial"/>
        </w:rPr>
      </w:pPr>
    </w:p>
    <w:p w14:paraId="1A41AE49" w14:textId="38BFCC08" w:rsidR="00024E0E" w:rsidRPr="00BC7F36" w:rsidRDefault="00024E0E" w:rsidP="00024E0E">
      <w:pPr>
        <w:spacing w:line="480" w:lineRule="auto"/>
        <w:jc w:val="center"/>
        <w:rPr>
          <w:rFonts w:ascii="Arial" w:hAnsi="Arial" w:cs="Arial"/>
        </w:rPr>
      </w:pPr>
      <w:r>
        <w:rPr>
          <w:rFonts w:ascii="Arial" w:hAnsi="Arial" w:cs="Arial"/>
        </w:rPr>
        <w:t xml:space="preserve">Correspondence: </w:t>
      </w:r>
      <w:hyperlink r:id="rId4" w:history="1">
        <w:r w:rsidRPr="00953831">
          <w:rPr>
            <w:rStyle w:val="Hyperlink"/>
            <w:rFonts w:ascii="Arial" w:hAnsi="Arial" w:cs="Arial"/>
          </w:rPr>
          <w:t>nico.jehmlich@ufz.de</w:t>
        </w:r>
      </w:hyperlink>
      <w:r w:rsidR="00BC7F36">
        <w:t xml:space="preserve">, </w:t>
      </w:r>
      <w:hyperlink r:id="rId5" w:history="1">
        <w:r w:rsidR="00BC7F36" w:rsidRPr="00BC7F36">
          <w:rPr>
            <w:rStyle w:val="Hyperlink"/>
            <w:rFonts w:ascii="Arial" w:hAnsi="Arial" w:cs="Arial"/>
          </w:rPr>
          <w:t>debjyoti.ghosh@ufz.de</w:t>
        </w:r>
      </w:hyperlink>
      <w:r w:rsidR="006F292C" w:rsidRPr="00BC7F36">
        <w:rPr>
          <w:rFonts w:ascii="Arial" w:hAnsi="Arial" w:cs="Arial"/>
        </w:rPr>
        <w:t xml:space="preserve"> </w:t>
      </w:r>
    </w:p>
    <w:p w14:paraId="64C7DFB0" w14:textId="77777777" w:rsidR="00024E0E" w:rsidRPr="00024E0E" w:rsidRDefault="00024E0E" w:rsidP="00024E0E">
      <w:pPr>
        <w:spacing w:line="480" w:lineRule="auto"/>
        <w:rPr>
          <w:rFonts w:ascii="Arial" w:hAnsi="Arial" w:cs="Arial"/>
        </w:rPr>
      </w:pPr>
    </w:p>
    <w:p w14:paraId="62DD537A" w14:textId="77777777" w:rsidR="00A26690" w:rsidRPr="00024E0E" w:rsidRDefault="00A26690" w:rsidP="00024E0E">
      <w:pPr>
        <w:spacing w:line="480" w:lineRule="auto"/>
        <w:rPr>
          <w:rFonts w:ascii="Arial" w:hAnsi="Arial" w:cs="Arial"/>
        </w:rPr>
      </w:pPr>
    </w:p>
    <w:p w14:paraId="5FD868C7" w14:textId="77777777" w:rsidR="00A26690" w:rsidRPr="00024E0E" w:rsidRDefault="00A26690" w:rsidP="00024E0E">
      <w:pPr>
        <w:spacing w:line="480" w:lineRule="auto"/>
        <w:rPr>
          <w:rFonts w:ascii="Arial" w:hAnsi="Arial" w:cs="Arial"/>
        </w:rPr>
      </w:pPr>
    </w:p>
    <w:p w14:paraId="0C3884FF" w14:textId="77777777" w:rsidR="00A26690" w:rsidRPr="00024E0E" w:rsidRDefault="00A26690" w:rsidP="00024E0E">
      <w:pPr>
        <w:spacing w:line="480" w:lineRule="auto"/>
        <w:rPr>
          <w:rFonts w:ascii="Arial" w:hAnsi="Arial" w:cs="Arial"/>
        </w:rPr>
      </w:pPr>
    </w:p>
    <w:p w14:paraId="6F52D0EC" w14:textId="77777777" w:rsidR="00A26690" w:rsidRPr="00024E0E" w:rsidRDefault="00A26690" w:rsidP="00024E0E">
      <w:pPr>
        <w:spacing w:line="480" w:lineRule="auto"/>
        <w:rPr>
          <w:rFonts w:ascii="Arial" w:hAnsi="Arial" w:cs="Arial"/>
        </w:rPr>
      </w:pPr>
    </w:p>
    <w:p w14:paraId="5725E6F8" w14:textId="77777777" w:rsidR="00A26690" w:rsidRPr="00024E0E" w:rsidRDefault="00A26690" w:rsidP="00024E0E">
      <w:pPr>
        <w:spacing w:line="480" w:lineRule="auto"/>
        <w:rPr>
          <w:rFonts w:ascii="Arial" w:hAnsi="Arial" w:cs="Arial"/>
        </w:rPr>
      </w:pPr>
    </w:p>
    <w:p w14:paraId="641A8DE3" w14:textId="77777777" w:rsidR="00A26690" w:rsidRPr="00024E0E" w:rsidRDefault="00A26690" w:rsidP="00024E0E">
      <w:pPr>
        <w:spacing w:line="480" w:lineRule="auto"/>
        <w:rPr>
          <w:rFonts w:ascii="Arial" w:hAnsi="Arial" w:cs="Arial"/>
        </w:rPr>
      </w:pPr>
    </w:p>
    <w:p w14:paraId="69C2167A" w14:textId="77777777" w:rsidR="00A26690" w:rsidRPr="00024E0E" w:rsidRDefault="00A26690" w:rsidP="00024E0E">
      <w:pPr>
        <w:spacing w:line="480" w:lineRule="auto"/>
        <w:rPr>
          <w:rFonts w:ascii="Arial" w:hAnsi="Arial" w:cs="Arial"/>
        </w:rPr>
      </w:pPr>
    </w:p>
    <w:p w14:paraId="55E53E6E" w14:textId="77777777" w:rsidR="00A26690" w:rsidRPr="00024E0E" w:rsidRDefault="00A26690" w:rsidP="00024E0E">
      <w:pPr>
        <w:spacing w:line="480" w:lineRule="auto"/>
        <w:rPr>
          <w:rFonts w:ascii="Arial" w:hAnsi="Arial" w:cs="Arial"/>
        </w:rPr>
      </w:pPr>
    </w:p>
    <w:p w14:paraId="5698E251" w14:textId="77777777" w:rsidR="00A26690" w:rsidRPr="00024E0E" w:rsidRDefault="00A26690" w:rsidP="00024E0E">
      <w:pPr>
        <w:spacing w:line="480" w:lineRule="auto"/>
        <w:rPr>
          <w:rFonts w:ascii="Arial" w:hAnsi="Arial" w:cs="Arial"/>
        </w:rPr>
      </w:pPr>
    </w:p>
    <w:p w14:paraId="422F2DE5" w14:textId="77777777" w:rsidR="00A26690" w:rsidRDefault="00A26690" w:rsidP="00024E0E">
      <w:pPr>
        <w:spacing w:line="480" w:lineRule="auto"/>
        <w:rPr>
          <w:rFonts w:ascii="Arial" w:hAnsi="Arial" w:cs="Arial"/>
        </w:rPr>
      </w:pPr>
    </w:p>
    <w:p w14:paraId="47BB91D5" w14:textId="623CE51A" w:rsidR="00347D6F" w:rsidRPr="00FF11FF" w:rsidRDefault="00347D6F" w:rsidP="00FF11FF">
      <w:pPr>
        <w:pStyle w:val="Heading1"/>
        <w:spacing w:line="276" w:lineRule="auto"/>
        <w:rPr>
          <w:rFonts w:ascii="Arial" w:hAnsi="Arial" w:cs="Arial"/>
          <w:color w:val="000000" w:themeColor="text1"/>
          <w:sz w:val="32"/>
          <w:szCs w:val="32"/>
        </w:rPr>
      </w:pPr>
      <w:r w:rsidRPr="00FF11FF">
        <w:rPr>
          <w:rFonts w:ascii="Arial" w:hAnsi="Arial" w:cs="Arial"/>
          <w:color w:val="000000" w:themeColor="text1"/>
          <w:sz w:val="32"/>
          <w:szCs w:val="32"/>
        </w:rPr>
        <w:lastRenderedPageBreak/>
        <w:t xml:space="preserve">Extended </w:t>
      </w:r>
      <w:r w:rsidR="00FF11FF">
        <w:rPr>
          <w:rFonts w:ascii="Arial" w:hAnsi="Arial" w:cs="Arial"/>
          <w:color w:val="000000" w:themeColor="text1"/>
          <w:sz w:val="32"/>
          <w:szCs w:val="32"/>
        </w:rPr>
        <w:t>D</w:t>
      </w:r>
      <w:r w:rsidRPr="00FF11FF">
        <w:rPr>
          <w:rFonts w:ascii="Arial" w:hAnsi="Arial" w:cs="Arial"/>
          <w:color w:val="000000" w:themeColor="text1"/>
          <w:sz w:val="32"/>
          <w:szCs w:val="32"/>
        </w:rPr>
        <w:t>ata</w:t>
      </w:r>
    </w:p>
    <w:p w14:paraId="5391F319" w14:textId="2C2CA4D0" w:rsidR="00C46B96" w:rsidRPr="00FF11FF" w:rsidRDefault="00C46B96" w:rsidP="00FF11FF">
      <w:pPr>
        <w:pStyle w:val="Heading1"/>
        <w:spacing w:line="480" w:lineRule="auto"/>
        <w:rPr>
          <w:rFonts w:ascii="Arial" w:hAnsi="Arial" w:cs="Arial"/>
          <w:color w:val="000000" w:themeColor="text1"/>
          <w:sz w:val="32"/>
          <w:szCs w:val="32"/>
        </w:rPr>
      </w:pPr>
      <w:r w:rsidRPr="00FF11FF">
        <w:rPr>
          <w:rFonts w:ascii="Arial" w:hAnsi="Arial" w:cs="Arial"/>
          <w:color w:val="000000" w:themeColor="text1"/>
          <w:sz w:val="32"/>
          <w:szCs w:val="32"/>
        </w:rPr>
        <w:t>Results</w:t>
      </w:r>
      <w:r w:rsidR="00175530" w:rsidRPr="00FF11FF">
        <w:rPr>
          <w:rFonts w:ascii="Arial" w:hAnsi="Arial" w:cs="Arial"/>
          <w:color w:val="000000" w:themeColor="text1"/>
          <w:sz w:val="32"/>
          <w:szCs w:val="32"/>
        </w:rPr>
        <w:t xml:space="preserve"> and Discussion</w:t>
      </w:r>
    </w:p>
    <w:p w14:paraId="372937E5" w14:textId="148C1BDC" w:rsidR="00C46B96" w:rsidRPr="00DC563B" w:rsidRDefault="00C46B96" w:rsidP="00DC563B">
      <w:pPr>
        <w:pStyle w:val="Heading2"/>
        <w:spacing w:line="480" w:lineRule="auto"/>
        <w:rPr>
          <w:rFonts w:ascii="Arial" w:hAnsi="Arial" w:cs="Arial"/>
          <w:color w:val="000000" w:themeColor="text1"/>
          <w:sz w:val="28"/>
          <w:szCs w:val="28"/>
        </w:rPr>
      </w:pPr>
      <w:r w:rsidRPr="00DC563B">
        <w:rPr>
          <w:rFonts w:ascii="Arial" w:hAnsi="Arial" w:cs="Arial"/>
          <w:color w:val="000000" w:themeColor="text1"/>
          <w:sz w:val="28"/>
          <w:szCs w:val="28"/>
        </w:rPr>
        <w:t>Fungal-to-bacteria</w:t>
      </w:r>
      <w:r w:rsidR="005825A4">
        <w:rPr>
          <w:rFonts w:ascii="Arial" w:hAnsi="Arial" w:cs="Arial"/>
          <w:color w:val="000000" w:themeColor="text1"/>
          <w:sz w:val="28"/>
          <w:szCs w:val="28"/>
        </w:rPr>
        <w:t>l</w:t>
      </w:r>
      <w:r w:rsidRPr="00DC563B">
        <w:rPr>
          <w:rFonts w:ascii="Arial" w:hAnsi="Arial" w:cs="Arial"/>
          <w:color w:val="000000" w:themeColor="text1"/>
          <w:sz w:val="28"/>
          <w:szCs w:val="28"/>
        </w:rPr>
        <w:t xml:space="preserve"> taxonomic and proteomic trend</w:t>
      </w:r>
      <w:r w:rsidR="005825A4">
        <w:rPr>
          <w:rFonts w:ascii="Arial" w:hAnsi="Arial" w:cs="Arial"/>
          <w:color w:val="000000" w:themeColor="text1"/>
          <w:sz w:val="28"/>
          <w:szCs w:val="28"/>
        </w:rPr>
        <w:t>s</w:t>
      </w:r>
    </w:p>
    <w:p w14:paraId="43521792" w14:textId="5BC32730" w:rsidR="00C46B96" w:rsidRPr="00EA0E06" w:rsidRDefault="00175530" w:rsidP="00C46B96">
      <w:pPr>
        <w:spacing w:line="480" w:lineRule="auto"/>
        <w:jc w:val="both"/>
        <w:rPr>
          <w:rFonts w:ascii="Arial" w:hAnsi="Arial" w:cs="Arial"/>
        </w:rPr>
      </w:pPr>
      <w:r>
        <w:rPr>
          <w:rFonts w:ascii="Arial" w:hAnsi="Arial" w:cs="Arial"/>
        </w:rPr>
        <w:t xml:space="preserve">In complex environmental systems, there is still a </w:t>
      </w:r>
      <w:r w:rsidR="005825A4">
        <w:rPr>
          <w:rFonts w:ascii="Arial" w:hAnsi="Arial" w:cs="Arial"/>
        </w:rPr>
        <w:t>considerable lack</w:t>
      </w:r>
      <w:r>
        <w:rPr>
          <w:rFonts w:ascii="Arial" w:hAnsi="Arial" w:cs="Arial"/>
        </w:rPr>
        <w:t xml:space="preserve"> of information regarding the comparative presence of fungi and bacteria in the same system in terms of their abundance and contribution to functional pathways. We plotted the fungal</w:t>
      </w:r>
      <w:r w:rsidR="005825A4">
        <w:rPr>
          <w:rFonts w:ascii="Arial" w:hAnsi="Arial" w:cs="Arial"/>
        </w:rPr>
        <w:t>-</w:t>
      </w:r>
      <w:r>
        <w:rPr>
          <w:rFonts w:ascii="Arial" w:hAnsi="Arial" w:cs="Arial"/>
        </w:rPr>
        <w:t>to</w:t>
      </w:r>
      <w:r w:rsidR="005825A4">
        <w:rPr>
          <w:rFonts w:ascii="Arial" w:hAnsi="Arial" w:cs="Arial"/>
        </w:rPr>
        <w:t>-</w:t>
      </w:r>
      <w:r>
        <w:rPr>
          <w:rFonts w:ascii="Arial" w:hAnsi="Arial" w:cs="Arial"/>
        </w:rPr>
        <w:t>bacterial abundance ratio along increasing spatial depth under drought</w:t>
      </w:r>
      <w:r w:rsidR="005825A4">
        <w:rPr>
          <w:rFonts w:ascii="Arial" w:hAnsi="Arial" w:cs="Arial"/>
        </w:rPr>
        <w:t xml:space="preserve"> (D)</w:t>
      </w:r>
      <w:r>
        <w:rPr>
          <w:rFonts w:ascii="Arial" w:hAnsi="Arial" w:cs="Arial"/>
        </w:rPr>
        <w:t xml:space="preserve"> and rainfall-fed</w:t>
      </w:r>
      <w:r w:rsidR="005825A4">
        <w:rPr>
          <w:rFonts w:ascii="Arial" w:hAnsi="Arial" w:cs="Arial"/>
        </w:rPr>
        <w:t xml:space="preserve"> (RF)</w:t>
      </w:r>
      <w:r>
        <w:rPr>
          <w:rFonts w:ascii="Arial" w:hAnsi="Arial" w:cs="Arial"/>
        </w:rPr>
        <w:t xml:space="preserve"> conditions </w:t>
      </w:r>
      <w:r w:rsidR="005825A4">
        <w:rPr>
          <w:rFonts w:ascii="Arial" w:hAnsi="Arial" w:cs="Arial"/>
        </w:rPr>
        <w:t>in systems with</w:t>
      </w:r>
      <w:r>
        <w:rPr>
          <w:rFonts w:ascii="Arial" w:hAnsi="Arial" w:cs="Arial"/>
        </w:rPr>
        <w:t xml:space="preserve"> cover crops</w:t>
      </w:r>
      <w:r w:rsidR="005825A4">
        <w:rPr>
          <w:rFonts w:ascii="Arial" w:hAnsi="Arial" w:cs="Arial"/>
        </w:rPr>
        <w:t>, calculated as</w:t>
      </w:r>
      <w:r>
        <w:rPr>
          <w:rFonts w:ascii="Arial" w:hAnsi="Arial" w:cs="Arial"/>
        </w:rPr>
        <w:t xml:space="preserve"> the ratio of ITS2 gene copies per gram </w:t>
      </w:r>
      <w:r w:rsidR="005825A4">
        <w:rPr>
          <w:rFonts w:ascii="Arial" w:hAnsi="Arial" w:cs="Arial"/>
        </w:rPr>
        <w:t xml:space="preserve">of </w:t>
      </w:r>
      <w:r>
        <w:rPr>
          <w:rFonts w:ascii="Arial" w:hAnsi="Arial" w:cs="Arial"/>
        </w:rPr>
        <w:t>soil to 16S rRNA gene copies per gram</w:t>
      </w:r>
      <w:r w:rsidR="005825A4">
        <w:rPr>
          <w:rFonts w:ascii="Arial" w:hAnsi="Arial" w:cs="Arial"/>
        </w:rPr>
        <w:t xml:space="preserve"> of</w:t>
      </w:r>
      <w:r>
        <w:rPr>
          <w:rFonts w:ascii="Arial" w:hAnsi="Arial" w:cs="Arial"/>
        </w:rPr>
        <w:t xml:space="preserve"> soil measured </w:t>
      </w:r>
      <w:r w:rsidR="005825A4">
        <w:rPr>
          <w:rFonts w:ascii="Arial" w:hAnsi="Arial" w:cs="Arial"/>
        </w:rPr>
        <w:t>by</w:t>
      </w:r>
      <w:r>
        <w:rPr>
          <w:rFonts w:ascii="Arial" w:hAnsi="Arial" w:cs="Arial"/>
        </w:rPr>
        <w:t xml:space="preserve"> qPCR. </w:t>
      </w:r>
      <w:r w:rsidR="00EE40DB">
        <w:rPr>
          <w:rFonts w:ascii="Arial" w:hAnsi="Arial" w:cs="Arial"/>
        </w:rPr>
        <w:t>B</w:t>
      </w:r>
      <w:r>
        <w:rPr>
          <w:rFonts w:ascii="Arial" w:hAnsi="Arial" w:cs="Arial"/>
        </w:rPr>
        <w:t>acterial absolute abundances w</w:t>
      </w:r>
      <w:r w:rsidR="00EE40DB">
        <w:rPr>
          <w:rFonts w:ascii="Arial" w:hAnsi="Arial" w:cs="Arial"/>
        </w:rPr>
        <w:t>ere</w:t>
      </w:r>
      <w:r>
        <w:rPr>
          <w:rFonts w:ascii="Arial" w:hAnsi="Arial" w:cs="Arial"/>
        </w:rPr>
        <w:t xml:space="preserve"> </w:t>
      </w:r>
      <w:r w:rsidR="00347D6F">
        <w:rPr>
          <w:rFonts w:ascii="Arial" w:hAnsi="Arial" w:cs="Arial"/>
        </w:rPr>
        <w:t>at least</w:t>
      </w:r>
      <w:r>
        <w:rPr>
          <w:rFonts w:ascii="Arial" w:hAnsi="Arial" w:cs="Arial"/>
        </w:rPr>
        <w:t xml:space="preserve"> </w:t>
      </w:r>
      <w:r w:rsidR="005825A4">
        <w:rPr>
          <w:rFonts w:ascii="Arial" w:hAnsi="Arial" w:cs="Arial"/>
        </w:rPr>
        <w:t>two</w:t>
      </w:r>
      <w:r>
        <w:rPr>
          <w:rFonts w:ascii="Arial" w:hAnsi="Arial" w:cs="Arial"/>
        </w:rPr>
        <w:t xml:space="preserve"> orders of magnitude higher than fungal abundances</w:t>
      </w:r>
      <w:r w:rsidR="00347D6F">
        <w:rPr>
          <w:rFonts w:ascii="Arial" w:hAnsi="Arial" w:cs="Arial"/>
        </w:rPr>
        <w:t xml:space="preserve">, </w:t>
      </w:r>
      <w:r w:rsidR="005825A4">
        <w:rPr>
          <w:rFonts w:ascii="Arial" w:hAnsi="Arial" w:cs="Arial"/>
        </w:rPr>
        <w:t>consistent with</w:t>
      </w:r>
      <w:r w:rsidR="00347D6F">
        <w:rPr>
          <w:rFonts w:ascii="Arial" w:hAnsi="Arial" w:cs="Arial"/>
        </w:rPr>
        <w:t xml:space="preserve"> previous observations</w:t>
      </w:r>
      <w:r w:rsidR="0014475D">
        <w:rPr>
          <w:rFonts w:ascii="Arial" w:hAnsi="Arial" w:cs="Arial"/>
        </w:rPr>
        <w:fldChar w:fldCharType="begin"/>
      </w:r>
      <w:r w:rsidR="0014475D">
        <w:rPr>
          <w:rFonts w:ascii="Arial" w:hAnsi="Arial" w:cs="Arial"/>
        </w:rPr>
        <w:instrText xml:space="preserve"> ADDIN ZOTERO_ITEM CSL_CITATION {"citationID":"4Mv0pViS","properties":{"formattedCitation":"\\super 1,2\\nosupersub{}","plainCitation":"1,2","noteIndex":0},"citationItems":[{"id":650,"uris":["http://zotero.org/users/18474468/items/MNYCC4IP"],"itemData":{"id":650,"type":"article-journal","container-title":"Microbiome","DOI":"10.1186/s40168-018-0491-7","ISSN":"2049-2618","issue":"1","journalAbbreviation":"Microbiome","language":"en","page":"110","source":"DOI.org (Crossref)","title":"Absolute quantitation of microbiota abundance in environmental samples","volume":"6","author":[{"family":"Tkacz","given":"Andrzej"},{"family":"Hortala","given":"Marion"},{"family":"Poole","given":"Philip S."}],"issued":{"date-parts":[["2018",12]]}}},{"id":648,"uris":["http://zotero.org/users/18474468/items/ZJKLIHHH"],"itemData":{"id":648,"type":"article-journal","abstract":"Abstract\n            Soils collected across a long-term liming experiment (pH 4.0–8.3), in which variation in factors other than pH have been minimized, were used to investigate the direct influence of pH on the abundance and composition of the two major soil microbial taxa, fungi and bacteria. We hypothesized that bacterial communities would be more strongly influenced by pH than fungal communities. To determine the relative abundance of bacteria and fungi, we used quantitative PCR (qPCR), and to analyze the composition and diversity of the bacterial and fungal communities, we used a bar-coded pyrosequencing technique. Both the relative abundance and diversity of bacteria were positively related to pH, the latter nearly doubling between pH 4 and 8. In contrast, the relative abundance of fungi was unaffected by pH and fungal diversity was only weakly related with pH. The composition of the bacterial communities was closely defined by soil pH; there was as much variability in bacterial community composition across the 180-m distance of this liming experiment as across soils collected from a wide range of biomes in North and South America, emphasizing the dominance of pH in structuring bacterial communities. The apparent direct influence of pH on bacterial community composition is probably due to the narrow pH ranges for optimal growth of bacteria. Fungal community composition was less strongly affected by pH, which is consistent with pure culture studies, demonstrating that fungi generally exhibit wider pH ranges for optimal growth.","container-title":"The ISME Journal","DOI":"10.1038/ismej.2010.58","ISSN":"1751-7362, 1751-7370","issue":"10","language":"en","license":"https://academic.oup.com/pages/standard-publication-reuse-rights","page":"1340-1351","source":"DOI.org (Crossref)","title":"Soil bacterial and fungal communities across a pH gradient in an arable soil","volume":"4","author":[{"family":"Rousk","given":"Johannes"},{"family":"Bååth","given":"Erland"},{"family":"Brookes","given":"Philip C"},{"family":"Lauber","given":"Christian L"},{"family":"Lozupone","given":"Catherine"},{"family":"Caporaso","given":"J Gregory"},{"family":"Knight","given":"Rob"},{"family":"Fierer","given":"Noah"}],"issued":{"date-parts":[["2010",10,1]]}}}],"schema":"https://github.com/citation-style-language/schema/raw/master/csl-citation.json"} </w:instrText>
      </w:r>
      <w:r w:rsidR="0014475D">
        <w:rPr>
          <w:rFonts w:ascii="Arial" w:hAnsi="Arial" w:cs="Arial"/>
        </w:rPr>
        <w:fldChar w:fldCharType="separate"/>
      </w:r>
      <w:r w:rsidR="0014475D" w:rsidRPr="0014475D">
        <w:rPr>
          <w:rFonts w:ascii="Arial" w:hAnsi="Arial" w:cs="Arial"/>
          <w:kern w:val="0"/>
          <w:vertAlign w:val="superscript"/>
        </w:rPr>
        <w:t>1,2</w:t>
      </w:r>
      <w:r w:rsidR="0014475D">
        <w:rPr>
          <w:rFonts w:ascii="Arial" w:hAnsi="Arial" w:cs="Arial"/>
        </w:rPr>
        <w:fldChar w:fldCharType="end"/>
      </w:r>
      <w:r w:rsidR="00FF11FF">
        <w:rPr>
          <w:rFonts w:ascii="Arial" w:hAnsi="Arial" w:cs="Arial"/>
        </w:rPr>
        <w:t xml:space="preserve"> (Fig. S</w:t>
      </w:r>
      <w:r w:rsidR="00E32F5B">
        <w:rPr>
          <w:rFonts w:ascii="Arial" w:hAnsi="Arial" w:cs="Arial"/>
        </w:rPr>
        <w:t>10</w:t>
      </w:r>
      <w:r w:rsidR="00FF11FF">
        <w:rPr>
          <w:rFonts w:ascii="Arial" w:hAnsi="Arial" w:cs="Arial"/>
        </w:rPr>
        <w:t>a, Table S1</w:t>
      </w:r>
      <w:r w:rsidR="00BC7F36">
        <w:rPr>
          <w:rFonts w:ascii="Arial" w:hAnsi="Arial" w:cs="Arial"/>
        </w:rPr>
        <w:t>2</w:t>
      </w:r>
      <w:r w:rsidR="00FF11FF">
        <w:rPr>
          <w:rFonts w:ascii="Arial" w:hAnsi="Arial" w:cs="Arial"/>
        </w:rPr>
        <w:t>a)</w:t>
      </w:r>
      <w:r w:rsidR="00347D6F">
        <w:rPr>
          <w:rFonts w:ascii="Arial" w:hAnsi="Arial" w:cs="Arial"/>
        </w:rPr>
        <w:t>.</w:t>
      </w:r>
      <w:r>
        <w:rPr>
          <w:rFonts w:ascii="Arial" w:hAnsi="Arial" w:cs="Arial"/>
        </w:rPr>
        <w:t xml:space="preserve"> </w:t>
      </w:r>
      <w:r w:rsidR="005825A4">
        <w:rPr>
          <w:rFonts w:ascii="Arial" w:hAnsi="Arial" w:cs="Arial"/>
        </w:rPr>
        <w:t>F</w:t>
      </w:r>
      <w:r w:rsidR="00C46B96" w:rsidRPr="00EA0E06">
        <w:rPr>
          <w:rFonts w:ascii="Arial" w:hAnsi="Arial" w:cs="Arial"/>
        </w:rPr>
        <w:t>ungal abundances relatively increase</w:t>
      </w:r>
      <w:r w:rsidR="005825A4">
        <w:rPr>
          <w:rFonts w:ascii="Arial" w:hAnsi="Arial" w:cs="Arial"/>
        </w:rPr>
        <w:t>d</w:t>
      </w:r>
      <w:r w:rsidR="00C46B96" w:rsidRPr="00EA0E06">
        <w:rPr>
          <w:rFonts w:ascii="Arial" w:hAnsi="Arial" w:cs="Arial"/>
        </w:rPr>
        <w:t xml:space="preserve"> under </w:t>
      </w:r>
      <w:r w:rsidR="005825A4">
        <w:rPr>
          <w:rFonts w:ascii="Arial" w:hAnsi="Arial" w:cs="Arial"/>
        </w:rPr>
        <w:t>D as compared to RF</w:t>
      </w:r>
      <w:r w:rsidR="00C46B96" w:rsidRPr="00EA0E06">
        <w:rPr>
          <w:rFonts w:ascii="Arial" w:hAnsi="Arial" w:cs="Arial"/>
        </w:rPr>
        <w:t xml:space="preserve"> as </w:t>
      </w:r>
      <w:r w:rsidR="005825A4">
        <w:rPr>
          <w:rFonts w:ascii="Arial" w:hAnsi="Arial" w:cs="Arial"/>
        </w:rPr>
        <w:t>depth increased</w:t>
      </w:r>
      <w:r w:rsidR="00C46B96" w:rsidRPr="00EA0E06">
        <w:rPr>
          <w:rFonts w:ascii="Arial" w:hAnsi="Arial" w:cs="Arial"/>
        </w:rPr>
        <w:t xml:space="preserve"> </w:t>
      </w:r>
      <w:r w:rsidR="005825A4">
        <w:rPr>
          <w:rFonts w:ascii="Arial" w:hAnsi="Arial" w:cs="Arial"/>
        </w:rPr>
        <w:t xml:space="preserve">within the </w:t>
      </w:r>
      <w:r w:rsidR="00C46B96" w:rsidRPr="00EA0E06">
        <w:rPr>
          <w:rFonts w:ascii="Arial" w:hAnsi="Arial" w:cs="Arial"/>
        </w:rPr>
        <w:t xml:space="preserve">root channels of </w:t>
      </w:r>
      <w:bookmarkStart w:id="0" w:name="_Hlk215065109"/>
      <w:r w:rsidR="00C46B96" w:rsidRPr="00EA0E06">
        <w:rPr>
          <w:rFonts w:ascii="Arial" w:hAnsi="Arial" w:cs="Arial"/>
          <w:i/>
          <w:iCs/>
        </w:rPr>
        <w:t>Brassicaceae/Poaceae</w:t>
      </w:r>
      <w:bookmarkEnd w:id="0"/>
      <w:r w:rsidR="00C46B96" w:rsidRPr="00EA0E06">
        <w:rPr>
          <w:rFonts w:ascii="Arial" w:hAnsi="Arial" w:cs="Arial"/>
        </w:rPr>
        <w:t xml:space="preserve"> </w:t>
      </w:r>
      <w:r w:rsidR="005825A4">
        <w:rPr>
          <w:rFonts w:ascii="Arial" w:hAnsi="Arial" w:cs="Arial"/>
        </w:rPr>
        <w:t>across all</w:t>
      </w:r>
      <w:r w:rsidR="00C46B96" w:rsidRPr="00EA0E06">
        <w:rPr>
          <w:rFonts w:ascii="Arial" w:hAnsi="Arial" w:cs="Arial"/>
        </w:rPr>
        <w:t xml:space="preserve"> soil types</w:t>
      </w:r>
      <w:r w:rsidR="005825A4">
        <w:rPr>
          <w:rFonts w:ascii="Arial" w:hAnsi="Arial" w:cs="Arial"/>
        </w:rPr>
        <w:t>,</w:t>
      </w:r>
      <w:r w:rsidR="00FF11FF">
        <w:rPr>
          <w:rFonts w:ascii="Arial" w:hAnsi="Arial" w:cs="Arial"/>
        </w:rPr>
        <w:t xml:space="preserve"> and we presume this may be due to fungal communities </w:t>
      </w:r>
      <w:r w:rsidR="005825A4">
        <w:rPr>
          <w:rFonts w:ascii="Arial" w:hAnsi="Arial" w:cs="Arial"/>
        </w:rPr>
        <w:t>inhabiting</w:t>
      </w:r>
      <w:r w:rsidR="00FF11FF">
        <w:rPr>
          <w:rFonts w:ascii="Arial" w:hAnsi="Arial" w:cs="Arial"/>
        </w:rPr>
        <w:t xml:space="preserve"> </w:t>
      </w:r>
      <w:r w:rsidR="005825A4">
        <w:rPr>
          <w:rFonts w:ascii="Arial" w:hAnsi="Arial" w:cs="Arial"/>
        </w:rPr>
        <w:t>these</w:t>
      </w:r>
      <w:r w:rsidR="00FF11FF">
        <w:rPr>
          <w:rFonts w:ascii="Arial" w:hAnsi="Arial" w:cs="Arial"/>
        </w:rPr>
        <w:t xml:space="preserve"> root channels being tolerant to oxidative stress</w:t>
      </w:r>
      <w:r w:rsidR="00C46B96" w:rsidRPr="00EA0E06">
        <w:rPr>
          <w:rFonts w:ascii="Arial" w:hAnsi="Arial" w:cs="Arial"/>
        </w:rPr>
        <w:t xml:space="preserve">. This trend was not </w:t>
      </w:r>
      <w:r w:rsidR="005825A4">
        <w:rPr>
          <w:rFonts w:ascii="Arial" w:hAnsi="Arial" w:cs="Arial"/>
        </w:rPr>
        <w:t>observed</w:t>
      </w:r>
      <w:r w:rsidR="00C46B96" w:rsidRPr="00EA0E06">
        <w:rPr>
          <w:rFonts w:ascii="Arial" w:hAnsi="Arial" w:cs="Arial"/>
        </w:rPr>
        <w:t xml:space="preserve"> in the </w:t>
      </w:r>
      <w:r w:rsidR="00C46B96" w:rsidRPr="00EA0E06">
        <w:rPr>
          <w:rFonts w:ascii="Arial" w:hAnsi="Arial" w:cs="Arial"/>
          <w:i/>
          <w:iCs/>
        </w:rPr>
        <w:t>Fabaceae/Poaceae</w:t>
      </w:r>
      <w:r w:rsidR="00C46B96" w:rsidRPr="00EA0E06">
        <w:rPr>
          <w:rFonts w:ascii="Arial" w:hAnsi="Arial" w:cs="Arial"/>
        </w:rPr>
        <w:t xml:space="preserve"> root channels, where </w:t>
      </w:r>
      <w:r w:rsidR="005825A4">
        <w:rPr>
          <w:rFonts w:ascii="Arial" w:hAnsi="Arial" w:cs="Arial"/>
        </w:rPr>
        <w:t>fungal</w:t>
      </w:r>
      <w:r w:rsidR="00C46B96" w:rsidRPr="00EA0E06">
        <w:rPr>
          <w:rFonts w:ascii="Arial" w:hAnsi="Arial" w:cs="Arial"/>
        </w:rPr>
        <w:t xml:space="preserve"> abundance increased in the Podzol </w:t>
      </w:r>
      <w:r w:rsidR="005825A4">
        <w:rPr>
          <w:rFonts w:ascii="Arial" w:hAnsi="Arial" w:cs="Arial"/>
        </w:rPr>
        <w:t>but</w:t>
      </w:r>
      <w:r w:rsidR="00C46B96" w:rsidRPr="00EA0E06">
        <w:rPr>
          <w:rFonts w:ascii="Arial" w:hAnsi="Arial" w:cs="Arial"/>
        </w:rPr>
        <w:t xml:space="preserve"> declined in the Luvisol. The topsoil of the Phaeozem</w:t>
      </w:r>
      <w:r w:rsidR="005825A4">
        <w:rPr>
          <w:rFonts w:ascii="Arial" w:hAnsi="Arial" w:cs="Arial"/>
        </w:rPr>
        <w:t>, which is</w:t>
      </w:r>
      <w:r w:rsidR="00C46B96" w:rsidRPr="00EA0E06">
        <w:rPr>
          <w:rFonts w:ascii="Arial" w:hAnsi="Arial" w:cs="Arial"/>
        </w:rPr>
        <w:t xml:space="preserve"> </w:t>
      </w:r>
      <w:r w:rsidR="00B63038">
        <w:rPr>
          <w:rFonts w:ascii="Arial" w:hAnsi="Arial" w:cs="Arial"/>
        </w:rPr>
        <w:t xml:space="preserve">rich in organic matter and </w:t>
      </w:r>
      <w:r w:rsidR="005825A4">
        <w:rPr>
          <w:rFonts w:ascii="Arial" w:hAnsi="Arial" w:cs="Arial"/>
        </w:rPr>
        <w:t>likely contains</w:t>
      </w:r>
      <w:r w:rsidR="00B63038">
        <w:rPr>
          <w:rFonts w:ascii="Arial" w:hAnsi="Arial" w:cs="Arial"/>
        </w:rPr>
        <w:t xml:space="preserve"> more recalcitrant substrates</w:t>
      </w:r>
      <w:r w:rsidR="005825A4">
        <w:rPr>
          <w:rFonts w:ascii="Arial" w:hAnsi="Arial" w:cs="Arial"/>
        </w:rPr>
        <w:t xml:space="preserve"> that</w:t>
      </w:r>
      <w:r w:rsidR="00B63038">
        <w:rPr>
          <w:rFonts w:ascii="Arial" w:hAnsi="Arial" w:cs="Arial"/>
        </w:rPr>
        <w:t xml:space="preserve"> fungi decompose more effectively than bacteria</w:t>
      </w:r>
      <w:r w:rsidR="00FA188B">
        <w:rPr>
          <w:rFonts w:ascii="Arial" w:hAnsi="Arial" w:cs="Arial"/>
        </w:rPr>
        <w:fldChar w:fldCharType="begin"/>
      </w:r>
      <w:r w:rsidR="00FA188B">
        <w:rPr>
          <w:rFonts w:ascii="Arial" w:hAnsi="Arial" w:cs="Arial"/>
        </w:rPr>
        <w:instrText xml:space="preserve"> ADDIN ZOTERO_ITEM CSL_CITATION {"citationID":"q6WjViiu","properties":{"formattedCitation":"\\super 3\\nosupersub{}","plainCitation":"3","noteIndex":0},"citationItems":[{"id":652,"uris":["http://zotero.org/users/18474468/items/4KJXCXUE"],"itemData":{"id":652,"type":"article-journal","abstract":"Abstract\n            Elucidating complex interactions between bacteria and fungi that determine microbial community structure, composition, and functions in soil, as well as regulate carbon (C) and nutrient fluxes, is crucial to understand biogeochemical cycles. Among the various interactions, competition for resources is the main factor determining the adaptation and niche differentiation between these two big microbial groups in soil. This is because C and energy limitations for microbial growth are a rule rather than an exception. Here, we review the C and energy demands of bacteria and fungi—the two major kingdoms in soil—the mechanisms of their competition for these and other resources, leading to niche differentiation, and the global change impacts on this competition. The normalized microbial utilization preference showed that bacteria are 1.4–5 times more efficient in the uptake of simple organic compounds as substrates, whereas fungi are 1.1–4.1 times more effective in utilizing complex compounds. Accordingly, bacteria strongly outcompete fungi for simple substrates, while fungi take advantage of complex compounds. Bacteria also compete with fungi for the products released during the degradation of complex substrates. Based on these specifics, we differentiated spatial, temporal, and chemical niches for these two groups in soil. The competition will increase under the main five global changes including elevated CO2, N deposition, soil acidification, global warming, and drought. Elevated CO2, N deposition, and warming increase bacterial dominance, whereas soil acidification and drought increase fungal competitiveness.","container-title":"The ISME Journal","DOI":"10.1093/ismejo/wrae073","ISSN":"1751-7362, 1751-7370","issue":"1","language":"en","license":"https://creativecommons.org/licenses/by/4.0/","page":"wrae073","source":"DOI.org (Crossref)","title":"Mechanisms and implications of bacterial–fungal competition for soil resources","volume":"18","author":[{"family":"Wang","given":"Chaoqun"},{"family":"Kuzyakov","given":"Yakov"}],"issued":{"date-parts":[["2024",1,8]]}}}],"schema":"https://github.com/citation-style-language/schema/raw/master/csl-citation.json"} </w:instrText>
      </w:r>
      <w:r w:rsidR="00FA188B">
        <w:rPr>
          <w:rFonts w:ascii="Arial" w:hAnsi="Arial" w:cs="Arial"/>
        </w:rPr>
        <w:fldChar w:fldCharType="separate"/>
      </w:r>
      <w:r w:rsidR="00FA188B" w:rsidRPr="00FA188B">
        <w:rPr>
          <w:rFonts w:ascii="Arial" w:hAnsi="Arial" w:cs="Arial"/>
          <w:kern w:val="0"/>
          <w:vertAlign w:val="superscript"/>
        </w:rPr>
        <w:t>3</w:t>
      </w:r>
      <w:r w:rsidR="00FA188B">
        <w:rPr>
          <w:rFonts w:ascii="Arial" w:hAnsi="Arial" w:cs="Arial"/>
        </w:rPr>
        <w:fldChar w:fldCharType="end"/>
      </w:r>
      <w:r w:rsidR="00B63038">
        <w:rPr>
          <w:rFonts w:ascii="Arial" w:hAnsi="Arial" w:cs="Arial"/>
        </w:rPr>
        <w:t xml:space="preserve">, </w:t>
      </w:r>
      <w:r w:rsidR="00FA188B">
        <w:rPr>
          <w:rFonts w:ascii="Arial" w:hAnsi="Arial" w:cs="Arial"/>
        </w:rPr>
        <w:t>explains the</w:t>
      </w:r>
      <w:r w:rsidR="00B63038">
        <w:rPr>
          <w:rFonts w:ascii="Arial" w:hAnsi="Arial" w:cs="Arial"/>
        </w:rPr>
        <w:t xml:space="preserve"> </w:t>
      </w:r>
      <w:r w:rsidR="00C46B96" w:rsidRPr="00EA0E06">
        <w:rPr>
          <w:rFonts w:ascii="Arial" w:hAnsi="Arial" w:cs="Arial"/>
        </w:rPr>
        <w:t>significantly high</w:t>
      </w:r>
      <w:r w:rsidR="005825A4">
        <w:rPr>
          <w:rFonts w:ascii="Arial" w:hAnsi="Arial" w:cs="Arial"/>
        </w:rPr>
        <w:t>er</w:t>
      </w:r>
      <w:r w:rsidR="00C46B96" w:rsidRPr="00EA0E06">
        <w:rPr>
          <w:rFonts w:ascii="Arial" w:hAnsi="Arial" w:cs="Arial"/>
        </w:rPr>
        <w:t xml:space="preserve"> fung</w:t>
      </w:r>
      <w:r w:rsidR="005825A4">
        <w:rPr>
          <w:rFonts w:ascii="Arial" w:hAnsi="Arial" w:cs="Arial"/>
        </w:rPr>
        <w:t>al-</w:t>
      </w:r>
      <w:r w:rsidR="00C46B96" w:rsidRPr="00EA0E06">
        <w:rPr>
          <w:rFonts w:ascii="Arial" w:hAnsi="Arial" w:cs="Arial"/>
        </w:rPr>
        <w:t>to</w:t>
      </w:r>
      <w:r w:rsidR="005825A4">
        <w:rPr>
          <w:rFonts w:ascii="Arial" w:hAnsi="Arial" w:cs="Arial"/>
        </w:rPr>
        <w:t>-</w:t>
      </w:r>
      <w:r w:rsidR="00C46B96" w:rsidRPr="00EA0E06">
        <w:rPr>
          <w:rFonts w:ascii="Arial" w:hAnsi="Arial" w:cs="Arial"/>
        </w:rPr>
        <w:t>bacteria</w:t>
      </w:r>
      <w:r w:rsidR="005825A4">
        <w:rPr>
          <w:rFonts w:ascii="Arial" w:hAnsi="Arial" w:cs="Arial"/>
        </w:rPr>
        <w:t>l</w:t>
      </w:r>
      <w:r w:rsidR="00C46B96" w:rsidRPr="00EA0E06">
        <w:rPr>
          <w:rFonts w:ascii="Arial" w:hAnsi="Arial" w:cs="Arial"/>
        </w:rPr>
        <w:t xml:space="preserve"> ratio compared</w:t>
      </w:r>
      <w:r w:rsidR="005825A4">
        <w:rPr>
          <w:rFonts w:ascii="Arial" w:hAnsi="Arial" w:cs="Arial"/>
        </w:rPr>
        <w:t xml:space="preserve"> with</w:t>
      </w:r>
      <w:r w:rsidR="00C46B96" w:rsidRPr="00EA0E06">
        <w:rPr>
          <w:rFonts w:ascii="Arial" w:hAnsi="Arial" w:cs="Arial"/>
        </w:rPr>
        <w:t xml:space="preserve"> the other s</w:t>
      </w:r>
      <w:r w:rsidR="00B63038">
        <w:rPr>
          <w:rFonts w:ascii="Arial" w:hAnsi="Arial" w:cs="Arial"/>
        </w:rPr>
        <w:t>oil types</w:t>
      </w:r>
      <w:r w:rsidR="00C46B96" w:rsidRPr="00EA0E06">
        <w:rPr>
          <w:rFonts w:ascii="Arial" w:hAnsi="Arial" w:cs="Arial"/>
        </w:rPr>
        <w:t>.</w:t>
      </w:r>
      <w:r w:rsidR="00FA188B">
        <w:rPr>
          <w:rFonts w:ascii="Arial" w:hAnsi="Arial" w:cs="Arial"/>
        </w:rPr>
        <w:t xml:space="preserve"> The sandy Podzol retains low nutrients</w:t>
      </w:r>
      <w:r w:rsidR="005825A4">
        <w:rPr>
          <w:rFonts w:ascii="Arial" w:hAnsi="Arial" w:cs="Arial"/>
        </w:rPr>
        <w:t>,</w:t>
      </w:r>
      <w:r w:rsidR="00FA188B">
        <w:rPr>
          <w:rFonts w:ascii="Arial" w:hAnsi="Arial" w:cs="Arial"/>
        </w:rPr>
        <w:t xml:space="preserve"> and fungi can survive under low-nutrient conditions better than bacteria</w:t>
      </w:r>
      <w:r w:rsidR="00FF11FF">
        <w:rPr>
          <w:rFonts w:ascii="Arial" w:hAnsi="Arial" w:cs="Arial"/>
        </w:rPr>
        <w:fldChar w:fldCharType="begin"/>
      </w:r>
      <w:r w:rsidR="00FF11FF">
        <w:rPr>
          <w:rFonts w:ascii="Arial" w:hAnsi="Arial" w:cs="Arial"/>
        </w:rPr>
        <w:instrText xml:space="preserve"> ADDIN ZOTERO_ITEM CSL_CITATION {"citationID":"q351JnZT","properties":{"formattedCitation":"\\super 4\\nosupersub{}","plainCitation":"4","noteIndex":0},"citationItems":[{"id":653,"uris":["http://zotero.org/users/18474468/items/PMK68IKN"],"itemData":{"id":653,"type":"article-journal","abstract":"Abstract\n            \n              \n                \n                  \n                    Decomposition of litter is a key biochemical process that regulates the rate and magnitude of CO\n                    2\n                    fluxes from biosphere to atmosphere and determines soil nutrient availability. Although several studies have shown that plant litter decomposition accelerated in their native compared to a foreign environment, that is, a home</w:instrText>
      </w:r>
      <w:r w:rsidR="00FF11FF">
        <w:rPr>
          <w:rFonts w:ascii="Cambria Math" w:hAnsi="Cambria Math" w:cs="Cambria Math"/>
        </w:rPr>
        <w:instrText>‐</w:instrText>
      </w:r>
      <w:r w:rsidR="00FF11FF">
        <w:rPr>
          <w:rFonts w:ascii="Arial" w:hAnsi="Arial" w:cs="Arial"/>
        </w:rPr>
        <w:instrText>field advantage (HFA) for litter degradation, to date HFA has only been considered in terms of respiration or litter mass loss.\n                  \n                \n                \n                  The competitive success of the decomposer micro</w:instrText>
      </w:r>
      <w:r w:rsidR="00FF11FF">
        <w:rPr>
          <w:rFonts w:ascii="Cambria Math" w:hAnsi="Cambria Math" w:cs="Cambria Math"/>
        </w:rPr>
        <w:instrText>‐</w:instrText>
      </w:r>
      <w:r w:rsidR="00FF11FF">
        <w:rPr>
          <w:rFonts w:ascii="Arial" w:hAnsi="Arial" w:cs="Arial"/>
        </w:rPr>
        <w:instrText>organism will be determined by its ability to transform used OM into population growth. Therefore, we hypothesized that HFA for microbial growth would be more pronounced than that for decomposition. We also expected that HFA effect for decomposition and microbial growth would increase with lower quality litter, which the fungal role in litter decomposition would be more dominant than that of bacteria, and that HFA effects would strengthen with more pronounced differences between ‘home’ and ‘away’ environments.\n                \n                \n                  \n                    We designed a 2</w:instrText>
      </w:r>
      <w:r w:rsidR="00FF11FF">
        <w:rPr>
          <w:rFonts w:ascii="Cambria Math" w:hAnsi="Cambria Math" w:cs="Cambria Math"/>
        </w:rPr>
        <w:instrText>‐</w:instrText>
      </w:r>
      <w:r w:rsidR="00FF11FF">
        <w:rPr>
          <w:rFonts w:ascii="Arial" w:hAnsi="Arial" w:cs="Arial"/>
        </w:rPr>
        <w:instrText>month microcosm reciprocal transplant experiment with litter from two sites with contrasting climates (Atlantic and Sub</w:instrText>
      </w:r>
      <w:r w:rsidR="00FF11FF">
        <w:rPr>
          <w:rFonts w:ascii="Cambria Math" w:hAnsi="Cambria Math" w:cs="Cambria Math"/>
        </w:rPr>
        <w:instrText>‐</w:instrText>
      </w:r>
      <w:r w:rsidR="00FF11FF">
        <w:rPr>
          <w:rFonts w:ascii="Arial" w:hAnsi="Arial" w:cs="Arial"/>
        </w:rPr>
        <w:instrText>Mediterranean climates) and including three tree species (\n                    Quercus robur\n                    ,\n                    Pinus sylvestris\n                    and\n                    Fagus sylvatica\n                    ).\n                  \n                \n                \n                  We found a stronger HFA for microbial growth than for decomposition, that the nutrient content and C</w:instrText>
      </w:r>
      <w:r w:rsidR="00FF11FF">
        <w:rPr>
          <w:rFonts w:ascii="Cambria Math" w:hAnsi="Cambria Math" w:cs="Cambria Math"/>
        </w:rPr>
        <w:instrText>‐</w:instrText>
      </w:r>
      <w:r w:rsidR="00FF11FF">
        <w:rPr>
          <w:rFonts w:ascii="Arial" w:hAnsi="Arial" w:cs="Arial"/>
        </w:rPr>
        <w:instrText>quality of litter influenced the microbial HFA and that interactions between bacterial and fungal communities during litter decomposition modulated the HFA for litter degradation.\n                \n                \n                  Low litter nutrient content, strong nutrient limitations and low C</w:instrText>
      </w:r>
      <w:r w:rsidR="00FF11FF">
        <w:rPr>
          <w:rFonts w:ascii="Cambria Math" w:hAnsi="Cambria Math" w:cs="Cambria Math"/>
        </w:rPr>
        <w:instrText>‐</w:instrText>
      </w:r>
      <w:r w:rsidR="00FF11FF">
        <w:rPr>
          <w:rFonts w:ascii="Arial" w:hAnsi="Arial" w:cs="Arial"/>
        </w:rPr>
        <w:instrText>qualities all favoured fungal over bacterial decomposers, and our results suggest a dominant functional role of the fungal community and gave rise to HFA effect for fungal growth but that this translated to only marginal implications for overall decomposition of litter.\n                \n              \n            \n            \n              A free\n              Plain Language Summary\n              can be found within the Supporting Information of this article.","container-title":"Functional Ecology","DOI":"10.1111/1365-2435.13822","ISSN":"0269-8463, 1365-2435","issue":"8","journalAbbreviation":"Functional Ecology","language":"en","page":"1783-1796","source":"DOI.org (Crossref)","title":"Low</w:instrText>
      </w:r>
      <w:r w:rsidR="00FF11FF">
        <w:rPr>
          <w:rFonts w:ascii="Cambria Math" w:hAnsi="Cambria Math" w:cs="Cambria Math"/>
        </w:rPr>
        <w:instrText>‐</w:instrText>
      </w:r>
      <w:r w:rsidR="00FF11FF">
        <w:rPr>
          <w:rFonts w:ascii="Arial" w:hAnsi="Arial" w:cs="Arial"/>
        </w:rPr>
        <w:instrText>quality carbon and lack of nutrients result in a stronger fungal than bacterial home</w:instrText>
      </w:r>
      <w:r w:rsidR="00FF11FF">
        <w:rPr>
          <w:rFonts w:ascii="Cambria Math" w:hAnsi="Cambria Math" w:cs="Cambria Math"/>
        </w:rPr>
        <w:instrText>‐</w:instrText>
      </w:r>
      <w:r w:rsidR="00FF11FF">
        <w:rPr>
          <w:rFonts w:ascii="Arial" w:hAnsi="Arial" w:cs="Arial"/>
        </w:rPr>
        <w:instrText>field advantage during the decomposition of leaf litter","volume":"35","author":[{"family":"Benito</w:instrText>
      </w:r>
      <w:r w:rsidR="00FF11FF">
        <w:rPr>
          <w:rFonts w:ascii="Cambria Math" w:hAnsi="Cambria Math" w:cs="Cambria Math"/>
        </w:rPr>
        <w:instrText>‐</w:instrText>
      </w:r>
      <w:r w:rsidR="00FF11FF">
        <w:rPr>
          <w:rFonts w:ascii="Arial" w:hAnsi="Arial" w:cs="Arial"/>
        </w:rPr>
        <w:instrText>Carnero","given":"Garazi"},{"family":"Gartzia</w:instrText>
      </w:r>
      <w:r w:rsidR="00FF11FF">
        <w:rPr>
          <w:rFonts w:ascii="Cambria Math" w:hAnsi="Cambria Math" w:cs="Cambria Math"/>
        </w:rPr>
        <w:instrText>‐</w:instrText>
      </w:r>
      <w:r w:rsidR="00FF11FF">
        <w:rPr>
          <w:rFonts w:ascii="Arial" w:hAnsi="Arial" w:cs="Arial"/>
        </w:rPr>
        <w:instrText>Bengoetxea","given":"Nahia"},{"family":"Arias</w:instrText>
      </w:r>
      <w:r w:rsidR="00FF11FF">
        <w:rPr>
          <w:rFonts w:ascii="Cambria Math" w:hAnsi="Cambria Math" w:cs="Cambria Math"/>
        </w:rPr>
        <w:instrText>‐</w:instrText>
      </w:r>
      <w:r w:rsidR="00FF11FF">
        <w:rPr>
          <w:rFonts w:ascii="Arial" w:hAnsi="Arial" w:cs="Arial"/>
        </w:rPr>
        <w:instrText xml:space="preserve">González","given":"Ander"},{"family":"Rousk","given":"Johannes"}],"issued":{"date-parts":[["2021",8]]}}}],"schema":"https://github.com/citation-style-language/schema/raw/master/csl-citation.json"} </w:instrText>
      </w:r>
      <w:r w:rsidR="00FF11FF">
        <w:rPr>
          <w:rFonts w:ascii="Arial" w:hAnsi="Arial" w:cs="Arial"/>
        </w:rPr>
        <w:fldChar w:fldCharType="separate"/>
      </w:r>
      <w:r w:rsidR="00FF11FF" w:rsidRPr="00FF11FF">
        <w:rPr>
          <w:rFonts w:ascii="Arial" w:hAnsi="Arial" w:cs="Arial"/>
          <w:kern w:val="0"/>
          <w:vertAlign w:val="superscript"/>
        </w:rPr>
        <w:t>4</w:t>
      </w:r>
      <w:r w:rsidR="00FF11FF">
        <w:rPr>
          <w:rFonts w:ascii="Arial" w:hAnsi="Arial" w:cs="Arial"/>
        </w:rPr>
        <w:fldChar w:fldCharType="end"/>
      </w:r>
      <w:r w:rsidR="00FA188B" w:rsidRPr="00EA0E06">
        <w:rPr>
          <w:rFonts w:ascii="Arial" w:hAnsi="Arial" w:cs="Arial"/>
        </w:rPr>
        <w:t xml:space="preserve">, </w:t>
      </w:r>
      <w:r w:rsidR="005825A4">
        <w:rPr>
          <w:rFonts w:ascii="Arial" w:hAnsi="Arial" w:cs="Arial"/>
        </w:rPr>
        <w:t xml:space="preserve">which is </w:t>
      </w:r>
      <w:r w:rsidR="00FA188B" w:rsidRPr="00EA0E06">
        <w:rPr>
          <w:rFonts w:ascii="Arial" w:hAnsi="Arial" w:cs="Arial"/>
        </w:rPr>
        <w:t xml:space="preserve">reflected </w:t>
      </w:r>
      <w:r w:rsidR="005825A4">
        <w:rPr>
          <w:rFonts w:ascii="Arial" w:hAnsi="Arial" w:cs="Arial"/>
        </w:rPr>
        <w:t>in</w:t>
      </w:r>
      <w:r w:rsidR="00FA188B" w:rsidRPr="00EA0E06">
        <w:rPr>
          <w:rFonts w:ascii="Arial" w:hAnsi="Arial" w:cs="Arial"/>
        </w:rPr>
        <w:t xml:space="preserve"> the increasing trend </w:t>
      </w:r>
      <w:r w:rsidR="005825A4">
        <w:rPr>
          <w:rFonts w:ascii="Arial" w:hAnsi="Arial" w:cs="Arial"/>
        </w:rPr>
        <w:t>of</w:t>
      </w:r>
      <w:r w:rsidR="00FA188B" w:rsidRPr="00EA0E06">
        <w:rPr>
          <w:rFonts w:ascii="Arial" w:hAnsi="Arial" w:cs="Arial"/>
        </w:rPr>
        <w:t xml:space="preserve"> fungal abundance</w:t>
      </w:r>
      <w:r w:rsidR="00FA188B">
        <w:rPr>
          <w:rFonts w:ascii="Arial" w:hAnsi="Arial" w:cs="Arial"/>
        </w:rPr>
        <w:t xml:space="preserve"> in the Podzol subsoil.</w:t>
      </w:r>
    </w:p>
    <w:p w14:paraId="267BCD86" w14:textId="2EA18202" w:rsidR="00CF6FCD" w:rsidRDefault="00C46B96" w:rsidP="00CF6FCD">
      <w:pPr>
        <w:spacing w:line="480" w:lineRule="auto"/>
        <w:ind w:firstLine="720"/>
        <w:jc w:val="both"/>
        <w:rPr>
          <w:rFonts w:ascii="Arial" w:hAnsi="Arial" w:cs="Arial"/>
        </w:rPr>
      </w:pPr>
      <w:r w:rsidRPr="00EA0E06">
        <w:rPr>
          <w:rFonts w:ascii="Arial" w:hAnsi="Arial" w:cs="Arial"/>
        </w:rPr>
        <w:t xml:space="preserve">We compared the contribution of fungi </w:t>
      </w:r>
      <w:r w:rsidR="00CE38E9">
        <w:rPr>
          <w:rFonts w:ascii="Arial" w:hAnsi="Arial" w:cs="Arial"/>
        </w:rPr>
        <w:t>and</w:t>
      </w:r>
      <w:r w:rsidRPr="00EA0E06">
        <w:rPr>
          <w:rFonts w:ascii="Arial" w:hAnsi="Arial" w:cs="Arial"/>
        </w:rPr>
        <w:t xml:space="preserve"> bacteria in reused root channels</w:t>
      </w:r>
      <w:r w:rsidR="00FF11FF">
        <w:rPr>
          <w:rFonts w:ascii="Arial" w:hAnsi="Arial" w:cs="Arial"/>
        </w:rPr>
        <w:t xml:space="preserve"> to biochemical pathways</w:t>
      </w:r>
      <w:r w:rsidR="00CE38E9">
        <w:rPr>
          <w:rFonts w:ascii="Arial" w:hAnsi="Arial" w:cs="Arial"/>
        </w:rPr>
        <w:t>.</w:t>
      </w:r>
      <w:r w:rsidR="00FF11FF">
        <w:rPr>
          <w:rFonts w:ascii="Arial" w:hAnsi="Arial" w:cs="Arial"/>
        </w:rPr>
        <w:t xml:space="preserve"> </w:t>
      </w:r>
      <w:r w:rsidR="00CE38E9">
        <w:rPr>
          <w:rFonts w:ascii="Arial" w:hAnsi="Arial" w:cs="Arial"/>
        </w:rPr>
        <w:t>This was done by</w:t>
      </w:r>
      <w:r w:rsidR="00A14DFB">
        <w:rPr>
          <w:rFonts w:ascii="Arial" w:hAnsi="Arial" w:cs="Arial"/>
        </w:rPr>
        <w:t xml:space="preserve"> quantif</w:t>
      </w:r>
      <w:r w:rsidR="00CE38E9">
        <w:rPr>
          <w:rFonts w:ascii="Arial" w:hAnsi="Arial" w:cs="Arial"/>
        </w:rPr>
        <w:t>ying</w:t>
      </w:r>
      <w:r w:rsidR="00A14DFB">
        <w:rPr>
          <w:rFonts w:ascii="Arial" w:hAnsi="Arial" w:cs="Arial"/>
        </w:rPr>
        <w:t xml:space="preserve"> the ratio of LFQ intensities of the </w:t>
      </w:r>
      <w:r w:rsidR="00A14DFB">
        <w:rPr>
          <w:rFonts w:ascii="Arial" w:hAnsi="Arial" w:cs="Arial"/>
        </w:rPr>
        <w:lastRenderedPageBreak/>
        <w:t xml:space="preserve">identified proteins </w:t>
      </w:r>
      <w:r w:rsidR="00CE38E9">
        <w:rPr>
          <w:rFonts w:ascii="Arial" w:hAnsi="Arial" w:cs="Arial"/>
        </w:rPr>
        <w:t>in</w:t>
      </w:r>
      <w:r w:rsidR="00A14DFB">
        <w:rPr>
          <w:rFonts w:ascii="Arial" w:hAnsi="Arial" w:cs="Arial"/>
        </w:rPr>
        <w:t xml:space="preserve"> our metaproteomics analysis</w:t>
      </w:r>
      <w:r w:rsidR="00CE38E9">
        <w:rPr>
          <w:rFonts w:ascii="Arial" w:hAnsi="Arial" w:cs="Arial"/>
        </w:rPr>
        <w:t>, considering</w:t>
      </w:r>
      <w:r w:rsidR="00A14DFB">
        <w:rPr>
          <w:rFonts w:ascii="Arial" w:hAnsi="Arial" w:cs="Arial"/>
        </w:rPr>
        <w:t xml:space="preserve"> only </w:t>
      </w:r>
      <w:r w:rsidR="00CE38E9">
        <w:rPr>
          <w:rFonts w:ascii="Arial" w:hAnsi="Arial" w:cs="Arial"/>
        </w:rPr>
        <w:t>those</w:t>
      </w:r>
      <w:r w:rsidR="00A14DFB">
        <w:rPr>
          <w:rFonts w:ascii="Arial" w:hAnsi="Arial" w:cs="Arial"/>
        </w:rPr>
        <w:t xml:space="preserve"> proteins </w:t>
      </w:r>
      <w:r w:rsidR="00CE38E9">
        <w:rPr>
          <w:rFonts w:ascii="Arial" w:hAnsi="Arial" w:cs="Arial"/>
        </w:rPr>
        <w:t xml:space="preserve">detected in </w:t>
      </w:r>
      <w:r w:rsidR="00A14DFB">
        <w:rPr>
          <w:rFonts w:ascii="Arial" w:hAnsi="Arial" w:cs="Arial"/>
        </w:rPr>
        <w:t xml:space="preserve">both fungi and bacteria. In addition, we only selected proteins </w:t>
      </w:r>
      <w:r w:rsidR="00CE38E9">
        <w:rPr>
          <w:rFonts w:ascii="Arial" w:hAnsi="Arial" w:cs="Arial"/>
        </w:rPr>
        <w:t>associated with</w:t>
      </w:r>
      <w:r w:rsidR="00A14DFB">
        <w:rPr>
          <w:rFonts w:ascii="Arial" w:hAnsi="Arial" w:cs="Arial"/>
        </w:rPr>
        <w:t xml:space="preserve"> </w:t>
      </w:r>
      <w:r w:rsidR="00CE38E9">
        <w:rPr>
          <w:rFonts w:ascii="Arial" w:hAnsi="Arial" w:cs="Arial"/>
        </w:rPr>
        <w:t>the dominant fungal phylum</w:t>
      </w:r>
      <w:r w:rsidR="00A14DFB">
        <w:rPr>
          <w:rFonts w:ascii="Arial" w:hAnsi="Arial" w:cs="Arial"/>
        </w:rPr>
        <w:t xml:space="preserve"> </w:t>
      </w:r>
      <w:r w:rsidR="00A14DFB" w:rsidRPr="00A14DFB">
        <w:rPr>
          <w:rFonts w:ascii="Arial" w:hAnsi="Arial" w:cs="Arial"/>
          <w:i/>
          <w:iCs/>
        </w:rPr>
        <w:t>Ascomycota</w:t>
      </w:r>
      <w:r w:rsidR="00A14DFB">
        <w:rPr>
          <w:rFonts w:ascii="Arial" w:hAnsi="Arial" w:cs="Arial"/>
        </w:rPr>
        <w:t xml:space="preserve"> and the two</w:t>
      </w:r>
      <w:r w:rsidR="00CE38E9">
        <w:rPr>
          <w:rFonts w:ascii="Arial" w:hAnsi="Arial" w:cs="Arial"/>
        </w:rPr>
        <w:t xml:space="preserve"> dominant</w:t>
      </w:r>
      <w:r w:rsidR="00A14DFB">
        <w:rPr>
          <w:rFonts w:ascii="Arial" w:hAnsi="Arial" w:cs="Arial"/>
        </w:rPr>
        <w:t xml:space="preserve"> bacterial </w:t>
      </w:r>
      <w:r w:rsidR="00CE38E9">
        <w:rPr>
          <w:rFonts w:ascii="Arial" w:hAnsi="Arial" w:cs="Arial"/>
        </w:rPr>
        <w:t>phyla</w:t>
      </w:r>
      <w:r w:rsidR="00A14DFB">
        <w:rPr>
          <w:rFonts w:ascii="Arial" w:hAnsi="Arial" w:cs="Arial"/>
        </w:rPr>
        <w:t xml:space="preserve"> </w:t>
      </w:r>
      <w:r w:rsidR="00A14DFB" w:rsidRPr="00A14DFB">
        <w:rPr>
          <w:rFonts w:ascii="Arial" w:hAnsi="Arial" w:cs="Arial"/>
          <w:i/>
          <w:iCs/>
        </w:rPr>
        <w:t>Actinomycetota</w:t>
      </w:r>
      <w:r w:rsidR="00A14DFB">
        <w:rPr>
          <w:rFonts w:ascii="Arial" w:hAnsi="Arial" w:cs="Arial"/>
        </w:rPr>
        <w:t xml:space="preserve"> and </w:t>
      </w:r>
      <w:r w:rsidR="00A14DFB" w:rsidRPr="00A14DFB">
        <w:rPr>
          <w:rFonts w:ascii="Arial" w:hAnsi="Arial" w:cs="Arial"/>
          <w:i/>
          <w:iCs/>
        </w:rPr>
        <w:t>Pseudomonadota</w:t>
      </w:r>
      <w:r w:rsidR="00A14DFB">
        <w:rPr>
          <w:rFonts w:ascii="Arial" w:hAnsi="Arial" w:cs="Arial"/>
        </w:rPr>
        <w:t>.</w:t>
      </w:r>
      <w:r w:rsidRPr="00EA0E06">
        <w:rPr>
          <w:rFonts w:ascii="Arial" w:hAnsi="Arial" w:cs="Arial"/>
        </w:rPr>
        <w:t xml:space="preserve"> </w:t>
      </w:r>
      <w:r w:rsidR="00A14DFB">
        <w:rPr>
          <w:rFonts w:ascii="Arial" w:hAnsi="Arial" w:cs="Arial"/>
        </w:rPr>
        <w:t xml:space="preserve">As </w:t>
      </w:r>
      <w:r w:rsidR="00CE38E9">
        <w:rPr>
          <w:rFonts w:ascii="Arial" w:hAnsi="Arial" w:cs="Arial"/>
        </w:rPr>
        <w:t>shown</w:t>
      </w:r>
      <w:r w:rsidR="00A14DFB">
        <w:rPr>
          <w:rFonts w:ascii="Arial" w:hAnsi="Arial" w:cs="Arial"/>
        </w:rPr>
        <w:t xml:space="preserve"> in Fig. </w:t>
      </w:r>
      <w:r w:rsidR="00E32F5B">
        <w:rPr>
          <w:rFonts w:ascii="Arial" w:hAnsi="Arial" w:cs="Arial"/>
        </w:rPr>
        <w:t>S10</w:t>
      </w:r>
      <w:r w:rsidR="00A14DFB">
        <w:rPr>
          <w:rFonts w:ascii="Arial" w:hAnsi="Arial" w:cs="Arial"/>
        </w:rPr>
        <w:t>b, fungal contribution</w:t>
      </w:r>
      <w:r w:rsidR="00CE38E9">
        <w:rPr>
          <w:rFonts w:ascii="Arial" w:hAnsi="Arial" w:cs="Arial"/>
        </w:rPr>
        <w:t>s</w:t>
      </w:r>
      <w:r w:rsidR="00A14DFB">
        <w:rPr>
          <w:rFonts w:ascii="Arial" w:hAnsi="Arial" w:cs="Arial"/>
        </w:rPr>
        <w:t xml:space="preserve"> to biochemical pathways</w:t>
      </w:r>
      <w:r w:rsidRPr="00EA0E06">
        <w:rPr>
          <w:rFonts w:ascii="Arial" w:hAnsi="Arial" w:cs="Arial"/>
        </w:rPr>
        <w:t xml:space="preserve"> increase</w:t>
      </w:r>
      <w:r w:rsidR="00CE38E9">
        <w:rPr>
          <w:rFonts w:ascii="Arial" w:hAnsi="Arial" w:cs="Arial"/>
        </w:rPr>
        <w:t>d</w:t>
      </w:r>
      <w:r w:rsidRPr="00EA0E06">
        <w:rPr>
          <w:rFonts w:ascii="Arial" w:hAnsi="Arial" w:cs="Arial"/>
        </w:rPr>
        <w:t xml:space="preserve"> relatively </w:t>
      </w:r>
      <w:r w:rsidR="00CE38E9">
        <w:rPr>
          <w:rFonts w:ascii="Arial" w:hAnsi="Arial" w:cs="Arial"/>
        </w:rPr>
        <w:t>f</w:t>
      </w:r>
      <w:r w:rsidRPr="00EA0E06">
        <w:rPr>
          <w:rFonts w:ascii="Arial" w:hAnsi="Arial" w:cs="Arial"/>
        </w:rPr>
        <w:t>rom the topsoil to the subsoil</w:t>
      </w:r>
      <w:r w:rsidR="00A14DFB">
        <w:rPr>
          <w:rFonts w:ascii="Arial" w:hAnsi="Arial" w:cs="Arial"/>
        </w:rPr>
        <w:t xml:space="preserve">, possibly </w:t>
      </w:r>
      <w:r w:rsidR="00CE38E9">
        <w:rPr>
          <w:rFonts w:ascii="Arial" w:hAnsi="Arial" w:cs="Arial"/>
        </w:rPr>
        <w:t>due</w:t>
      </w:r>
      <w:r w:rsidR="00A14DFB">
        <w:rPr>
          <w:rFonts w:ascii="Arial" w:hAnsi="Arial" w:cs="Arial"/>
        </w:rPr>
        <w:t xml:space="preserve"> to </w:t>
      </w:r>
      <w:r w:rsidR="00CE38E9">
        <w:rPr>
          <w:rFonts w:ascii="Arial" w:hAnsi="Arial" w:cs="Arial"/>
        </w:rPr>
        <w:t xml:space="preserve">the ability of </w:t>
      </w:r>
      <w:r w:rsidR="00A14DFB">
        <w:rPr>
          <w:rFonts w:ascii="Arial" w:hAnsi="Arial" w:cs="Arial"/>
        </w:rPr>
        <w:t xml:space="preserve">fungi </w:t>
      </w:r>
      <w:r w:rsidR="00CE38E9">
        <w:rPr>
          <w:rFonts w:ascii="Arial" w:hAnsi="Arial" w:cs="Arial"/>
        </w:rPr>
        <w:t>to</w:t>
      </w:r>
      <w:r w:rsidR="00A14DFB">
        <w:rPr>
          <w:rFonts w:ascii="Arial" w:hAnsi="Arial" w:cs="Arial"/>
        </w:rPr>
        <w:t xml:space="preserve"> tolera</w:t>
      </w:r>
      <w:r w:rsidR="00CE38E9">
        <w:rPr>
          <w:rFonts w:ascii="Arial" w:hAnsi="Arial" w:cs="Arial"/>
        </w:rPr>
        <w:t>te</w:t>
      </w:r>
      <w:r w:rsidR="00A14DFB">
        <w:rPr>
          <w:rFonts w:ascii="Arial" w:hAnsi="Arial" w:cs="Arial"/>
        </w:rPr>
        <w:t xml:space="preserve"> low-nutrient conditions and therefore function </w:t>
      </w:r>
      <w:r w:rsidR="00CE38E9">
        <w:rPr>
          <w:rFonts w:ascii="Arial" w:hAnsi="Arial" w:cs="Arial"/>
        </w:rPr>
        <w:t>more effectively</w:t>
      </w:r>
      <w:r w:rsidR="00A14DFB">
        <w:rPr>
          <w:rFonts w:ascii="Arial" w:hAnsi="Arial" w:cs="Arial"/>
        </w:rPr>
        <w:t xml:space="preserve"> than bacteria in the subsoil</w:t>
      </w:r>
      <w:r w:rsidR="00CF6FCD">
        <w:rPr>
          <w:rFonts w:ascii="Arial" w:hAnsi="Arial" w:cs="Arial"/>
        </w:rPr>
        <w:t xml:space="preserve"> (Table S1</w:t>
      </w:r>
      <w:r w:rsidR="00BC7F36">
        <w:rPr>
          <w:rFonts w:ascii="Arial" w:hAnsi="Arial" w:cs="Arial"/>
        </w:rPr>
        <w:t>2</w:t>
      </w:r>
      <w:r w:rsidR="00CF6FCD">
        <w:rPr>
          <w:rFonts w:ascii="Arial" w:hAnsi="Arial" w:cs="Arial"/>
        </w:rPr>
        <w:t>b)</w:t>
      </w:r>
      <w:r w:rsidR="00A14DFB">
        <w:rPr>
          <w:rFonts w:ascii="Arial" w:hAnsi="Arial" w:cs="Arial"/>
        </w:rPr>
        <w:t>.</w:t>
      </w:r>
      <w:r w:rsidRPr="00EA0E06">
        <w:rPr>
          <w:rFonts w:ascii="Arial" w:hAnsi="Arial" w:cs="Arial"/>
        </w:rPr>
        <w:t xml:space="preserve"> 6-PGDH was contributed </w:t>
      </w:r>
      <w:r w:rsidR="00CE38E9">
        <w:rPr>
          <w:rFonts w:ascii="Arial" w:hAnsi="Arial" w:cs="Arial"/>
        </w:rPr>
        <w:t xml:space="preserve">relatively </w:t>
      </w:r>
      <w:r w:rsidRPr="00EA0E06">
        <w:rPr>
          <w:rFonts w:ascii="Arial" w:hAnsi="Arial" w:cs="Arial"/>
        </w:rPr>
        <w:t xml:space="preserve">more by fungi, </w:t>
      </w:r>
      <w:r w:rsidR="00CE38E9">
        <w:rPr>
          <w:rFonts w:ascii="Arial" w:hAnsi="Arial" w:cs="Arial"/>
        </w:rPr>
        <w:t>particularly</w:t>
      </w:r>
      <w:r w:rsidRPr="00EA0E06">
        <w:rPr>
          <w:rFonts w:ascii="Arial" w:hAnsi="Arial" w:cs="Arial"/>
        </w:rPr>
        <w:t xml:space="preserve"> </w:t>
      </w:r>
      <w:r w:rsidRPr="00EA0E06">
        <w:rPr>
          <w:rFonts w:ascii="Arial" w:hAnsi="Arial" w:cs="Arial"/>
          <w:i/>
          <w:iCs/>
        </w:rPr>
        <w:t>Ascomycota</w:t>
      </w:r>
      <w:r w:rsidRPr="00EA0E06">
        <w:rPr>
          <w:rFonts w:ascii="Arial" w:hAnsi="Arial" w:cs="Arial"/>
        </w:rPr>
        <w:t xml:space="preserve"> in the </w:t>
      </w:r>
      <w:r w:rsidRPr="00EA0E06">
        <w:rPr>
          <w:rFonts w:ascii="Arial" w:hAnsi="Arial" w:cs="Arial"/>
          <w:i/>
          <w:iCs/>
        </w:rPr>
        <w:t>Fabaceae/Poaceae</w:t>
      </w:r>
      <w:r w:rsidRPr="00EA0E06">
        <w:rPr>
          <w:rFonts w:ascii="Arial" w:hAnsi="Arial" w:cs="Arial"/>
        </w:rPr>
        <w:t xml:space="preserve"> root channels, </w:t>
      </w:r>
      <w:r w:rsidR="00CE38E9">
        <w:rPr>
          <w:rFonts w:ascii="Arial" w:hAnsi="Arial" w:cs="Arial"/>
        </w:rPr>
        <w:t>particularly</w:t>
      </w:r>
      <w:r w:rsidRPr="00EA0E06">
        <w:rPr>
          <w:rFonts w:ascii="Arial" w:hAnsi="Arial" w:cs="Arial"/>
        </w:rPr>
        <w:t xml:space="preserve"> under </w:t>
      </w:r>
      <w:r w:rsidR="00CE38E9">
        <w:rPr>
          <w:rFonts w:ascii="Arial" w:hAnsi="Arial" w:cs="Arial"/>
        </w:rPr>
        <w:t>D</w:t>
      </w:r>
      <w:r w:rsidRPr="00EA0E06">
        <w:rPr>
          <w:rFonts w:ascii="Arial" w:hAnsi="Arial" w:cs="Arial"/>
        </w:rPr>
        <w:t xml:space="preserve"> in the Podzol</w:t>
      </w:r>
      <w:r w:rsidR="00CE38E9">
        <w:rPr>
          <w:rFonts w:ascii="Arial" w:hAnsi="Arial" w:cs="Arial"/>
        </w:rPr>
        <w:t>, where it contributes</w:t>
      </w:r>
      <w:r w:rsidR="00A14DFB">
        <w:rPr>
          <w:rFonts w:ascii="Arial" w:hAnsi="Arial" w:cs="Arial"/>
        </w:rPr>
        <w:t xml:space="preserve"> to NADPH generation</w:t>
      </w:r>
      <w:r w:rsidR="00CE38E9">
        <w:rPr>
          <w:rFonts w:ascii="Arial" w:hAnsi="Arial" w:cs="Arial"/>
        </w:rPr>
        <w:t xml:space="preserve"> required for</w:t>
      </w:r>
      <w:r w:rsidR="00A14DFB">
        <w:rPr>
          <w:rFonts w:ascii="Arial" w:hAnsi="Arial" w:cs="Arial"/>
        </w:rPr>
        <w:t xml:space="preserve"> cellular redox homeostasis</w:t>
      </w:r>
      <w:r w:rsidR="00A14DFB">
        <w:rPr>
          <w:rFonts w:ascii="Arial" w:hAnsi="Arial" w:cs="Arial"/>
        </w:rPr>
        <w:fldChar w:fldCharType="begin"/>
      </w:r>
      <w:r w:rsidR="00CF6FCD">
        <w:rPr>
          <w:rFonts w:ascii="Arial" w:hAnsi="Arial" w:cs="Arial"/>
        </w:rPr>
        <w:instrText xml:space="preserve"> ADDIN ZOTERO_ITEM CSL_CITATION {"citationID":"WJVMBpCB","properties":{"formattedCitation":"\\super 5\\nosupersub{}","plainCitation":"5","noteIndex":0},"citationItems":[{"id":507,"uris":["http://zotero.org/users/18474468/items/ZQLLVJVI"],"itemData":{"id":507,"type":"article-journal","container-title":"Biochemical Society Transactions","DOI":"10.1042/bst20231027","ISSN":"0300-5127","issue":"6","page":"2173-2187","title":"The enzymes of the oxidative phase of the pentose phosphate pathway as targets of reactive species: consequences for NADPH production","volume":"51","author":[{"family":"Fuentes-Lemus","given":"Eduardo"},{"family":"Reyes","given":"Juan Sebastián"},{"family":"Figueroa","given":"Juan David"},{"family":"Davies","given":"Michael J"},{"family":"López-Alarcón","given":"Camilo"}],"issued":{"date-parts":[["2023"]]}}}],"schema":"https://github.com/citation-style-language/schema/raw/master/csl-citation.json"} </w:instrText>
      </w:r>
      <w:r w:rsidR="00A14DFB">
        <w:rPr>
          <w:rFonts w:ascii="Arial" w:hAnsi="Arial" w:cs="Arial"/>
        </w:rPr>
        <w:fldChar w:fldCharType="separate"/>
      </w:r>
      <w:r w:rsidR="00CF6FCD" w:rsidRPr="00CF6FCD">
        <w:rPr>
          <w:rFonts w:ascii="Arial" w:hAnsi="Arial" w:cs="Arial"/>
          <w:kern w:val="0"/>
          <w:vertAlign w:val="superscript"/>
        </w:rPr>
        <w:t>5</w:t>
      </w:r>
      <w:r w:rsidR="00A14DFB">
        <w:rPr>
          <w:rFonts w:ascii="Arial" w:hAnsi="Arial" w:cs="Arial"/>
        </w:rPr>
        <w:fldChar w:fldCharType="end"/>
      </w:r>
      <w:r w:rsidRPr="00EA0E06">
        <w:rPr>
          <w:rFonts w:ascii="Arial" w:hAnsi="Arial" w:cs="Arial"/>
        </w:rPr>
        <w:t>. The</w:t>
      </w:r>
      <w:r w:rsidR="00CF6FCD">
        <w:rPr>
          <w:rFonts w:ascii="Arial" w:hAnsi="Arial" w:cs="Arial"/>
        </w:rPr>
        <w:t xml:space="preserve"> significantly high</w:t>
      </w:r>
      <w:r w:rsidR="00CE38E9">
        <w:rPr>
          <w:rFonts w:ascii="Arial" w:hAnsi="Arial" w:cs="Arial"/>
        </w:rPr>
        <w:t>er</w:t>
      </w:r>
      <w:r w:rsidRPr="00EA0E06">
        <w:rPr>
          <w:rFonts w:ascii="Arial" w:hAnsi="Arial" w:cs="Arial"/>
        </w:rPr>
        <w:t xml:space="preserve"> expression of SAM synthase </w:t>
      </w:r>
      <w:r w:rsidR="00CE38E9">
        <w:rPr>
          <w:rFonts w:ascii="Arial" w:hAnsi="Arial" w:cs="Arial"/>
        </w:rPr>
        <w:t>from</w:t>
      </w:r>
      <w:r w:rsidRPr="00EA0E06">
        <w:rPr>
          <w:rFonts w:ascii="Arial" w:hAnsi="Arial" w:cs="Arial"/>
        </w:rPr>
        <w:t xml:space="preserve"> the methionine cycle </w:t>
      </w:r>
      <w:r w:rsidR="00CF6FCD">
        <w:rPr>
          <w:rFonts w:ascii="Arial" w:hAnsi="Arial" w:cs="Arial"/>
        </w:rPr>
        <w:t>by fungi (Table S1</w:t>
      </w:r>
      <w:r w:rsidR="00BC7F36">
        <w:rPr>
          <w:rFonts w:ascii="Arial" w:hAnsi="Arial" w:cs="Arial"/>
        </w:rPr>
        <w:t>2</w:t>
      </w:r>
      <w:r w:rsidR="00CF6FCD">
        <w:rPr>
          <w:rFonts w:ascii="Arial" w:hAnsi="Arial" w:cs="Arial"/>
        </w:rPr>
        <w:t xml:space="preserve">c) </w:t>
      </w:r>
      <w:r w:rsidRPr="00EA0E06">
        <w:rPr>
          <w:rFonts w:ascii="Arial" w:hAnsi="Arial" w:cs="Arial"/>
        </w:rPr>
        <w:t>highlight</w:t>
      </w:r>
      <w:r w:rsidR="00CE38E9">
        <w:rPr>
          <w:rFonts w:ascii="Arial" w:hAnsi="Arial" w:cs="Arial"/>
        </w:rPr>
        <w:t>s</w:t>
      </w:r>
      <w:r w:rsidRPr="00EA0E06">
        <w:rPr>
          <w:rFonts w:ascii="Arial" w:hAnsi="Arial" w:cs="Arial"/>
        </w:rPr>
        <w:t xml:space="preserve"> increased contributions</w:t>
      </w:r>
      <w:r w:rsidR="00CF6FCD">
        <w:rPr>
          <w:rFonts w:ascii="Arial" w:hAnsi="Arial" w:cs="Arial"/>
        </w:rPr>
        <w:t xml:space="preserve"> under </w:t>
      </w:r>
      <w:r w:rsidR="00CE38E9">
        <w:rPr>
          <w:rFonts w:ascii="Arial" w:hAnsi="Arial" w:cs="Arial"/>
        </w:rPr>
        <w:t>D</w:t>
      </w:r>
      <w:r w:rsidRPr="00EA0E06">
        <w:rPr>
          <w:rFonts w:ascii="Arial" w:hAnsi="Arial" w:cs="Arial"/>
        </w:rPr>
        <w:t xml:space="preserve"> </w:t>
      </w:r>
      <w:r w:rsidR="00CE38E9">
        <w:rPr>
          <w:rFonts w:ascii="Arial" w:hAnsi="Arial" w:cs="Arial"/>
        </w:rPr>
        <w:t xml:space="preserve">vs RF </w:t>
      </w:r>
      <w:r w:rsidRPr="00EA0E06">
        <w:rPr>
          <w:rFonts w:ascii="Arial" w:hAnsi="Arial" w:cs="Arial"/>
        </w:rPr>
        <w:t>in the Luvisol and Podzol</w:t>
      </w:r>
      <w:r w:rsidR="00CE38E9">
        <w:rPr>
          <w:rFonts w:ascii="Arial" w:hAnsi="Arial" w:cs="Arial"/>
        </w:rPr>
        <w:t>, particularly</w:t>
      </w:r>
      <w:r w:rsidRPr="00EA0E06">
        <w:rPr>
          <w:rFonts w:ascii="Arial" w:hAnsi="Arial" w:cs="Arial"/>
        </w:rPr>
        <w:t xml:space="preserve"> </w:t>
      </w:r>
      <w:r w:rsidR="00CF6FCD">
        <w:rPr>
          <w:rFonts w:ascii="Arial" w:hAnsi="Arial" w:cs="Arial"/>
        </w:rPr>
        <w:t xml:space="preserve">in </w:t>
      </w:r>
      <w:r w:rsidRPr="00EA0E06">
        <w:rPr>
          <w:rFonts w:ascii="Arial" w:hAnsi="Arial" w:cs="Arial"/>
        </w:rPr>
        <w:t xml:space="preserve">the </w:t>
      </w:r>
      <w:r w:rsidR="00CE38E9">
        <w:rPr>
          <w:rFonts w:ascii="Arial" w:hAnsi="Arial" w:cs="Arial"/>
        </w:rPr>
        <w:t xml:space="preserve">subsoils. Together </w:t>
      </w:r>
      <w:r w:rsidR="00CF6FCD">
        <w:rPr>
          <w:rFonts w:ascii="Arial" w:hAnsi="Arial" w:cs="Arial"/>
        </w:rPr>
        <w:t>with elevated fungal abundances at th</w:t>
      </w:r>
      <w:r w:rsidR="00CE38E9">
        <w:rPr>
          <w:rFonts w:ascii="Arial" w:hAnsi="Arial" w:cs="Arial"/>
        </w:rPr>
        <w:t>e</w:t>
      </w:r>
      <w:r w:rsidR="00CF6FCD">
        <w:rPr>
          <w:rFonts w:ascii="Arial" w:hAnsi="Arial" w:cs="Arial"/>
        </w:rPr>
        <w:t>se sites</w:t>
      </w:r>
      <w:r w:rsidR="00CE38E9">
        <w:rPr>
          <w:rFonts w:ascii="Arial" w:hAnsi="Arial" w:cs="Arial"/>
        </w:rPr>
        <w:t>, this likely reflects</w:t>
      </w:r>
      <w:r w:rsidR="00CF6FCD">
        <w:rPr>
          <w:rFonts w:ascii="Arial" w:hAnsi="Arial" w:cs="Arial"/>
        </w:rPr>
        <w:t xml:space="preserve"> </w:t>
      </w:r>
      <w:r w:rsidR="00CE38E9">
        <w:rPr>
          <w:rFonts w:ascii="Arial" w:hAnsi="Arial" w:cs="Arial"/>
        </w:rPr>
        <w:t>fungal</w:t>
      </w:r>
      <w:r w:rsidR="00CF6FCD">
        <w:rPr>
          <w:rFonts w:ascii="Arial" w:hAnsi="Arial" w:cs="Arial"/>
        </w:rPr>
        <w:t xml:space="preserve"> attempts to regulate oxidative stress through glutathione synthesis downstream of </w:t>
      </w:r>
      <w:r w:rsidR="00CE38E9">
        <w:rPr>
          <w:rFonts w:ascii="Arial" w:hAnsi="Arial" w:cs="Arial"/>
        </w:rPr>
        <w:t xml:space="preserve">the </w:t>
      </w:r>
      <w:r w:rsidR="00CF6FCD">
        <w:rPr>
          <w:rFonts w:ascii="Arial" w:hAnsi="Arial" w:cs="Arial"/>
        </w:rPr>
        <w:t>transsulfuration pathway</w:t>
      </w:r>
      <w:r w:rsidR="00CF6FCD">
        <w:rPr>
          <w:rFonts w:ascii="Arial" w:hAnsi="Arial" w:cs="Arial"/>
        </w:rPr>
        <w:fldChar w:fldCharType="begin"/>
      </w:r>
      <w:r w:rsidR="00CF6FCD">
        <w:rPr>
          <w:rFonts w:ascii="Arial" w:hAnsi="Arial" w:cs="Arial"/>
        </w:rPr>
        <w:instrText xml:space="preserve"> ADDIN ZOTERO_ITEM CSL_CITATION {"citationID":"gUrZjcgZ","properties":{"formattedCitation":"\\super 6\\uc0\\u8211{}8\\nosupersub{}","plainCitation":"6–8","noteIndex":0},"citationItems":[{"id":510,"uris":["http://zotero.org/users/18474468/items/CHGR3XU3"],"itemData":{"id":510,"type":"article-journal","container-title":"Plant Biotechnology Journal","DOI":"https://doi.org/10.1111/pbi.12173","ISSN":"1467-7644","issue":"6","page":"694-708","title":"Overexpression of S-adenosyl-l-methionine synthetase increased tomato tolerance to alkali stress through polyamine metabolism","volume":"12","author":[{"family":"Gong","given":"Biao"},{"family":"Li","given":"Xiu"},{"family":"VandenLangenberg","given":"Kyle M"},{"family":"Wen","given":"Dan"},{"family":"Sun","given":"Shasha"},{"family":"Wei","given":"Min"},{"family":"Li","given":"Yan"},{"family":"Yang","given":"Fengjuan"},{"family":"Shi","given":"Qinghua"},{"family":"Wang","given":"Xiufeng"}],"issued":{"date-parts":[["2014"]]}}},{"id":567,"uris":["http://zotero.org/users/18474468/items/F4TDSUSX"],"itemData":{"id":567,"type":"article-journal","container-title":"Communications Biology","DOI":"10.1038/s42003-024-07424-7","ISSN":"2399-3642","issue":"1","page":"15","title":"Transsulfuration pathway activation attenuates oxidative stress and ferroptosis in sickle primary erythroblasts and transgenic mice","volume":"8","author":[{"family":"Xi","given":"Caixia"},{"family":"Pang","given":"Junfeng"},{"family":"Xue","given":"Weinan"},{"family":"Cui","given":"Yang"},{"family":"Jiang","given":"Na"},{"family":"Zhi","given":"Wenbo"},{"family":"Shi","given":"Huidong"},{"family":"Horuzsko","given":"Anatolij"},{"family":"Pace","given":"Betty S"},{"family":"Zhu","given":"Xingguo"}],"issued":{"date-parts":[["2025"]]}}},{"id":581,"uris":["http://zotero.org/users/18474468/items/UMDQFUZI"],"itemData":{"id":581,"type":"article-journal","abstract":"ABSTRACT Increasing drought frequency poses a significant threat to agricultural productivity. A promising strategy to enhance crop resilience against drought is the utilisation of root channels left by winter cover crops, which can improve access to subsoil water and nutrients for subsequent cash crops like maize (Zea mays L.). The impact of drought on bacterial communities inhabiting these root channels remains largely unknown. Here, we investigated drought-induced shifts in maize rhizosphere bacterial communities and their functional adaptation in cover crop root channels across three soil types in northern Germany (Luvisol, Podzol, and Phaeozem) using a multi-omics approach (16S rRNA gene amplicon sequencing, qPCR, and metaproteomics). Our results reveal a preference towards bacterial K-strategists under drought conditions, indicating a shift towards stress-tolerant populations. Under drought stress, the relative abundances of Acidobacteriota, Actinomycetota, Planctomycetota, and Pseudomonadota increased, while Chloroflexota, Methylomirabilota, Ca. Patescibacteria, and Verrucomicrobiota declined. Metaproteomics analyses revealed that drought-stressed aerobic taxa among the Pseudomonadota and Verrucomicrobiota upregulated the glyoxylate cycle, potentially enhancing carbon and energy conservation, and increased antioxidant defences (catalase?glutathione peroxidase and methionine cycle?transsulfuration pathway). These drought-mitigating strategies were especially pronounced in root channels formed by Brassicaceae and Poaceae cover crops in the Luvisol and Podzol soils. These findings demonstrate the functional plasticity of rhizosphere bacterial communities in reused root channels in response to drought, highlighting the potential to leverage microbiome-mediated resilience for agricultural practices.","container-title":"Global Change Biology","DOI":"https://doi.org/10.1111/gcb.70512","ISSN":"1354-1013","issue":"9","note":"publisher: John Wiley &amp; Sons, Ltd","page":"e70512","title":"Cover Crop Root Channels Promote Bacterial Adaptation to Drought in the Maize Rhizosphere","volume":"31","author":[{"family":"Ghosh","given":"Debjyoti"},{"family":"Shi","given":"Yijie"},{"family":"Zimmermann","given":"Iris M"},{"family":"Holzhauser","given":"Katja"},{"family":"Bergen","given":"Martin","non-dropping-particle":"von"},{"family":"Kaster","given":"Anne-Kristin"},{"family":"Spielvogel","given":"Sandra"},{"family":"Dippold","given":"Michaela A"},{"family":"Müller","given":"Jochen A"},{"family":"Jehmlich","given":"Nico"}],"issued":{"date-parts":[["2025",9,1]]}}}],"schema":"https://github.com/citation-style-language/schema/raw/master/csl-citation.json"} </w:instrText>
      </w:r>
      <w:r w:rsidR="00CF6FCD">
        <w:rPr>
          <w:rFonts w:ascii="Arial" w:hAnsi="Arial" w:cs="Arial"/>
        </w:rPr>
        <w:fldChar w:fldCharType="separate"/>
      </w:r>
      <w:r w:rsidR="00CF6FCD" w:rsidRPr="00CF6FCD">
        <w:rPr>
          <w:rFonts w:ascii="Arial" w:hAnsi="Arial" w:cs="Arial"/>
          <w:kern w:val="0"/>
          <w:vertAlign w:val="superscript"/>
        </w:rPr>
        <w:t>6–8</w:t>
      </w:r>
      <w:r w:rsidR="00CF6FCD">
        <w:rPr>
          <w:rFonts w:ascii="Arial" w:hAnsi="Arial" w:cs="Arial"/>
        </w:rPr>
        <w:fldChar w:fldCharType="end"/>
      </w:r>
      <w:r w:rsidRPr="00EA0E06">
        <w:rPr>
          <w:rFonts w:ascii="Arial" w:hAnsi="Arial" w:cs="Arial"/>
        </w:rPr>
        <w:t>. The silt-rich Phaeozem showed relatively higher bacterial contributions to AK and SOD</w:t>
      </w:r>
      <w:r w:rsidR="00CF6FCD">
        <w:rPr>
          <w:rFonts w:ascii="Arial" w:hAnsi="Arial" w:cs="Arial"/>
        </w:rPr>
        <w:t>, suggesting enhanced bacterial roles in oxidative stress mitigation in soil</w:t>
      </w:r>
      <w:r w:rsidR="00CE38E9">
        <w:rPr>
          <w:rFonts w:ascii="Arial" w:hAnsi="Arial" w:cs="Arial"/>
        </w:rPr>
        <w:t>s</w:t>
      </w:r>
      <w:r w:rsidR="00CF6FCD">
        <w:rPr>
          <w:rFonts w:ascii="Arial" w:hAnsi="Arial" w:cs="Arial"/>
        </w:rPr>
        <w:t xml:space="preserve"> </w:t>
      </w:r>
      <w:r w:rsidR="00CE38E9">
        <w:rPr>
          <w:rFonts w:ascii="Arial" w:hAnsi="Arial" w:cs="Arial"/>
        </w:rPr>
        <w:t>with</w:t>
      </w:r>
      <w:r w:rsidR="00CF6FCD">
        <w:rPr>
          <w:rFonts w:ascii="Arial" w:hAnsi="Arial" w:cs="Arial"/>
        </w:rPr>
        <w:t xml:space="preserve"> sufficient nutrient </w:t>
      </w:r>
      <w:r w:rsidR="00CE38E9">
        <w:rPr>
          <w:rFonts w:ascii="Arial" w:hAnsi="Arial" w:cs="Arial"/>
        </w:rPr>
        <w:t>availability</w:t>
      </w:r>
      <w:r w:rsidR="00CF6FCD">
        <w:rPr>
          <w:rFonts w:ascii="Arial" w:hAnsi="Arial" w:cs="Arial"/>
        </w:rPr>
        <w:t>.</w:t>
      </w:r>
    </w:p>
    <w:p w14:paraId="038C55E6" w14:textId="77777777" w:rsidR="00CE38E9" w:rsidRDefault="00CE38E9" w:rsidP="00CF6FCD">
      <w:pPr>
        <w:spacing w:line="480" w:lineRule="auto"/>
        <w:jc w:val="both"/>
        <w:rPr>
          <w:rFonts w:ascii="Arial" w:hAnsi="Arial" w:cs="Arial"/>
        </w:rPr>
        <w:sectPr w:rsidR="00CE38E9" w:rsidSect="00FF11FF">
          <w:pgSz w:w="11906" w:h="16838"/>
          <w:pgMar w:top="1440" w:right="1440" w:bottom="1440" w:left="1440" w:header="708" w:footer="708" w:gutter="0"/>
          <w:lnNumType w:countBy="1" w:restart="continuous"/>
          <w:cols w:space="708"/>
          <w:docGrid w:linePitch="360"/>
        </w:sectPr>
      </w:pPr>
    </w:p>
    <w:p w14:paraId="4B9B57C4" w14:textId="6CC80080" w:rsidR="00CF6FCD" w:rsidRDefault="00CF6FCD" w:rsidP="00CF6FCD">
      <w:pPr>
        <w:spacing w:line="480" w:lineRule="auto"/>
        <w:jc w:val="both"/>
        <w:rPr>
          <w:rFonts w:ascii="Arial" w:hAnsi="Arial" w:cs="Arial"/>
        </w:rPr>
      </w:pPr>
      <w:r>
        <w:rPr>
          <w:rFonts w:ascii="Arial" w:hAnsi="Arial" w:cs="Arial"/>
          <w:color w:val="000000" w:themeColor="text1"/>
          <w:sz w:val="32"/>
          <w:szCs w:val="32"/>
        </w:rPr>
        <w:lastRenderedPageBreak/>
        <w:t>References</w:t>
      </w:r>
    </w:p>
    <w:p w14:paraId="6A84F79C" w14:textId="77777777" w:rsidR="00CF6FCD" w:rsidRPr="00CF6FCD" w:rsidRDefault="00CF6FCD" w:rsidP="00CF6FCD">
      <w:pPr>
        <w:pStyle w:val="Bibliography"/>
        <w:spacing w:line="480" w:lineRule="auto"/>
        <w:jc w:val="both"/>
        <w:rPr>
          <w:rFonts w:ascii="Arial" w:hAnsi="Arial" w:cs="Arial"/>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Pr="00CF6FCD">
        <w:rPr>
          <w:rFonts w:ascii="Arial" w:hAnsi="Arial" w:cs="Arial"/>
        </w:rPr>
        <w:t>1.</w:t>
      </w:r>
      <w:r w:rsidRPr="00CF6FCD">
        <w:rPr>
          <w:rFonts w:ascii="Arial" w:hAnsi="Arial" w:cs="Arial"/>
        </w:rPr>
        <w:tab/>
        <w:t xml:space="preserve">Tkacz, A., Hortala, M., and Poole, P.S. (2018). Absolute quantitation of microbiota abundance in environmental samples. Microbiome </w:t>
      </w:r>
      <w:r w:rsidRPr="00CF6FCD">
        <w:rPr>
          <w:rFonts w:ascii="Arial" w:hAnsi="Arial" w:cs="Arial"/>
          <w:i/>
          <w:iCs/>
        </w:rPr>
        <w:t>6</w:t>
      </w:r>
      <w:r w:rsidRPr="00CF6FCD">
        <w:rPr>
          <w:rFonts w:ascii="Arial" w:hAnsi="Arial" w:cs="Arial"/>
        </w:rPr>
        <w:t>, 110. https://doi.org/10.1186/s40168-018-0491-7.</w:t>
      </w:r>
    </w:p>
    <w:p w14:paraId="0A1C1AE7" w14:textId="77777777" w:rsidR="00CF6FCD" w:rsidRPr="00CF6FCD" w:rsidRDefault="00CF6FCD" w:rsidP="00CF6FCD">
      <w:pPr>
        <w:pStyle w:val="Bibliography"/>
        <w:spacing w:line="480" w:lineRule="auto"/>
        <w:jc w:val="both"/>
        <w:rPr>
          <w:rFonts w:ascii="Arial" w:hAnsi="Arial" w:cs="Arial"/>
        </w:rPr>
      </w:pPr>
      <w:r w:rsidRPr="00CF6FCD">
        <w:rPr>
          <w:rFonts w:ascii="Arial" w:hAnsi="Arial" w:cs="Arial"/>
        </w:rPr>
        <w:t>2.</w:t>
      </w:r>
      <w:r w:rsidRPr="00CF6FCD">
        <w:rPr>
          <w:rFonts w:ascii="Arial" w:hAnsi="Arial" w:cs="Arial"/>
        </w:rPr>
        <w:tab/>
        <w:t xml:space="preserve">Rousk, J., Bååth, E., Brookes, P.C., Lauber, C.L., Lozupone, C., Caporaso, J.G., Knight, R., and Fierer, N. (2010). Soil bacterial and fungal communities across a pH gradient in an arable soil. The ISME Journal </w:t>
      </w:r>
      <w:r w:rsidRPr="00CF6FCD">
        <w:rPr>
          <w:rFonts w:ascii="Arial" w:hAnsi="Arial" w:cs="Arial"/>
          <w:i/>
          <w:iCs/>
        </w:rPr>
        <w:t>4</w:t>
      </w:r>
      <w:r w:rsidRPr="00CF6FCD">
        <w:rPr>
          <w:rFonts w:ascii="Arial" w:hAnsi="Arial" w:cs="Arial"/>
        </w:rPr>
        <w:t>, 1340–1351. https://doi.org/10.1038/ismej.2010.58.</w:t>
      </w:r>
    </w:p>
    <w:p w14:paraId="7340D3BA" w14:textId="77777777" w:rsidR="00CF6FCD" w:rsidRPr="00CF6FCD" w:rsidRDefault="00CF6FCD" w:rsidP="00CF6FCD">
      <w:pPr>
        <w:pStyle w:val="Bibliography"/>
        <w:spacing w:line="480" w:lineRule="auto"/>
        <w:jc w:val="both"/>
        <w:rPr>
          <w:rFonts w:ascii="Arial" w:hAnsi="Arial" w:cs="Arial"/>
        </w:rPr>
      </w:pPr>
      <w:r w:rsidRPr="00CF6FCD">
        <w:rPr>
          <w:rFonts w:ascii="Arial" w:hAnsi="Arial" w:cs="Arial"/>
        </w:rPr>
        <w:t>3.</w:t>
      </w:r>
      <w:r w:rsidRPr="00CF6FCD">
        <w:rPr>
          <w:rFonts w:ascii="Arial" w:hAnsi="Arial" w:cs="Arial"/>
        </w:rPr>
        <w:tab/>
        <w:t xml:space="preserve">Wang, C., and Kuzyakov, Y. (2024). Mechanisms and implications of bacterial–fungal competition for soil resources. The ISME Journal </w:t>
      </w:r>
      <w:r w:rsidRPr="00CF6FCD">
        <w:rPr>
          <w:rFonts w:ascii="Arial" w:hAnsi="Arial" w:cs="Arial"/>
          <w:i/>
          <w:iCs/>
        </w:rPr>
        <w:t>18</w:t>
      </w:r>
      <w:r w:rsidRPr="00CF6FCD">
        <w:rPr>
          <w:rFonts w:ascii="Arial" w:hAnsi="Arial" w:cs="Arial"/>
        </w:rPr>
        <w:t>, wrae073. https://doi.org/10.1093/ismejo/wrae073.</w:t>
      </w:r>
    </w:p>
    <w:p w14:paraId="19076F2C" w14:textId="77777777" w:rsidR="00CF6FCD" w:rsidRPr="00CF6FCD" w:rsidRDefault="00CF6FCD" w:rsidP="00CF6FCD">
      <w:pPr>
        <w:pStyle w:val="Bibliography"/>
        <w:spacing w:line="480" w:lineRule="auto"/>
        <w:jc w:val="both"/>
        <w:rPr>
          <w:rFonts w:ascii="Arial" w:hAnsi="Arial" w:cs="Arial"/>
        </w:rPr>
      </w:pPr>
      <w:r w:rsidRPr="00CF6FCD">
        <w:rPr>
          <w:rFonts w:ascii="Arial" w:hAnsi="Arial" w:cs="Arial"/>
        </w:rPr>
        <w:t>4.</w:t>
      </w:r>
      <w:r w:rsidRPr="00CF6FCD">
        <w:rPr>
          <w:rFonts w:ascii="Arial" w:hAnsi="Arial" w:cs="Arial"/>
        </w:rPr>
        <w:tab/>
        <w:t xml:space="preserve">Benito‐Carnero, G., Gartzia‐Bengoetxea, N., Arias‐González, A., and Rousk, J. (2021). Low‐quality carbon and lack of nutrients result in a stronger fungal than bacterial home‐field advantage during the decomposition of leaf litter. Functional Ecology </w:t>
      </w:r>
      <w:r w:rsidRPr="00CF6FCD">
        <w:rPr>
          <w:rFonts w:ascii="Arial" w:hAnsi="Arial" w:cs="Arial"/>
          <w:i/>
          <w:iCs/>
        </w:rPr>
        <w:t>35</w:t>
      </w:r>
      <w:r w:rsidRPr="00CF6FCD">
        <w:rPr>
          <w:rFonts w:ascii="Arial" w:hAnsi="Arial" w:cs="Arial"/>
        </w:rPr>
        <w:t>, 1783–1796. https://doi.org/10.1111/1365-2435.13822.</w:t>
      </w:r>
    </w:p>
    <w:p w14:paraId="4D40B457" w14:textId="77777777" w:rsidR="00CF6FCD" w:rsidRPr="00CF6FCD" w:rsidRDefault="00CF6FCD" w:rsidP="00CF6FCD">
      <w:pPr>
        <w:pStyle w:val="Bibliography"/>
        <w:spacing w:line="480" w:lineRule="auto"/>
        <w:jc w:val="both"/>
        <w:rPr>
          <w:rFonts w:ascii="Arial" w:hAnsi="Arial" w:cs="Arial"/>
        </w:rPr>
      </w:pPr>
      <w:r w:rsidRPr="00CF6FCD">
        <w:rPr>
          <w:rFonts w:ascii="Arial" w:hAnsi="Arial" w:cs="Arial"/>
        </w:rPr>
        <w:t>5.</w:t>
      </w:r>
      <w:r w:rsidRPr="00CF6FCD">
        <w:rPr>
          <w:rFonts w:ascii="Arial" w:hAnsi="Arial" w:cs="Arial"/>
        </w:rPr>
        <w:tab/>
        <w:t xml:space="preserve">Fuentes-Lemus, E., Reyes, J.S., Figueroa, J.D., Davies, M.J., and López-Alarcón, C. (2023). The enzymes of the oxidative phase of the pentose phosphate pathway as targets of reactive species: consequences for NADPH production. Biochemical Society Transactions </w:t>
      </w:r>
      <w:r w:rsidRPr="00CF6FCD">
        <w:rPr>
          <w:rFonts w:ascii="Arial" w:hAnsi="Arial" w:cs="Arial"/>
          <w:i/>
          <w:iCs/>
        </w:rPr>
        <w:t>51</w:t>
      </w:r>
      <w:r w:rsidRPr="00CF6FCD">
        <w:rPr>
          <w:rFonts w:ascii="Arial" w:hAnsi="Arial" w:cs="Arial"/>
        </w:rPr>
        <w:t>, 2173–2187. https://doi.org/10.1042/bst20231027.</w:t>
      </w:r>
    </w:p>
    <w:p w14:paraId="465340C7" w14:textId="77777777" w:rsidR="00CF6FCD" w:rsidRPr="00CF6FCD" w:rsidRDefault="00CF6FCD" w:rsidP="00CF6FCD">
      <w:pPr>
        <w:pStyle w:val="Bibliography"/>
        <w:spacing w:line="480" w:lineRule="auto"/>
        <w:jc w:val="both"/>
        <w:rPr>
          <w:rFonts w:ascii="Arial" w:hAnsi="Arial" w:cs="Arial"/>
        </w:rPr>
      </w:pPr>
      <w:r w:rsidRPr="00CF6FCD">
        <w:rPr>
          <w:rFonts w:ascii="Arial" w:hAnsi="Arial" w:cs="Arial"/>
        </w:rPr>
        <w:t>6.</w:t>
      </w:r>
      <w:r w:rsidRPr="00CF6FCD">
        <w:rPr>
          <w:rFonts w:ascii="Arial" w:hAnsi="Arial" w:cs="Arial"/>
        </w:rPr>
        <w:tab/>
        <w:t xml:space="preserve">Gong, B., Li, X., VandenLangenberg, K.M., Wen, D., Sun, S., Wei, M., Li, Y., Yang, F., Shi, Q., and Wang, X. (2014). Overexpression of S-adenosyl-l-methionine synthetase increased tomato tolerance to alkali stress through polyamine </w:t>
      </w:r>
      <w:r w:rsidRPr="00CF6FCD">
        <w:rPr>
          <w:rFonts w:ascii="Arial" w:hAnsi="Arial" w:cs="Arial"/>
        </w:rPr>
        <w:lastRenderedPageBreak/>
        <w:t xml:space="preserve">metabolism. Plant Biotechnology Journal </w:t>
      </w:r>
      <w:r w:rsidRPr="00CF6FCD">
        <w:rPr>
          <w:rFonts w:ascii="Arial" w:hAnsi="Arial" w:cs="Arial"/>
          <w:i/>
          <w:iCs/>
        </w:rPr>
        <w:t>12</w:t>
      </w:r>
      <w:r w:rsidRPr="00CF6FCD">
        <w:rPr>
          <w:rFonts w:ascii="Arial" w:hAnsi="Arial" w:cs="Arial"/>
        </w:rPr>
        <w:t>, 694–708. https://doi.org/10.1111/pbi.12173.</w:t>
      </w:r>
    </w:p>
    <w:p w14:paraId="02E8DD9A" w14:textId="77777777" w:rsidR="00CF6FCD" w:rsidRPr="00CF6FCD" w:rsidRDefault="00CF6FCD" w:rsidP="00CF6FCD">
      <w:pPr>
        <w:pStyle w:val="Bibliography"/>
        <w:spacing w:line="480" w:lineRule="auto"/>
        <w:jc w:val="both"/>
        <w:rPr>
          <w:rFonts w:ascii="Arial" w:hAnsi="Arial" w:cs="Arial"/>
          <w:lang w:val="de-DE"/>
        </w:rPr>
      </w:pPr>
      <w:r w:rsidRPr="00CF6FCD">
        <w:rPr>
          <w:rFonts w:ascii="Arial" w:hAnsi="Arial" w:cs="Arial"/>
        </w:rPr>
        <w:t>7.</w:t>
      </w:r>
      <w:r w:rsidRPr="00CF6FCD">
        <w:rPr>
          <w:rFonts w:ascii="Arial" w:hAnsi="Arial" w:cs="Arial"/>
        </w:rPr>
        <w:tab/>
        <w:t xml:space="preserve">Xi, C., Pang, J., Xue, W., Cui, Y., Jiang, N., Zhi, W., Shi, H., Horuzsko, A., Pace, B.S., and Zhu, X. (2025). Transsulfuration pathway activation attenuates oxidative stress and ferroptosis in sickle primary erythroblasts and transgenic mice. </w:t>
      </w:r>
      <w:r w:rsidRPr="00CF6FCD">
        <w:rPr>
          <w:rFonts w:ascii="Arial" w:hAnsi="Arial" w:cs="Arial"/>
          <w:lang w:val="de-DE"/>
        </w:rPr>
        <w:t xml:space="preserve">Communications Biology </w:t>
      </w:r>
      <w:r w:rsidRPr="00CF6FCD">
        <w:rPr>
          <w:rFonts w:ascii="Arial" w:hAnsi="Arial" w:cs="Arial"/>
          <w:i/>
          <w:iCs/>
          <w:lang w:val="de-DE"/>
        </w:rPr>
        <w:t>8</w:t>
      </w:r>
      <w:r w:rsidRPr="00CF6FCD">
        <w:rPr>
          <w:rFonts w:ascii="Arial" w:hAnsi="Arial" w:cs="Arial"/>
          <w:lang w:val="de-DE"/>
        </w:rPr>
        <w:t>, 15. https://doi.org/10.1038/s42003-024-07424-7.</w:t>
      </w:r>
    </w:p>
    <w:p w14:paraId="3A89FF1D" w14:textId="77777777" w:rsidR="00CF6FCD" w:rsidRPr="00CF6FCD" w:rsidRDefault="00CF6FCD" w:rsidP="00CF6FCD">
      <w:pPr>
        <w:pStyle w:val="Bibliography"/>
        <w:spacing w:line="480" w:lineRule="auto"/>
        <w:jc w:val="both"/>
        <w:rPr>
          <w:rFonts w:ascii="Arial" w:hAnsi="Arial" w:cs="Arial"/>
        </w:rPr>
      </w:pPr>
      <w:r w:rsidRPr="00CF6FCD">
        <w:rPr>
          <w:rFonts w:ascii="Arial" w:hAnsi="Arial" w:cs="Arial"/>
          <w:lang w:val="de-DE"/>
        </w:rPr>
        <w:t>8.</w:t>
      </w:r>
      <w:r w:rsidRPr="00CF6FCD">
        <w:rPr>
          <w:rFonts w:ascii="Arial" w:hAnsi="Arial" w:cs="Arial"/>
          <w:lang w:val="de-DE"/>
        </w:rPr>
        <w:tab/>
        <w:t xml:space="preserve">Ghosh, D., Shi, Y., Zimmermann, I.M., Holzhauser, K., von Bergen, M., Kaster, A.-K., Spielvogel, S., Dippold, M.A., Müller, J.A., and Jehmlich, N. (2025). </w:t>
      </w:r>
      <w:r w:rsidRPr="00CF6FCD">
        <w:rPr>
          <w:rFonts w:ascii="Arial" w:hAnsi="Arial" w:cs="Arial"/>
        </w:rPr>
        <w:t xml:space="preserve">Cover Crop Root Channels Promote Bacterial Adaptation to Drought in the Maize Rhizosphere. Global Change Biology </w:t>
      </w:r>
      <w:r w:rsidRPr="00CF6FCD">
        <w:rPr>
          <w:rFonts w:ascii="Arial" w:hAnsi="Arial" w:cs="Arial"/>
          <w:i/>
          <w:iCs/>
        </w:rPr>
        <w:t>31</w:t>
      </w:r>
      <w:r w:rsidRPr="00CF6FCD">
        <w:rPr>
          <w:rFonts w:ascii="Arial" w:hAnsi="Arial" w:cs="Arial"/>
        </w:rPr>
        <w:t>, e70512. https://doi.org/10.1111/gcb.70512.</w:t>
      </w:r>
    </w:p>
    <w:p w14:paraId="12F73212" w14:textId="74ED3D65" w:rsidR="00CF6FCD" w:rsidRPr="00024E0E" w:rsidRDefault="00CF6FCD" w:rsidP="00CF6FCD">
      <w:pPr>
        <w:spacing w:line="480" w:lineRule="auto"/>
        <w:jc w:val="both"/>
        <w:rPr>
          <w:rFonts w:ascii="Arial" w:hAnsi="Arial" w:cs="Arial"/>
        </w:rPr>
      </w:pPr>
      <w:r>
        <w:rPr>
          <w:rFonts w:ascii="Arial" w:hAnsi="Arial" w:cs="Arial"/>
        </w:rPr>
        <w:fldChar w:fldCharType="end"/>
      </w:r>
    </w:p>
    <w:p w14:paraId="27007652" w14:textId="52AC481A" w:rsidR="00A26690" w:rsidRPr="00024E0E" w:rsidRDefault="00A26690" w:rsidP="00024E0E">
      <w:pPr>
        <w:pStyle w:val="Heading1"/>
        <w:spacing w:line="480" w:lineRule="auto"/>
        <w:rPr>
          <w:rFonts w:ascii="Arial" w:hAnsi="Arial" w:cs="Arial"/>
        </w:rPr>
      </w:pPr>
      <w:r w:rsidRPr="00024E0E">
        <w:rPr>
          <w:rFonts w:ascii="Arial" w:hAnsi="Arial" w:cs="Arial"/>
          <w:color w:val="000000" w:themeColor="text1"/>
          <w:sz w:val="32"/>
          <w:szCs w:val="32"/>
        </w:rPr>
        <w:lastRenderedPageBreak/>
        <w:t>Supplementary figures</w:t>
      </w:r>
    </w:p>
    <w:p w14:paraId="57C7F03E" w14:textId="4159BEEA" w:rsidR="00024E0E" w:rsidRPr="00024E0E" w:rsidRDefault="00024E0E" w:rsidP="00024E0E">
      <w:pPr>
        <w:spacing w:line="480" w:lineRule="auto"/>
        <w:jc w:val="center"/>
        <w:rPr>
          <w:rFonts w:ascii="Arial" w:hAnsi="Arial" w:cs="Arial"/>
          <w:color w:val="000000" w:themeColor="text1"/>
        </w:rPr>
      </w:pPr>
      <w:r w:rsidRPr="00024E0E">
        <w:rPr>
          <w:rFonts w:ascii="Arial" w:hAnsi="Arial" w:cs="Arial"/>
          <w:noProof/>
          <w:color w:val="000000" w:themeColor="text1"/>
        </w:rPr>
        <w:drawing>
          <wp:inline distT="0" distB="0" distL="0" distR="0" wp14:anchorId="6753D7A9" wp14:editId="16854E4E">
            <wp:extent cx="4213414" cy="4846320"/>
            <wp:effectExtent l="0" t="0" r="3175" b="5080"/>
            <wp:docPr id="1940210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10949" name="Picture 1940210949"/>
                    <pic:cNvPicPr/>
                  </pic:nvPicPr>
                  <pic:blipFill>
                    <a:blip r:embed="rId6"/>
                    <a:stretch>
                      <a:fillRect/>
                    </a:stretch>
                  </pic:blipFill>
                  <pic:spPr>
                    <a:xfrm>
                      <a:off x="0" y="0"/>
                      <a:ext cx="4213414" cy="4846320"/>
                    </a:xfrm>
                    <a:prstGeom prst="rect">
                      <a:avLst/>
                    </a:prstGeom>
                  </pic:spPr>
                </pic:pic>
              </a:graphicData>
            </a:graphic>
          </wp:inline>
        </w:drawing>
      </w:r>
    </w:p>
    <w:p w14:paraId="2C586D2A" w14:textId="16F2E567" w:rsidR="00024E0E" w:rsidRPr="00024E0E" w:rsidRDefault="00024E0E" w:rsidP="00024E0E">
      <w:pPr>
        <w:spacing w:line="480" w:lineRule="auto"/>
        <w:jc w:val="both"/>
        <w:rPr>
          <w:rFonts w:ascii="Arial" w:hAnsi="Arial" w:cs="Arial"/>
          <w:color w:val="000000" w:themeColor="text1"/>
        </w:rPr>
      </w:pPr>
      <w:r w:rsidRPr="00024E0E">
        <w:rPr>
          <w:rFonts w:ascii="Arial" w:hAnsi="Arial" w:cs="Arial"/>
          <w:color w:val="000000" w:themeColor="text1"/>
        </w:rPr>
        <w:t>Figure S</w:t>
      </w:r>
      <w:r w:rsidR="00D168E1">
        <w:rPr>
          <w:rFonts w:ascii="Arial" w:hAnsi="Arial" w:cs="Arial"/>
          <w:color w:val="000000" w:themeColor="text1"/>
        </w:rPr>
        <w:t>1</w:t>
      </w:r>
      <w:r w:rsidRPr="00024E0E">
        <w:rPr>
          <w:rFonts w:ascii="Arial" w:hAnsi="Arial" w:cs="Arial"/>
          <w:color w:val="000000" w:themeColor="text1"/>
        </w:rPr>
        <w:t>: A bar-chart representing the different values of the physicochemical properties that have been measured at the three soil sampling sites with different soil types – Luvisol (Hohenschulen), Phaeozem (Reinshof) and Podzol (Karkendamm). All values are provided in Table S1.</w:t>
      </w:r>
    </w:p>
    <w:p w14:paraId="5760BAA6" w14:textId="77777777" w:rsidR="00024E0E" w:rsidRPr="00024E0E" w:rsidRDefault="00024E0E" w:rsidP="00024E0E">
      <w:pPr>
        <w:spacing w:line="480" w:lineRule="auto"/>
        <w:rPr>
          <w:rFonts w:ascii="Arial" w:hAnsi="Arial" w:cs="Arial"/>
        </w:rPr>
      </w:pPr>
    </w:p>
    <w:p w14:paraId="34E55CB4" w14:textId="77777777" w:rsidR="00D96353" w:rsidRPr="00024E0E" w:rsidRDefault="00123560" w:rsidP="00024E0E">
      <w:pPr>
        <w:spacing w:line="480" w:lineRule="auto"/>
        <w:rPr>
          <w:rFonts w:ascii="Arial" w:hAnsi="Arial" w:cs="Arial"/>
        </w:rPr>
      </w:pPr>
      <w:r>
        <w:rPr>
          <w:rFonts w:ascii="Arial" w:hAnsi="Arial" w:cs="Arial"/>
          <w:noProof/>
        </w:rPr>
        <w:lastRenderedPageBreak/>
        <w:drawing>
          <wp:inline distT="0" distB="0" distL="0" distR="0" wp14:anchorId="1319CCFF" wp14:editId="5FDA1120">
            <wp:extent cx="5744812" cy="6984000"/>
            <wp:effectExtent l="0" t="0" r="0" b="1270"/>
            <wp:docPr id="1977844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4929" name="Picture 1977844929"/>
                    <pic:cNvPicPr/>
                  </pic:nvPicPr>
                  <pic:blipFill rotWithShape="1">
                    <a:blip r:embed="rId7"/>
                    <a:srcRect l="9514"/>
                    <a:stretch>
                      <a:fillRect/>
                    </a:stretch>
                  </pic:blipFill>
                  <pic:spPr bwMode="auto">
                    <a:xfrm>
                      <a:off x="0" y="0"/>
                      <a:ext cx="5744812" cy="6984000"/>
                    </a:xfrm>
                    <a:prstGeom prst="rect">
                      <a:avLst/>
                    </a:prstGeom>
                    <a:ln>
                      <a:noFill/>
                    </a:ln>
                    <a:extLst>
                      <a:ext uri="{53640926-AAD7-44D8-BBD7-CCE9431645EC}">
                        <a14:shadowObscured xmlns:a14="http://schemas.microsoft.com/office/drawing/2010/main"/>
                      </a:ext>
                    </a:extLst>
                  </pic:spPr>
                </pic:pic>
              </a:graphicData>
            </a:graphic>
          </wp:inline>
        </w:drawing>
      </w:r>
    </w:p>
    <w:p w14:paraId="5984DD22" w14:textId="70E86D68" w:rsidR="00024E0E" w:rsidRDefault="00024E0E" w:rsidP="00024E0E">
      <w:pPr>
        <w:spacing w:line="480" w:lineRule="auto"/>
        <w:jc w:val="both"/>
        <w:rPr>
          <w:rFonts w:ascii="Arial" w:hAnsi="Arial" w:cs="Arial"/>
          <w:color w:val="000000" w:themeColor="text1"/>
        </w:rPr>
      </w:pPr>
      <w:r w:rsidRPr="00024E0E">
        <w:rPr>
          <w:rFonts w:ascii="Arial" w:hAnsi="Arial" w:cs="Arial"/>
          <w:color w:val="000000" w:themeColor="text1"/>
        </w:rPr>
        <w:t>Figure S</w:t>
      </w:r>
      <w:r w:rsidR="00D168E1">
        <w:rPr>
          <w:rFonts w:ascii="Arial" w:hAnsi="Arial" w:cs="Arial"/>
          <w:color w:val="000000" w:themeColor="text1"/>
        </w:rPr>
        <w:t>2</w:t>
      </w:r>
      <w:r w:rsidRPr="00024E0E">
        <w:rPr>
          <w:rFonts w:ascii="Arial" w:hAnsi="Arial" w:cs="Arial"/>
          <w:color w:val="000000" w:themeColor="text1"/>
        </w:rPr>
        <w:t xml:space="preserve">: An alluvial flowchart representing the different variations and the identified </w:t>
      </w:r>
      <w:r>
        <w:rPr>
          <w:rFonts w:ascii="Arial" w:hAnsi="Arial" w:cs="Arial"/>
          <w:color w:val="000000" w:themeColor="text1"/>
        </w:rPr>
        <w:t>fungal</w:t>
      </w:r>
      <w:r w:rsidRPr="00024E0E">
        <w:rPr>
          <w:rFonts w:ascii="Arial" w:hAnsi="Arial" w:cs="Arial"/>
          <w:color w:val="000000" w:themeColor="text1"/>
        </w:rPr>
        <w:t xml:space="preserve"> phyla in each one of them at the three soil sampling sites.</w:t>
      </w:r>
      <w:r w:rsidR="00D168E1">
        <w:rPr>
          <w:rFonts w:ascii="Arial" w:hAnsi="Arial" w:cs="Arial"/>
          <w:color w:val="000000" w:themeColor="text1"/>
        </w:rPr>
        <w:t xml:space="preserve"> The total number of samples used in the ITS2 </w:t>
      </w:r>
      <w:r w:rsidR="00CE38E9">
        <w:rPr>
          <w:rFonts w:ascii="Arial" w:hAnsi="Arial" w:cs="Arial"/>
          <w:color w:val="000000" w:themeColor="text1"/>
        </w:rPr>
        <w:t xml:space="preserve">gene </w:t>
      </w:r>
      <w:r w:rsidR="00D168E1">
        <w:rPr>
          <w:rFonts w:ascii="Arial" w:hAnsi="Arial" w:cs="Arial"/>
          <w:color w:val="000000" w:themeColor="text1"/>
        </w:rPr>
        <w:t>sequencing analysis were 106 and a metadata have been provided in the Supplementary Table S1</w:t>
      </w:r>
      <w:r w:rsidR="00BC7F36">
        <w:rPr>
          <w:rFonts w:ascii="Arial" w:hAnsi="Arial" w:cs="Arial"/>
          <w:color w:val="000000" w:themeColor="text1"/>
        </w:rPr>
        <w:t>3</w:t>
      </w:r>
      <w:r w:rsidR="00D168E1">
        <w:rPr>
          <w:rFonts w:ascii="Arial" w:hAnsi="Arial" w:cs="Arial"/>
          <w:color w:val="000000" w:themeColor="text1"/>
        </w:rPr>
        <w:t>.</w:t>
      </w:r>
    </w:p>
    <w:p w14:paraId="59244874" w14:textId="77777777" w:rsidR="00024E0E" w:rsidRDefault="00123560" w:rsidP="00024E0E">
      <w:pPr>
        <w:spacing w:line="48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4BCFE532" wp14:editId="01989093">
            <wp:extent cx="5721300" cy="5292000"/>
            <wp:effectExtent l="0" t="0" r="0" b="0"/>
            <wp:docPr id="1603766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66804" name="Picture 1603766804"/>
                    <pic:cNvPicPr/>
                  </pic:nvPicPr>
                  <pic:blipFill rotWithShape="1">
                    <a:blip r:embed="rId8"/>
                    <a:srcRect l="-1" t="3052" r="2815" b="7056"/>
                    <a:stretch>
                      <a:fillRect/>
                    </a:stretch>
                  </pic:blipFill>
                  <pic:spPr bwMode="auto">
                    <a:xfrm>
                      <a:off x="0" y="0"/>
                      <a:ext cx="5721300" cy="5292000"/>
                    </a:xfrm>
                    <a:prstGeom prst="rect">
                      <a:avLst/>
                    </a:prstGeom>
                    <a:ln>
                      <a:noFill/>
                    </a:ln>
                    <a:extLst>
                      <a:ext uri="{53640926-AAD7-44D8-BBD7-CCE9431645EC}">
                        <a14:shadowObscured xmlns:a14="http://schemas.microsoft.com/office/drawing/2010/main"/>
                      </a:ext>
                    </a:extLst>
                  </pic:spPr>
                </pic:pic>
              </a:graphicData>
            </a:graphic>
          </wp:inline>
        </w:drawing>
      </w:r>
    </w:p>
    <w:p w14:paraId="5FFC6195" w14:textId="5E09EE54" w:rsidR="00123560" w:rsidRPr="00865A9C" w:rsidRDefault="00123560" w:rsidP="00123560">
      <w:pPr>
        <w:spacing w:line="480" w:lineRule="auto"/>
        <w:jc w:val="both"/>
        <w:rPr>
          <w:rFonts w:ascii="Arial" w:hAnsi="Arial" w:cs="Arial"/>
        </w:rPr>
      </w:pPr>
      <w:r w:rsidRPr="00865A9C">
        <w:rPr>
          <w:rFonts w:ascii="Arial" w:hAnsi="Arial" w:cs="Arial"/>
        </w:rPr>
        <w:t>Figure S</w:t>
      </w:r>
      <w:r w:rsidR="00D168E1">
        <w:rPr>
          <w:rFonts w:ascii="Arial" w:hAnsi="Arial" w:cs="Arial"/>
        </w:rPr>
        <w:t>3</w:t>
      </w:r>
      <w:r w:rsidRPr="00865A9C">
        <w:rPr>
          <w:rFonts w:ascii="Arial" w:hAnsi="Arial" w:cs="Arial"/>
        </w:rPr>
        <w:t xml:space="preserve">: A heat-tree representation of the differential </w:t>
      </w:r>
      <w:r w:rsidR="00C46098">
        <w:rPr>
          <w:rFonts w:ascii="Arial" w:hAnsi="Arial" w:cs="Arial"/>
        </w:rPr>
        <w:t>fungal</w:t>
      </w:r>
      <w:r w:rsidRPr="00865A9C">
        <w:rPr>
          <w:rFonts w:ascii="Arial" w:hAnsi="Arial" w:cs="Arial"/>
        </w:rPr>
        <w:t xml:space="preserve"> abundance for the </w:t>
      </w:r>
      <w:r w:rsidR="00683790">
        <w:rPr>
          <w:rFonts w:ascii="Arial" w:hAnsi="Arial" w:cs="Arial"/>
        </w:rPr>
        <w:t>soil types of the three sampling sites</w:t>
      </w:r>
      <w:r w:rsidRPr="00865A9C">
        <w:rPr>
          <w:rFonts w:ascii="Arial" w:hAnsi="Arial" w:cs="Arial"/>
        </w:rPr>
        <w:t xml:space="preserve">. The </w:t>
      </w:r>
      <w:r w:rsidRPr="00865A9C">
        <w:rPr>
          <w:rFonts w:ascii="Arial" w:hAnsi="Arial" w:cs="Arial"/>
          <w:i/>
          <w:iCs/>
        </w:rPr>
        <w:t>log2</w:t>
      </w:r>
      <w:r w:rsidRPr="00865A9C">
        <w:rPr>
          <w:rFonts w:ascii="Arial" w:hAnsi="Arial" w:cs="Arial"/>
        </w:rPr>
        <w:t xml:space="preserve"> values of the relative </w:t>
      </w:r>
      <w:r w:rsidR="00D50E68">
        <w:rPr>
          <w:rFonts w:ascii="Arial" w:hAnsi="Arial" w:cs="Arial"/>
        </w:rPr>
        <w:t>fungal</w:t>
      </w:r>
      <w:r w:rsidRPr="00865A9C">
        <w:rPr>
          <w:rFonts w:ascii="Arial" w:hAnsi="Arial" w:cs="Arial"/>
        </w:rPr>
        <w:t xml:space="preserve"> abundance between </w:t>
      </w:r>
      <w:r w:rsidR="00EF734B">
        <w:rPr>
          <w:rFonts w:ascii="Arial" w:hAnsi="Arial" w:cs="Arial"/>
        </w:rPr>
        <w:t>site 1</w:t>
      </w:r>
      <w:r w:rsidRPr="00865A9C">
        <w:rPr>
          <w:rFonts w:ascii="Arial" w:hAnsi="Arial" w:cs="Arial"/>
        </w:rPr>
        <w:t xml:space="preserve"> and </w:t>
      </w:r>
      <w:r w:rsidR="00EF734B">
        <w:rPr>
          <w:rFonts w:ascii="Arial" w:hAnsi="Arial" w:cs="Arial"/>
        </w:rPr>
        <w:t>site 2</w:t>
      </w:r>
      <w:r w:rsidRPr="00865A9C">
        <w:rPr>
          <w:rFonts w:ascii="Arial" w:hAnsi="Arial" w:cs="Arial"/>
        </w:rPr>
        <w:t xml:space="preserve"> are shown by two colours, where ‘</w:t>
      </w:r>
      <w:r w:rsidR="00EF734B">
        <w:rPr>
          <w:rFonts w:ascii="Arial" w:hAnsi="Arial" w:cs="Arial"/>
        </w:rPr>
        <w:t>purple4</w:t>
      </w:r>
      <w:r w:rsidRPr="00865A9C">
        <w:rPr>
          <w:rFonts w:ascii="Arial" w:hAnsi="Arial" w:cs="Arial"/>
        </w:rPr>
        <w:t>’ corresponds to the name of the variation at the top and ‘</w:t>
      </w:r>
      <w:r w:rsidR="00EF734B">
        <w:rPr>
          <w:rFonts w:ascii="Arial" w:hAnsi="Arial" w:cs="Arial"/>
        </w:rPr>
        <w:t>aquamarine</w:t>
      </w:r>
      <w:r w:rsidRPr="00865A9C">
        <w:rPr>
          <w:rFonts w:ascii="Arial" w:hAnsi="Arial" w:cs="Arial"/>
        </w:rPr>
        <w:t>’ to the name on the right side (RStudio colour palettes have been used for colour representation).</w:t>
      </w:r>
    </w:p>
    <w:p w14:paraId="703869FE" w14:textId="77777777" w:rsidR="00024E0E" w:rsidRPr="00024E0E" w:rsidRDefault="00024E0E" w:rsidP="00024E0E">
      <w:pPr>
        <w:spacing w:line="480" w:lineRule="auto"/>
        <w:jc w:val="both"/>
        <w:rPr>
          <w:rFonts w:ascii="Arial" w:hAnsi="Arial" w:cs="Arial"/>
          <w:color w:val="000000" w:themeColor="text1"/>
        </w:rPr>
      </w:pPr>
    </w:p>
    <w:p w14:paraId="3F471F72" w14:textId="77777777" w:rsidR="000D4F9F" w:rsidRPr="00024E0E" w:rsidRDefault="000D4F9F" w:rsidP="00024E0E">
      <w:pPr>
        <w:spacing w:line="480" w:lineRule="auto"/>
        <w:rPr>
          <w:rFonts w:ascii="Arial" w:hAnsi="Arial" w:cs="Arial"/>
        </w:rPr>
      </w:pPr>
    </w:p>
    <w:p w14:paraId="268E4117" w14:textId="77777777" w:rsidR="00A26690" w:rsidRDefault="00A26690" w:rsidP="00024E0E">
      <w:pPr>
        <w:spacing w:line="480" w:lineRule="auto"/>
        <w:rPr>
          <w:rFonts w:ascii="Arial" w:hAnsi="Arial" w:cs="Arial"/>
        </w:rPr>
      </w:pPr>
    </w:p>
    <w:p w14:paraId="3A63DFAE" w14:textId="77777777" w:rsidR="00EF734B" w:rsidRDefault="00EF734B" w:rsidP="00EF734B">
      <w:pPr>
        <w:spacing w:line="480" w:lineRule="auto"/>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54EF0FF9" wp14:editId="7244A29D">
            <wp:extent cx="5731510" cy="4585335"/>
            <wp:effectExtent l="0" t="0" r="0" b="0"/>
            <wp:docPr id="39296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6562" name="Picture 39296562"/>
                    <pic:cNvPicPr/>
                  </pic:nvPicPr>
                  <pic:blipFill>
                    <a:blip r:embed="rId9"/>
                    <a:stretch>
                      <a:fillRect/>
                    </a:stretch>
                  </pic:blipFill>
                  <pic:spPr>
                    <a:xfrm>
                      <a:off x="0" y="0"/>
                      <a:ext cx="5731510" cy="4585335"/>
                    </a:xfrm>
                    <a:prstGeom prst="rect">
                      <a:avLst/>
                    </a:prstGeom>
                  </pic:spPr>
                </pic:pic>
              </a:graphicData>
            </a:graphic>
          </wp:inline>
        </w:drawing>
      </w:r>
    </w:p>
    <w:p w14:paraId="2488E543" w14:textId="3AA99EBF" w:rsidR="00EF734B" w:rsidRPr="00865A9C" w:rsidRDefault="00EF734B" w:rsidP="00EF734B">
      <w:pPr>
        <w:spacing w:line="480" w:lineRule="auto"/>
        <w:jc w:val="both"/>
        <w:rPr>
          <w:rFonts w:ascii="Arial" w:hAnsi="Arial" w:cs="Arial"/>
        </w:rPr>
      </w:pPr>
      <w:r w:rsidRPr="00865A9C">
        <w:rPr>
          <w:rFonts w:ascii="Arial" w:hAnsi="Arial" w:cs="Arial"/>
        </w:rPr>
        <w:t>Figure S</w:t>
      </w:r>
      <w:r w:rsidR="00D168E1">
        <w:rPr>
          <w:rFonts w:ascii="Arial" w:hAnsi="Arial" w:cs="Arial"/>
        </w:rPr>
        <w:t>4</w:t>
      </w:r>
      <w:r w:rsidRPr="00865A9C">
        <w:rPr>
          <w:rFonts w:ascii="Arial" w:hAnsi="Arial" w:cs="Arial"/>
        </w:rPr>
        <w:t xml:space="preserve">: A heat-tree representation of the differential </w:t>
      </w:r>
      <w:r w:rsidR="00C46098">
        <w:rPr>
          <w:rFonts w:ascii="Arial" w:hAnsi="Arial" w:cs="Arial"/>
        </w:rPr>
        <w:t>fungal</w:t>
      </w:r>
      <w:r w:rsidRPr="00865A9C">
        <w:rPr>
          <w:rFonts w:ascii="Arial" w:hAnsi="Arial" w:cs="Arial"/>
        </w:rPr>
        <w:t xml:space="preserve"> abundance in the two layers of soil depth – topsoil and subsoil. The </w:t>
      </w:r>
      <w:r w:rsidRPr="00865A9C">
        <w:rPr>
          <w:rFonts w:ascii="Arial" w:hAnsi="Arial" w:cs="Arial"/>
          <w:i/>
          <w:iCs/>
        </w:rPr>
        <w:t>log2</w:t>
      </w:r>
      <w:r w:rsidRPr="00865A9C">
        <w:rPr>
          <w:rFonts w:ascii="Arial" w:hAnsi="Arial" w:cs="Arial"/>
        </w:rPr>
        <w:t xml:space="preserve"> values of the relative </w:t>
      </w:r>
      <w:r w:rsidR="00D50E68">
        <w:rPr>
          <w:rFonts w:ascii="Arial" w:hAnsi="Arial" w:cs="Arial"/>
        </w:rPr>
        <w:t>fungal</w:t>
      </w:r>
      <w:r w:rsidRPr="00865A9C">
        <w:rPr>
          <w:rFonts w:ascii="Arial" w:hAnsi="Arial" w:cs="Arial"/>
        </w:rPr>
        <w:t xml:space="preserve"> abundance between the layers are shown by two colours, where ‘</w:t>
      </w:r>
      <w:proofErr w:type="spellStart"/>
      <w:r w:rsidRPr="00865A9C">
        <w:rPr>
          <w:rFonts w:ascii="Arial" w:hAnsi="Arial" w:cs="Arial"/>
        </w:rPr>
        <w:t>light</w:t>
      </w:r>
      <w:r>
        <w:rPr>
          <w:rFonts w:ascii="Arial" w:hAnsi="Arial" w:cs="Arial"/>
        </w:rPr>
        <w:t>salmon</w:t>
      </w:r>
      <w:proofErr w:type="spellEnd"/>
      <w:r w:rsidRPr="00865A9C">
        <w:rPr>
          <w:rFonts w:ascii="Arial" w:hAnsi="Arial" w:cs="Arial"/>
        </w:rPr>
        <w:t>’ corresponds to topsoil and ‘lightblue4’ to subsoil (RStudio colour palettes have been used for colour representation).</w:t>
      </w:r>
    </w:p>
    <w:p w14:paraId="32D00705" w14:textId="77777777" w:rsidR="00EF734B" w:rsidRDefault="00EF734B" w:rsidP="00024E0E">
      <w:pPr>
        <w:spacing w:line="480" w:lineRule="auto"/>
        <w:rPr>
          <w:rFonts w:ascii="Arial" w:hAnsi="Arial" w:cs="Arial"/>
        </w:rPr>
      </w:pPr>
    </w:p>
    <w:p w14:paraId="71AA0FD3" w14:textId="77777777" w:rsidR="00EF734B" w:rsidRDefault="00EF734B" w:rsidP="00024E0E">
      <w:pPr>
        <w:spacing w:line="480" w:lineRule="auto"/>
        <w:rPr>
          <w:rFonts w:ascii="Arial" w:hAnsi="Arial" w:cs="Arial"/>
        </w:rPr>
      </w:pPr>
    </w:p>
    <w:p w14:paraId="242DF6A8" w14:textId="77777777" w:rsidR="00EF734B" w:rsidRDefault="00EF734B" w:rsidP="00024E0E">
      <w:pPr>
        <w:spacing w:line="480" w:lineRule="auto"/>
        <w:rPr>
          <w:rFonts w:ascii="Arial" w:hAnsi="Arial" w:cs="Arial"/>
        </w:rPr>
      </w:pPr>
    </w:p>
    <w:p w14:paraId="125C5F2E" w14:textId="77777777" w:rsidR="00EF734B" w:rsidRDefault="00EF734B" w:rsidP="00024E0E">
      <w:pPr>
        <w:spacing w:line="480" w:lineRule="auto"/>
        <w:rPr>
          <w:rFonts w:ascii="Arial" w:hAnsi="Arial" w:cs="Arial"/>
        </w:rPr>
      </w:pPr>
    </w:p>
    <w:p w14:paraId="7CBC1A82" w14:textId="77777777" w:rsidR="00EF734B" w:rsidRDefault="00EF734B" w:rsidP="00024E0E">
      <w:pPr>
        <w:spacing w:line="480" w:lineRule="auto"/>
        <w:rPr>
          <w:rFonts w:ascii="Arial" w:hAnsi="Arial" w:cs="Arial"/>
        </w:rPr>
      </w:pPr>
    </w:p>
    <w:p w14:paraId="5751F346" w14:textId="494519D9" w:rsidR="00EF734B" w:rsidRDefault="002E2BC7" w:rsidP="00024E0E">
      <w:pPr>
        <w:spacing w:line="480" w:lineRule="auto"/>
        <w:rPr>
          <w:rFonts w:ascii="Arial" w:hAnsi="Arial" w:cs="Arial"/>
        </w:rPr>
      </w:pPr>
      <w:r>
        <w:rPr>
          <w:rFonts w:ascii="Arial" w:hAnsi="Arial" w:cs="Arial"/>
          <w:noProof/>
        </w:rPr>
        <w:lastRenderedPageBreak/>
        <w:drawing>
          <wp:inline distT="0" distB="0" distL="0" distR="0" wp14:anchorId="7AFD765D" wp14:editId="1CFE2543">
            <wp:extent cx="5731510" cy="5731510"/>
            <wp:effectExtent l="0" t="0" r="0" b="0"/>
            <wp:docPr id="913279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9124" name="Picture 913279124"/>
                    <pic:cNvPicPr/>
                  </pic:nvPicPr>
                  <pic:blipFill>
                    <a:blip r:embed="rId10"/>
                    <a:stretch>
                      <a:fillRect/>
                    </a:stretch>
                  </pic:blipFill>
                  <pic:spPr>
                    <a:xfrm>
                      <a:off x="0" y="0"/>
                      <a:ext cx="5731510" cy="5731510"/>
                    </a:xfrm>
                    <a:prstGeom prst="rect">
                      <a:avLst/>
                    </a:prstGeom>
                  </pic:spPr>
                </pic:pic>
              </a:graphicData>
            </a:graphic>
          </wp:inline>
        </w:drawing>
      </w:r>
    </w:p>
    <w:p w14:paraId="7DEE9C9E" w14:textId="4999A745" w:rsidR="00EF734B" w:rsidRDefault="00EF734B" w:rsidP="00EF734B">
      <w:pPr>
        <w:spacing w:line="480" w:lineRule="auto"/>
        <w:jc w:val="both"/>
        <w:rPr>
          <w:rFonts w:ascii="Arial" w:hAnsi="Arial" w:cs="Arial"/>
        </w:rPr>
      </w:pPr>
      <w:r w:rsidRPr="00865A9C">
        <w:rPr>
          <w:rFonts w:ascii="Arial" w:hAnsi="Arial" w:cs="Arial"/>
        </w:rPr>
        <w:t>Figure S</w:t>
      </w:r>
      <w:r w:rsidR="00D168E1">
        <w:rPr>
          <w:rFonts w:ascii="Arial" w:hAnsi="Arial" w:cs="Arial"/>
        </w:rPr>
        <w:t>5</w:t>
      </w:r>
      <w:r w:rsidRPr="00865A9C">
        <w:rPr>
          <w:rFonts w:ascii="Arial" w:hAnsi="Arial" w:cs="Arial"/>
        </w:rPr>
        <w:t xml:space="preserve">: A heat-tree representation of the differential </w:t>
      </w:r>
      <w:r w:rsidR="002E2BC7">
        <w:rPr>
          <w:rFonts w:ascii="Arial" w:hAnsi="Arial" w:cs="Arial"/>
        </w:rPr>
        <w:t>fungal</w:t>
      </w:r>
      <w:r w:rsidRPr="00865A9C">
        <w:rPr>
          <w:rFonts w:ascii="Arial" w:hAnsi="Arial" w:cs="Arial"/>
        </w:rPr>
        <w:t xml:space="preserve"> abundance for the cover crop variations and fallow conditions. The </w:t>
      </w:r>
      <w:r w:rsidRPr="00865A9C">
        <w:rPr>
          <w:rFonts w:ascii="Arial" w:hAnsi="Arial" w:cs="Arial"/>
          <w:i/>
          <w:iCs/>
        </w:rPr>
        <w:t>log2</w:t>
      </w:r>
      <w:r w:rsidRPr="00865A9C">
        <w:rPr>
          <w:rFonts w:ascii="Arial" w:hAnsi="Arial" w:cs="Arial"/>
        </w:rPr>
        <w:t xml:space="preserve"> values of the relative </w:t>
      </w:r>
      <w:r w:rsidR="00D50E68">
        <w:rPr>
          <w:rFonts w:ascii="Arial" w:hAnsi="Arial" w:cs="Arial"/>
        </w:rPr>
        <w:t>fungal</w:t>
      </w:r>
      <w:r w:rsidRPr="00865A9C">
        <w:rPr>
          <w:rFonts w:ascii="Arial" w:hAnsi="Arial" w:cs="Arial"/>
        </w:rPr>
        <w:t xml:space="preserve"> abundance between treatments and fallow are shown by two colours, where ‘pink4’ corresponds to the name of the variation at the top and ‘</w:t>
      </w:r>
      <w:proofErr w:type="spellStart"/>
      <w:r w:rsidRPr="00865A9C">
        <w:rPr>
          <w:rFonts w:ascii="Arial" w:hAnsi="Arial" w:cs="Arial"/>
        </w:rPr>
        <w:t>lightgreen</w:t>
      </w:r>
      <w:proofErr w:type="spellEnd"/>
      <w:r w:rsidRPr="00865A9C">
        <w:rPr>
          <w:rFonts w:ascii="Arial" w:hAnsi="Arial" w:cs="Arial"/>
        </w:rPr>
        <w:t>’ to the name on the right side (RStudio colour palettes have been used for colour representation).</w:t>
      </w:r>
    </w:p>
    <w:p w14:paraId="2B5327F5" w14:textId="77777777" w:rsidR="0041374F" w:rsidRDefault="0041374F" w:rsidP="00EF734B">
      <w:pPr>
        <w:spacing w:line="480" w:lineRule="auto"/>
        <w:jc w:val="both"/>
        <w:rPr>
          <w:rFonts w:ascii="Arial" w:hAnsi="Arial" w:cs="Arial"/>
        </w:rPr>
      </w:pPr>
    </w:p>
    <w:p w14:paraId="54870E79" w14:textId="77777777" w:rsidR="0041374F" w:rsidRDefault="0041374F" w:rsidP="00EF734B">
      <w:pPr>
        <w:spacing w:line="480" w:lineRule="auto"/>
        <w:jc w:val="both"/>
        <w:rPr>
          <w:rFonts w:ascii="Arial" w:hAnsi="Arial" w:cs="Arial"/>
        </w:rPr>
      </w:pPr>
    </w:p>
    <w:p w14:paraId="37E26E3E" w14:textId="002C81F3" w:rsidR="0041374F" w:rsidRPr="00E85380" w:rsidRDefault="0041374F" w:rsidP="0041374F">
      <w:pPr>
        <w:spacing w:line="480" w:lineRule="auto"/>
        <w:jc w:val="center"/>
        <w:rPr>
          <w:rFonts w:ascii="Arial" w:hAnsi="Arial" w:cs="Arial"/>
        </w:rPr>
      </w:pPr>
      <w:r w:rsidRPr="00E85380">
        <w:rPr>
          <w:rFonts w:ascii="Arial" w:hAnsi="Arial" w:cs="Arial"/>
        </w:rPr>
        <w:lastRenderedPageBreak/>
        <w:t>Figure attached as a vector file</w:t>
      </w:r>
      <w:r>
        <w:rPr>
          <w:rFonts w:ascii="Arial" w:hAnsi="Arial" w:cs="Arial"/>
        </w:rPr>
        <w:t xml:space="preserve"> </w:t>
      </w:r>
      <w:r w:rsidRPr="00E85380">
        <w:rPr>
          <w:rFonts w:ascii="Arial" w:hAnsi="Arial" w:cs="Arial"/>
        </w:rPr>
        <w:t>(Supplementary Figure S</w:t>
      </w:r>
      <w:r w:rsidR="00D168E1">
        <w:rPr>
          <w:rFonts w:ascii="Arial" w:hAnsi="Arial" w:cs="Arial"/>
        </w:rPr>
        <w:t>6</w:t>
      </w:r>
      <w:r w:rsidRPr="00E85380">
        <w:rPr>
          <w:rFonts w:ascii="Arial" w:hAnsi="Arial" w:cs="Arial"/>
        </w:rPr>
        <w:t>, PDF)</w:t>
      </w:r>
    </w:p>
    <w:p w14:paraId="04AC1220" w14:textId="77777777" w:rsidR="0041374F" w:rsidRPr="00E85380" w:rsidRDefault="0041374F" w:rsidP="0041374F">
      <w:pPr>
        <w:spacing w:line="480" w:lineRule="auto"/>
        <w:jc w:val="center"/>
        <w:rPr>
          <w:rFonts w:ascii="Arial" w:hAnsi="Arial" w:cs="Arial"/>
        </w:rPr>
      </w:pPr>
    </w:p>
    <w:p w14:paraId="15CEFC9C" w14:textId="64700212" w:rsidR="0041374F" w:rsidRDefault="0041374F" w:rsidP="0041374F">
      <w:pPr>
        <w:spacing w:line="480" w:lineRule="auto"/>
        <w:jc w:val="both"/>
        <w:rPr>
          <w:rFonts w:ascii="Arial" w:hAnsi="Arial" w:cs="Arial"/>
        </w:rPr>
      </w:pPr>
      <w:r w:rsidRPr="00E85380">
        <w:rPr>
          <w:rFonts w:ascii="Arial" w:hAnsi="Arial" w:cs="Arial"/>
        </w:rPr>
        <w:t>Figure S</w:t>
      </w:r>
      <w:r w:rsidR="00D168E1">
        <w:rPr>
          <w:rFonts w:ascii="Arial" w:hAnsi="Arial" w:cs="Arial"/>
        </w:rPr>
        <w:t>6</w:t>
      </w:r>
      <w:r w:rsidRPr="00E85380">
        <w:rPr>
          <w:rFonts w:ascii="Arial" w:hAnsi="Arial" w:cs="Arial"/>
        </w:rPr>
        <w:t>: The extended heatmap f</w:t>
      </w:r>
      <w:r>
        <w:rPr>
          <w:rFonts w:ascii="Arial" w:hAnsi="Arial" w:cs="Arial"/>
        </w:rPr>
        <w:t>rom</w:t>
      </w:r>
      <w:r w:rsidRPr="00E85380">
        <w:rPr>
          <w:rFonts w:ascii="Arial" w:hAnsi="Arial" w:cs="Arial"/>
        </w:rPr>
        <w:t xml:space="preserve"> metaproteomics, which includes all the enzymes heavily or sparsely involved in the different </w:t>
      </w:r>
      <w:r>
        <w:rPr>
          <w:rFonts w:ascii="Arial" w:hAnsi="Arial" w:cs="Arial"/>
        </w:rPr>
        <w:t>functional cycles</w:t>
      </w:r>
      <w:r w:rsidRPr="00E85380">
        <w:rPr>
          <w:rFonts w:ascii="Arial" w:hAnsi="Arial" w:cs="Arial"/>
        </w:rPr>
        <w:t xml:space="preserve"> and </w:t>
      </w:r>
      <w:r w:rsidR="00D17E76">
        <w:rPr>
          <w:rFonts w:ascii="Arial" w:hAnsi="Arial" w:cs="Arial"/>
        </w:rPr>
        <w:t>fungal</w:t>
      </w:r>
      <w:r w:rsidRPr="00E85380">
        <w:rPr>
          <w:rFonts w:ascii="Arial" w:hAnsi="Arial" w:cs="Arial"/>
        </w:rPr>
        <w:t xml:space="preserve"> phyla </w:t>
      </w:r>
      <w:r>
        <w:rPr>
          <w:rFonts w:ascii="Arial" w:hAnsi="Arial" w:cs="Arial"/>
        </w:rPr>
        <w:t>corresponding to</w:t>
      </w:r>
      <w:r w:rsidRPr="00E85380">
        <w:rPr>
          <w:rFonts w:ascii="Arial" w:hAnsi="Arial" w:cs="Arial"/>
        </w:rPr>
        <w:t xml:space="preserve"> the enzymes</w:t>
      </w:r>
      <w:r>
        <w:rPr>
          <w:rFonts w:ascii="Arial" w:hAnsi="Arial" w:cs="Arial"/>
        </w:rPr>
        <w:t xml:space="preserve"> in the </w:t>
      </w:r>
      <w:r w:rsidR="00D17E76">
        <w:rPr>
          <w:rFonts w:ascii="Arial" w:hAnsi="Arial" w:cs="Arial"/>
        </w:rPr>
        <w:t>three different soil types (</w:t>
      </w:r>
      <w:r>
        <w:rPr>
          <w:rFonts w:ascii="Arial" w:hAnsi="Arial" w:cs="Arial"/>
        </w:rPr>
        <w:t>Luvisol</w:t>
      </w:r>
      <w:r w:rsidR="00D17E76">
        <w:rPr>
          <w:rFonts w:ascii="Arial" w:hAnsi="Arial" w:cs="Arial"/>
        </w:rPr>
        <w:t>, Phaeozem and Podzol) under drought and rainfall-fed conditions</w:t>
      </w:r>
      <w:r w:rsidRPr="00E85380">
        <w:rPr>
          <w:rFonts w:ascii="Arial" w:hAnsi="Arial" w:cs="Arial"/>
        </w:rPr>
        <w:t xml:space="preserve">. </w:t>
      </w:r>
      <w:r w:rsidRPr="00E85380">
        <w:rPr>
          <w:rFonts w:ascii="Arial" w:hAnsi="Arial" w:cs="Arial"/>
          <w:color w:val="000000" w:themeColor="text1"/>
        </w:rPr>
        <w:t xml:space="preserve">For proteomics, </w:t>
      </w:r>
      <w:r w:rsidRPr="00E85380">
        <w:rPr>
          <w:rFonts w:ascii="Arial" w:hAnsi="Arial" w:cs="Arial"/>
          <w:i/>
          <w:iCs/>
          <w:color w:val="000000" w:themeColor="text1"/>
        </w:rPr>
        <w:t>n</w:t>
      </w:r>
      <w:r w:rsidRPr="00E85380">
        <w:rPr>
          <w:rFonts w:ascii="Arial" w:hAnsi="Arial" w:cs="Arial"/>
          <w:color w:val="000000" w:themeColor="text1"/>
        </w:rPr>
        <w:t xml:space="preserve"> = </w:t>
      </w:r>
      <w:r w:rsidR="00093B6D">
        <w:rPr>
          <w:rFonts w:ascii="Arial" w:hAnsi="Arial" w:cs="Arial"/>
          <w:color w:val="000000" w:themeColor="text1"/>
        </w:rPr>
        <w:t>1</w:t>
      </w:r>
      <w:r w:rsidR="00C468ED">
        <w:rPr>
          <w:rFonts w:ascii="Arial" w:hAnsi="Arial" w:cs="Arial"/>
          <w:color w:val="000000" w:themeColor="text1"/>
        </w:rPr>
        <w:t>19</w:t>
      </w:r>
      <w:r>
        <w:rPr>
          <w:rFonts w:ascii="Arial" w:hAnsi="Arial" w:cs="Arial"/>
          <w:color w:val="000000" w:themeColor="text1"/>
        </w:rPr>
        <w:t>.</w:t>
      </w:r>
      <w:r w:rsidRPr="00E85380">
        <w:rPr>
          <w:rFonts w:ascii="Arial" w:hAnsi="Arial" w:cs="Arial"/>
          <w:color w:val="000000" w:themeColor="text1"/>
        </w:rPr>
        <w:t xml:space="preserve"> (Additional vector file provided for detailed observations)</w:t>
      </w:r>
      <w:r w:rsidR="00C468ED">
        <w:rPr>
          <w:rFonts w:ascii="Arial" w:hAnsi="Arial" w:cs="Arial"/>
          <w:color w:val="000000" w:themeColor="text1"/>
        </w:rPr>
        <w:t>. The significance of the expression of enzymes w</w:t>
      </w:r>
      <w:r w:rsidR="00D168E1">
        <w:rPr>
          <w:rFonts w:ascii="Arial" w:hAnsi="Arial" w:cs="Arial"/>
          <w:color w:val="000000" w:themeColor="text1"/>
        </w:rPr>
        <w:t>as</w:t>
      </w:r>
      <w:r w:rsidR="00C468ED">
        <w:rPr>
          <w:rFonts w:ascii="Arial" w:hAnsi="Arial" w:cs="Arial"/>
          <w:color w:val="000000" w:themeColor="text1"/>
        </w:rPr>
        <w:t xml:space="preserve"> measured using MANOVA and have been provided in the Supplementary Table S1</w:t>
      </w:r>
      <w:r w:rsidR="00BC7F36">
        <w:rPr>
          <w:rFonts w:ascii="Arial" w:hAnsi="Arial" w:cs="Arial"/>
          <w:color w:val="000000" w:themeColor="text1"/>
        </w:rPr>
        <w:t>4</w:t>
      </w:r>
      <w:r w:rsidR="00D168E1">
        <w:rPr>
          <w:rFonts w:ascii="Arial" w:hAnsi="Arial" w:cs="Arial"/>
          <w:color w:val="000000" w:themeColor="text1"/>
        </w:rPr>
        <w:t>.</w:t>
      </w:r>
    </w:p>
    <w:p w14:paraId="2F11AB9C" w14:textId="77777777" w:rsidR="007854C7" w:rsidRDefault="007854C7" w:rsidP="00EF734B">
      <w:pPr>
        <w:spacing w:line="480" w:lineRule="auto"/>
        <w:jc w:val="both"/>
        <w:rPr>
          <w:rFonts w:ascii="Arial" w:hAnsi="Arial" w:cs="Arial"/>
        </w:rPr>
      </w:pPr>
    </w:p>
    <w:p w14:paraId="6B9C786D" w14:textId="77777777" w:rsidR="007854C7" w:rsidRDefault="007854C7" w:rsidP="00EF734B">
      <w:pPr>
        <w:spacing w:line="480" w:lineRule="auto"/>
        <w:jc w:val="both"/>
        <w:rPr>
          <w:rFonts w:ascii="Arial" w:hAnsi="Arial" w:cs="Arial"/>
        </w:rPr>
      </w:pPr>
    </w:p>
    <w:p w14:paraId="45FB5195" w14:textId="5D26BD86" w:rsidR="00EF734B" w:rsidRDefault="0041374F" w:rsidP="00024E0E">
      <w:pPr>
        <w:spacing w:line="480" w:lineRule="auto"/>
        <w:rPr>
          <w:rFonts w:ascii="Arial" w:hAnsi="Arial" w:cs="Arial"/>
        </w:rPr>
      </w:pPr>
      <w:r>
        <w:rPr>
          <w:rFonts w:ascii="Arial" w:hAnsi="Arial" w:cs="Arial"/>
          <w:noProof/>
        </w:rPr>
        <w:lastRenderedPageBreak/>
        <w:drawing>
          <wp:inline distT="0" distB="0" distL="0" distR="0" wp14:anchorId="324198B8" wp14:editId="2104FB30">
            <wp:extent cx="5731510" cy="8686165"/>
            <wp:effectExtent l="0" t="0" r="0" b="635"/>
            <wp:docPr id="7912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89" name="Picture 7912789"/>
                    <pic:cNvPicPr/>
                  </pic:nvPicPr>
                  <pic:blipFill>
                    <a:blip r:embed="rId11"/>
                    <a:stretch>
                      <a:fillRect/>
                    </a:stretch>
                  </pic:blipFill>
                  <pic:spPr>
                    <a:xfrm>
                      <a:off x="0" y="0"/>
                      <a:ext cx="5731510" cy="8686165"/>
                    </a:xfrm>
                    <a:prstGeom prst="rect">
                      <a:avLst/>
                    </a:prstGeom>
                  </pic:spPr>
                </pic:pic>
              </a:graphicData>
            </a:graphic>
          </wp:inline>
        </w:drawing>
      </w:r>
    </w:p>
    <w:p w14:paraId="44BBE6B5" w14:textId="5406D70D" w:rsidR="0041374F" w:rsidRDefault="0041374F" w:rsidP="007A7D03">
      <w:pPr>
        <w:spacing w:line="480" w:lineRule="auto"/>
        <w:jc w:val="both"/>
        <w:rPr>
          <w:rFonts w:ascii="Arial" w:hAnsi="Arial" w:cs="Arial"/>
        </w:rPr>
      </w:pPr>
      <w:r>
        <w:rPr>
          <w:rFonts w:ascii="Arial" w:hAnsi="Arial" w:cs="Arial"/>
        </w:rPr>
        <w:lastRenderedPageBreak/>
        <w:t>Figure S</w:t>
      </w:r>
      <w:r w:rsidR="00D168E1">
        <w:rPr>
          <w:rFonts w:ascii="Arial" w:hAnsi="Arial" w:cs="Arial"/>
        </w:rPr>
        <w:t>7</w:t>
      </w:r>
      <w:r>
        <w:rPr>
          <w:rFonts w:ascii="Arial" w:hAnsi="Arial" w:cs="Arial"/>
        </w:rPr>
        <w:t xml:space="preserve">: </w:t>
      </w:r>
      <w:r w:rsidR="002E2BC7" w:rsidRPr="00865A9C">
        <w:rPr>
          <w:rFonts w:ascii="Arial" w:hAnsi="Arial" w:cs="Arial"/>
        </w:rPr>
        <w:t xml:space="preserve">A summary of the </w:t>
      </w:r>
      <w:r w:rsidR="007A7D03">
        <w:rPr>
          <w:rFonts w:ascii="Arial" w:hAnsi="Arial" w:cs="Arial"/>
        </w:rPr>
        <w:t>absolute abundance</w:t>
      </w:r>
      <w:r w:rsidR="002E2BC7" w:rsidRPr="00865A9C">
        <w:rPr>
          <w:rFonts w:ascii="Arial" w:hAnsi="Arial" w:cs="Arial"/>
        </w:rPr>
        <w:t xml:space="preserve"> of</w:t>
      </w:r>
      <w:r w:rsidR="002E2BC7">
        <w:rPr>
          <w:rFonts w:ascii="Arial" w:hAnsi="Arial" w:cs="Arial"/>
        </w:rPr>
        <w:t xml:space="preserve"> carbohydrate-active enzymes</w:t>
      </w:r>
      <w:r w:rsidR="002E2BC7" w:rsidRPr="00865A9C">
        <w:rPr>
          <w:rFonts w:ascii="Arial" w:hAnsi="Arial" w:cs="Arial"/>
        </w:rPr>
        <w:t xml:space="preserve"> </w:t>
      </w:r>
      <w:r w:rsidR="002E2BC7">
        <w:rPr>
          <w:rFonts w:ascii="Arial" w:hAnsi="Arial" w:cs="Arial"/>
        </w:rPr>
        <w:t xml:space="preserve">(CAZymes) </w:t>
      </w:r>
      <w:r w:rsidR="007A7D03">
        <w:rPr>
          <w:rFonts w:ascii="Arial" w:hAnsi="Arial" w:cs="Arial"/>
        </w:rPr>
        <w:t xml:space="preserve">represented by label-free quantification (LFQ) intensity, produced by fungal communities categorised by trophic modes defined in the FUNGUILD database </w:t>
      </w:r>
      <w:r w:rsidR="002E2BC7" w:rsidRPr="00865A9C">
        <w:rPr>
          <w:rFonts w:ascii="Arial" w:hAnsi="Arial" w:cs="Arial"/>
        </w:rPr>
        <w:t>under drought and rainfall-fed conditions in our different sampling sites and the different cover crop variations.</w:t>
      </w:r>
      <w:r w:rsidR="007A7D03">
        <w:rPr>
          <w:rFonts w:ascii="Arial" w:hAnsi="Arial" w:cs="Arial"/>
        </w:rPr>
        <w:t xml:space="preserve"> We have linked the lignocelluloses hydrolysed by these CAZymes on the left-side of the heatmap.</w:t>
      </w:r>
    </w:p>
    <w:p w14:paraId="012F145D" w14:textId="77777777" w:rsidR="00093B6D" w:rsidRDefault="00093B6D" w:rsidP="00024E0E">
      <w:pPr>
        <w:spacing w:line="480" w:lineRule="auto"/>
        <w:rPr>
          <w:rFonts w:ascii="Arial" w:hAnsi="Arial" w:cs="Arial"/>
        </w:rPr>
      </w:pPr>
    </w:p>
    <w:p w14:paraId="02047A49" w14:textId="77777777" w:rsidR="00093B6D" w:rsidRDefault="00093B6D" w:rsidP="00024E0E">
      <w:pPr>
        <w:spacing w:line="480" w:lineRule="auto"/>
        <w:rPr>
          <w:rFonts w:ascii="Arial" w:hAnsi="Arial" w:cs="Arial"/>
        </w:rPr>
      </w:pPr>
    </w:p>
    <w:p w14:paraId="6041A5D9" w14:textId="77777777" w:rsidR="00093B6D" w:rsidRDefault="00093B6D" w:rsidP="00024E0E">
      <w:pPr>
        <w:spacing w:line="480" w:lineRule="auto"/>
        <w:rPr>
          <w:rFonts w:ascii="Arial" w:hAnsi="Arial" w:cs="Arial"/>
        </w:rPr>
      </w:pPr>
    </w:p>
    <w:p w14:paraId="5B7CA6E3" w14:textId="77777777" w:rsidR="00093B6D" w:rsidRDefault="00093B6D" w:rsidP="00024E0E">
      <w:pPr>
        <w:spacing w:line="480" w:lineRule="auto"/>
        <w:rPr>
          <w:rFonts w:ascii="Arial" w:hAnsi="Arial" w:cs="Arial"/>
        </w:rPr>
      </w:pPr>
    </w:p>
    <w:p w14:paraId="251802AA" w14:textId="77777777" w:rsidR="00093B6D" w:rsidRDefault="00093B6D" w:rsidP="00024E0E">
      <w:pPr>
        <w:spacing w:line="480" w:lineRule="auto"/>
        <w:rPr>
          <w:rFonts w:ascii="Arial" w:hAnsi="Arial" w:cs="Arial"/>
        </w:rPr>
      </w:pPr>
    </w:p>
    <w:p w14:paraId="7EE0C1D2" w14:textId="77777777" w:rsidR="00093B6D" w:rsidRDefault="00093B6D" w:rsidP="00024E0E">
      <w:pPr>
        <w:spacing w:line="480" w:lineRule="auto"/>
        <w:rPr>
          <w:rFonts w:ascii="Arial" w:hAnsi="Arial" w:cs="Arial"/>
        </w:rPr>
      </w:pPr>
    </w:p>
    <w:p w14:paraId="1FAFD8A9" w14:textId="77777777" w:rsidR="00093B6D" w:rsidRDefault="00093B6D" w:rsidP="00024E0E">
      <w:pPr>
        <w:spacing w:line="480" w:lineRule="auto"/>
        <w:rPr>
          <w:rFonts w:ascii="Arial" w:hAnsi="Arial" w:cs="Arial"/>
        </w:rPr>
      </w:pPr>
    </w:p>
    <w:p w14:paraId="7BE8FA76" w14:textId="77777777" w:rsidR="00093B6D" w:rsidRDefault="00093B6D" w:rsidP="00024E0E">
      <w:pPr>
        <w:spacing w:line="480" w:lineRule="auto"/>
        <w:rPr>
          <w:rFonts w:ascii="Arial" w:hAnsi="Arial" w:cs="Arial"/>
        </w:rPr>
      </w:pPr>
    </w:p>
    <w:p w14:paraId="51435D04" w14:textId="77777777" w:rsidR="00093B6D" w:rsidRDefault="00093B6D" w:rsidP="00024E0E">
      <w:pPr>
        <w:spacing w:line="480" w:lineRule="auto"/>
        <w:rPr>
          <w:rFonts w:ascii="Arial" w:hAnsi="Arial" w:cs="Arial"/>
        </w:rPr>
      </w:pPr>
    </w:p>
    <w:p w14:paraId="5B15755B" w14:textId="77777777" w:rsidR="00093B6D" w:rsidRDefault="00093B6D" w:rsidP="00024E0E">
      <w:pPr>
        <w:spacing w:line="480" w:lineRule="auto"/>
        <w:rPr>
          <w:rFonts w:ascii="Arial" w:hAnsi="Arial" w:cs="Arial"/>
        </w:rPr>
      </w:pPr>
    </w:p>
    <w:p w14:paraId="0A8F79CA" w14:textId="77777777" w:rsidR="00093B6D" w:rsidRDefault="00093B6D" w:rsidP="00024E0E">
      <w:pPr>
        <w:spacing w:line="480" w:lineRule="auto"/>
        <w:rPr>
          <w:rFonts w:ascii="Arial" w:hAnsi="Arial" w:cs="Arial"/>
        </w:rPr>
      </w:pPr>
    </w:p>
    <w:p w14:paraId="56C6176A" w14:textId="77777777" w:rsidR="00093B6D" w:rsidRDefault="00093B6D" w:rsidP="00024E0E">
      <w:pPr>
        <w:spacing w:line="480" w:lineRule="auto"/>
        <w:rPr>
          <w:rFonts w:ascii="Arial" w:hAnsi="Arial" w:cs="Arial"/>
        </w:rPr>
      </w:pPr>
    </w:p>
    <w:p w14:paraId="43965040" w14:textId="77777777" w:rsidR="00093B6D" w:rsidRDefault="00093B6D" w:rsidP="00024E0E">
      <w:pPr>
        <w:spacing w:line="480" w:lineRule="auto"/>
        <w:rPr>
          <w:rFonts w:ascii="Arial" w:hAnsi="Arial" w:cs="Arial"/>
        </w:rPr>
      </w:pPr>
    </w:p>
    <w:p w14:paraId="5575A874" w14:textId="795F386C" w:rsidR="00EF734B" w:rsidRDefault="00EF734B" w:rsidP="00F25C41">
      <w:pPr>
        <w:spacing w:line="480" w:lineRule="auto"/>
        <w:jc w:val="both"/>
        <w:rPr>
          <w:rFonts w:ascii="Arial" w:hAnsi="Arial" w:cs="Arial"/>
        </w:rPr>
      </w:pPr>
    </w:p>
    <w:p w14:paraId="13BD174D" w14:textId="77777777" w:rsidR="00D168E1" w:rsidRDefault="00D168E1" w:rsidP="00F25C41">
      <w:pPr>
        <w:spacing w:line="480" w:lineRule="auto"/>
        <w:jc w:val="both"/>
        <w:rPr>
          <w:rFonts w:ascii="Arial" w:hAnsi="Arial" w:cs="Arial"/>
        </w:rPr>
      </w:pPr>
    </w:p>
    <w:p w14:paraId="6FC4F622" w14:textId="77777777" w:rsidR="00D168E1" w:rsidRDefault="00D168E1" w:rsidP="00D168E1">
      <w:pPr>
        <w:spacing w:line="480" w:lineRule="auto"/>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5D91DC7E" wp14:editId="3FC4A79D">
            <wp:extent cx="5711252" cy="4288321"/>
            <wp:effectExtent l="0" t="0" r="3810" b="4445"/>
            <wp:docPr id="139617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70595" name="Picture 1396170595"/>
                    <pic:cNvPicPr/>
                  </pic:nvPicPr>
                  <pic:blipFill>
                    <a:blip r:embed="rId12"/>
                    <a:stretch>
                      <a:fillRect/>
                    </a:stretch>
                  </pic:blipFill>
                  <pic:spPr>
                    <a:xfrm>
                      <a:off x="0" y="0"/>
                      <a:ext cx="5734642" cy="4305884"/>
                    </a:xfrm>
                    <a:prstGeom prst="rect">
                      <a:avLst/>
                    </a:prstGeom>
                  </pic:spPr>
                </pic:pic>
              </a:graphicData>
            </a:graphic>
          </wp:inline>
        </w:drawing>
      </w:r>
    </w:p>
    <w:p w14:paraId="72237354" w14:textId="16602F16" w:rsidR="00D168E1" w:rsidRPr="00077ED6" w:rsidRDefault="00D168E1" w:rsidP="00D168E1">
      <w:pPr>
        <w:pStyle w:val="CommentText"/>
        <w:spacing w:line="480" w:lineRule="auto"/>
        <w:jc w:val="both"/>
        <w:rPr>
          <w:rFonts w:ascii="Arial" w:eastAsiaTheme="minorEastAsia" w:hAnsi="Arial" w:cs="Arial"/>
          <w:sz w:val="24"/>
          <w:szCs w:val="24"/>
          <w:lang w:eastAsia="zh-CN"/>
        </w:rPr>
      </w:pPr>
      <w:r w:rsidRPr="00077ED6">
        <w:rPr>
          <w:rFonts w:ascii="Arial" w:eastAsiaTheme="minorEastAsia" w:hAnsi="Arial" w:cs="Arial"/>
          <w:sz w:val="24"/>
          <w:szCs w:val="24"/>
          <w:lang w:eastAsia="zh-CN"/>
        </w:rPr>
        <w:t>Figure S</w:t>
      </w:r>
      <w:r w:rsidR="00E918D3">
        <w:rPr>
          <w:rFonts w:ascii="Arial" w:eastAsiaTheme="minorEastAsia" w:hAnsi="Arial" w:cs="Arial"/>
          <w:sz w:val="24"/>
          <w:szCs w:val="24"/>
          <w:lang w:eastAsia="zh-CN"/>
        </w:rPr>
        <w:t>8</w:t>
      </w:r>
      <w:r w:rsidRPr="00077ED6">
        <w:rPr>
          <w:rFonts w:ascii="Arial" w:eastAsiaTheme="minorEastAsia" w:hAnsi="Arial" w:cs="Arial"/>
          <w:sz w:val="24"/>
          <w:szCs w:val="24"/>
          <w:lang w:eastAsia="zh-CN"/>
        </w:rPr>
        <w:t>a: Soil moisture trends in the topsoil (0-30 cm) and subsoil (30-60 cm) along the experimental durations under drought (D) and rainfall-fed (RF) conditions in the Luvisol.</w:t>
      </w:r>
    </w:p>
    <w:p w14:paraId="550C5CD1" w14:textId="77777777" w:rsidR="00D168E1" w:rsidRDefault="00D168E1" w:rsidP="00D168E1">
      <w:pPr>
        <w:spacing w:line="480" w:lineRule="auto"/>
        <w:jc w:val="center"/>
        <w:rPr>
          <w:rFonts w:ascii="Arial" w:hAnsi="Arial" w:cs="Arial"/>
          <w:color w:val="000000" w:themeColor="text1"/>
        </w:rPr>
      </w:pPr>
    </w:p>
    <w:p w14:paraId="5651AF24" w14:textId="77777777" w:rsidR="00D168E1" w:rsidRDefault="00D168E1" w:rsidP="00D168E1">
      <w:pPr>
        <w:spacing w:line="480" w:lineRule="auto"/>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765F03B4" wp14:editId="361E1025">
            <wp:extent cx="5716800" cy="5716800"/>
            <wp:effectExtent l="0" t="0" r="0" b="0"/>
            <wp:docPr id="271369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69152" name="Picture 271369152"/>
                    <pic:cNvPicPr/>
                  </pic:nvPicPr>
                  <pic:blipFill>
                    <a:blip r:embed="rId13"/>
                    <a:stretch>
                      <a:fillRect/>
                    </a:stretch>
                  </pic:blipFill>
                  <pic:spPr>
                    <a:xfrm>
                      <a:off x="0" y="0"/>
                      <a:ext cx="5716800" cy="5716800"/>
                    </a:xfrm>
                    <a:prstGeom prst="rect">
                      <a:avLst/>
                    </a:prstGeom>
                  </pic:spPr>
                </pic:pic>
              </a:graphicData>
            </a:graphic>
          </wp:inline>
        </w:drawing>
      </w:r>
    </w:p>
    <w:p w14:paraId="16B8E387" w14:textId="6EB0B87C" w:rsidR="00D168E1" w:rsidRPr="00077ED6" w:rsidRDefault="00D168E1" w:rsidP="00D168E1">
      <w:pPr>
        <w:pStyle w:val="CommentText"/>
        <w:spacing w:line="480" w:lineRule="auto"/>
        <w:jc w:val="both"/>
        <w:rPr>
          <w:rFonts w:ascii="Arial" w:eastAsiaTheme="minorEastAsia" w:hAnsi="Arial" w:cs="Arial"/>
          <w:sz w:val="24"/>
          <w:szCs w:val="24"/>
          <w:lang w:eastAsia="zh-CN"/>
        </w:rPr>
      </w:pPr>
      <w:r w:rsidRPr="00077ED6">
        <w:rPr>
          <w:rFonts w:ascii="Arial" w:eastAsiaTheme="minorEastAsia" w:hAnsi="Arial" w:cs="Arial"/>
          <w:sz w:val="24"/>
          <w:szCs w:val="24"/>
          <w:lang w:eastAsia="zh-CN"/>
        </w:rPr>
        <w:t>Figure S</w:t>
      </w:r>
      <w:r w:rsidR="00E918D3">
        <w:rPr>
          <w:rFonts w:ascii="Arial" w:eastAsiaTheme="minorEastAsia" w:hAnsi="Arial" w:cs="Arial"/>
          <w:sz w:val="24"/>
          <w:szCs w:val="24"/>
          <w:lang w:eastAsia="zh-CN"/>
        </w:rPr>
        <w:t>8</w:t>
      </w:r>
      <w:r w:rsidRPr="00077ED6">
        <w:rPr>
          <w:rFonts w:ascii="Arial" w:eastAsiaTheme="minorEastAsia" w:hAnsi="Arial" w:cs="Arial"/>
          <w:sz w:val="24"/>
          <w:szCs w:val="24"/>
          <w:lang w:eastAsia="zh-CN"/>
        </w:rPr>
        <w:t>b: Soil moisture trends in the topsoil (0-30 cm) and subsoil (30-60 and 60-120 cm) along the experimental durations under D and RF conditions in the Phaeozem.</w:t>
      </w:r>
    </w:p>
    <w:p w14:paraId="4DFD77A7" w14:textId="77777777" w:rsidR="00D168E1" w:rsidRDefault="00D168E1" w:rsidP="00D168E1">
      <w:pPr>
        <w:spacing w:line="480" w:lineRule="auto"/>
        <w:jc w:val="center"/>
        <w:rPr>
          <w:rFonts w:ascii="Arial" w:hAnsi="Arial" w:cs="Arial"/>
          <w:color w:val="000000" w:themeColor="text1"/>
        </w:rPr>
      </w:pPr>
    </w:p>
    <w:p w14:paraId="0FE411B2" w14:textId="518F058C" w:rsidR="00D168E1" w:rsidRDefault="00D168E1" w:rsidP="00D168E1">
      <w:pPr>
        <w:spacing w:line="480" w:lineRule="auto"/>
        <w:jc w:val="both"/>
        <w:rPr>
          <w:rFonts w:ascii="Arial" w:eastAsiaTheme="minorEastAsia" w:hAnsi="Arial" w:cs="Arial"/>
          <w:lang w:eastAsia="zh-CN"/>
        </w:rPr>
      </w:pPr>
      <w:r>
        <w:rPr>
          <w:rFonts w:ascii="Arial" w:hAnsi="Arial" w:cs="Arial"/>
          <w:noProof/>
          <w:color w:val="000000" w:themeColor="text1"/>
        </w:rPr>
        <w:lastRenderedPageBreak/>
        <w:drawing>
          <wp:inline distT="0" distB="0" distL="0" distR="0" wp14:anchorId="3A5E29BE" wp14:editId="497430BE">
            <wp:extent cx="5716800" cy="5716800"/>
            <wp:effectExtent l="0" t="0" r="0" b="0"/>
            <wp:docPr id="1537295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95580" name="Picture 1537295580"/>
                    <pic:cNvPicPr/>
                  </pic:nvPicPr>
                  <pic:blipFill>
                    <a:blip r:embed="rId14"/>
                    <a:stretch>
                      <a:fillRect/>
                    </a:stretch>
                  </pic:blipFill>
                  <pic:spPr>
                    <a:xfrm>
                      <a:off x="0" y="0"/>
                      <a:ext cx="5716800" cy="5716800"/>
                    </a:xfrm>
                    <a:prstGeom prst="rect">
                      <a:avLst/>
                    </a:prstGeom>
                  </pic:spPr>
                </pic:pic>
              </a:graphicData>
            </a:graphic>
          </wp:inline>
        </w:drawing>
      </w:r>
      <w:r w:rsidRPr="00077ED6">
        <w:rPr>
          <w:rFonts w:ascii="Arial" w:eastAsiaTheme="minorEastAsia" w:hAnsi="Arial" w:cs="Arial"/>
          <w:b/>
          <w:bCs/>
          <w:lang w:eastAsia="zh-CN"/>
        </w:rPr>
        <w:t xml:space="preserve"> </w:t>
      </w:r>
      <w:r w:rsidRPr="00077ED6">
        <w:rPr>
          <w:rFonts w:ascii="Arial" w:eastAsiaTheme="minorEastAsia" w:hAnsi="Arial" w:cs="Arial"/>
          <w:lang w:eastAsia="zh-CN"/>
        </w:rPr>
        <w:t>Figure S</w:t>
      </w:r>
      <w:r w:rsidR="00E918D3">
        <w:rPr>
          <w:rFonts w:ascii="Arial" w:eastAsiaTheme="minorEastAsia" w:hAnsi="Arial" w:cs="Arial"/>
          <w:lang w:eastAsia="zh-CN"/>
        </w:rPr>
        <w:t>8</w:t>
      </w:r>
      <w:r w:rsidRPr="00077ED6">
        <w:rPr>
          <w:rFonts w:ascii="Arial" w:eastAsiaTheme="minorEastAsia" w:hAnsi="Arial" w:cs="Arial"/>
          <w:lang w:eastAsia="zh-CN"/>
        </w:rPr>
        <w:t>c: Soil moisture trends in the topsoil (0-30 cm) and subsoil (30-60 and 60-120 cm) along the experimental durations under D and RF conditions in the Podzol.</w:t>
      </w:r>
    </w:p>
    <w:p w14:paraId="3B878CD7" w14:textId="77777777" w:rsidR="00D168E1" w:rsidRDefault="00D168E1" w:rsidP="00D168E1">
      <w:pPr>
        <w:spacing w:line="480" w:lineRule="auto"/>
        <w:rPr>
          <w:rFonts w:ascii="Arial" w:eastAsiaTheme="minorEastAsia" w:hAnsi="Arial" w:cs="Arial"/>
          <w:lang w:eastAsia="zh-CN"/>
        </w:rPr>
      </w:pPr>
    </w:p>
    <w:p w14:paraId="5A32F044" w14:textId="77777777" w:rsidR="00D168E1" w:rsidRDefault="00D168E1" w:rsidP="00D168E1">
      <w:pPr>
        <w:spacing w:line="480" w:lineRule="auto"/>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097ED73F" wp14:editId="621446C7">
            <wp:extent cx="4804756" cy="6483341"/>
            <wp:effectExtent l="0" t="0" r="0" b="0"/>
            <wp:docPr id="36491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14075" name="Picture 364914075"/>
                    <pic:cNvPicPr/>
                  </pic:nvPicPr>
                  <pic:blipFill>
                    <a:blip r:embed="rId15"/>
                    <a:stretch>
                      <a:fillRect/>
                    </a:stretch>
                  </pic:blipFill>
                  <pic:spPr>
                    <a:xfrm>
                      <a:off x="0" y="0"/>
                      <a:ext cx="4811640" cy="6492630"/>
                    </a:xfrm>
                    <a:prstGeom prst="rect">
                      <a:avLst/>
                    </a:prstGeom>
                  </pic:spPr>
                </pic:pic>
              </a:graphicData>
            </a:graphic>
          </wp:inline>
        </w:drawing>
      </w:r>
    </w:p>
    <w:p w14:paraId="5E4744AC" w14:textId="6F7B1326" w:rsidR="00D168E1" w:rsidRDefault="00D168E1" w:rsidP="00F25C41">
      <w:pPr>
        <w:spacing w:line="480" w:lineRule="auto"/>
        <w:jc w:val="both"/>
        <w:rPr>
          <w:rFonts w:ascii="Arial" w:hAnsi="Arial" w:cs="Arial"/>
          <w:color w:val="000000" w:themeColor="text1"/>
        </w:rPr>
      </w:pPr>
      <w:r w:rsidRPr="00865A9C">
        <w:rPr>
          <w:rFonts w:ascii="Arial" w:hAnsi="Arial" w:cs="Arial"/>
          <w:color w:val="000000" w:themeColor="text1"/>
        </w:rPr>
        <w:t>Figure S</w:t>
      </w:r>
      <w:r w:rsidR="00E918D3">
        <w:rPr>
          <w:rFonts w:ascii="Arial" w:hAnsi="Arial" w:cs="Arial"/>
          <w:color w:val="000000" w:themeColor="text1"/>
        </w:rPr>
        <w:t>9</w:t>
      </w:r>
      <w:r w:rsidRPr="00865A9C">
        <w:rPr>
          <w:rFonts w:ascii="Arial" w:hAnsi="Arial" w:cs="Arial"/>
          <w:color w:val="000000" w:themeColor="text1"/>
        </w:rPr>
        <w:t xml:space="preserve">: </w:t>
      </w:r>
      <w:r>
        <w:rPr>
          <w:rFonts w:ascii="Arial" w:hAnsi="Arial" w:cs="Arial"/>
          <w:color w:val="000000" w:themeColor="text1"/>
        </w:rPr>
        <w:t>Pictures of the root overlap regions – the root channels of the winter cover crop regions reused by maize for deeper penetration into the soil profile</w:t>
      </w:r>
      <w:r w:rsidRPr="00865A9C">
        <w:rPr>
          <w:rFonts w:ascii="Arial" w:hAnsi="Arial" w:cs="Arial"/>
          <w:color w:val="000000" w:themeColor="text1"/>
        </w:rPr>
        <w:t>.</w:t>
      </w:r>
      <w:r>
        <w:rPr>
          <w:rFonts w:ascii="Arial" w:hAnsi="Arial" w:cs="Arial"/>
          <w:color w:val="000000" w:themeColor="text1"/>
        </w:rPr>
        <w:t xml:space="preserve"> These were the regions from which the samples were collected for the ‘maize root in cover crop root channels (MCR)’ samples.</w:t>
      </w:r>
    </w:p>
    <w:p w14:paraId="2F8C2775" w14:textId="77777777" w:rsidR="00E918D3" w:rsidRDefault="00E918D3" w:rsidP="00F25C41">
      <w:pPr>
        <w:spacing w:line="480" w:lineRule="auto"/>
        <w:jc w:val="both"/>
        <w:rPr>
          <w:rFonts w:ascii="Arial" w:hAnsi="Arial" w:cs="Arial"/>
          <w:color w:val="000000" w:themeColor="text1"/>
        </w:rPr>
      </w:pPr>
    </w:p>
    <w:p w14:paraId="21922F0F" w14:textId="77777777" w:rsidR="00E918D3" w:rsidRDefault="00E918D3" w:rsidP="00E918D3">
      <w:pPr>
        <w:spacing w:line="480" w:lineRule="auto"/>
        <w:jc w:val="center"/>
        <w:rPr>
          <w:rFonts w:ascii="Arial" w:hAnsi="Arial" w:cs="Arial"/>
        </w:rPr>
      </w:pPr>
      <w:r>
        <w:rPr>
          <w:rFonts w:ascii="Arial" w:hAnsi="Arial" w:cs="Arial"/>
          <w:noProof/>
        </w:rPr>
        <w:lastRenderedPageBreak/>
        <w:drawing>
          <wp:inline distT="0" distB="0" distL="0" distR="0" wp14:anchorId="05F7CDBE" wp14:editId="0E9C96BE">
            <wp:extent cx="4500000" cy="7857268"/>
            <wp:effectExtent l="0" t="0" r="0" b="4445"/>
            <wp:docPr id="1887586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86881" name="Picture 1887586881"/>
                    <pic:cNvPicPr/>
                  </pic:nvPicPr>
                  <pic:blipFill>
                    <a:blip r:embed="rId16"/>
                    <a:stretch>
                      <a:fillRect/>
                    </a:stretch>
                  </pic:blipFill>
                  <pic:spPr>
                    <a:xfrm>
                      <a:off x="0" y="0"/>
                      <a:ext cx="4500000" cy="7857268"/>
                    </a:xfrm>
                    <a:prstGeom prst="rect">
                      <a:avLst/>
                    </a:prstGeom>
                  </pic:spPr>
                </pic:pic>
              </a:graphicData>
            </a:graphic>
          </wp:inline>
        </w:drawing>
      </w:r>
    </w:p>
    <w:p w14:paraId="4A74D450" w14:textId="289511E5" w:rsidR="00E918D3" w:rsidRPr="00D168E1" w:rsidRDefault="00E918D3" w:rsidP="00E918D3">
      <w:pPr>
        <w:spacing w:line="480" w:lineRule="auto"/>
        <w:jc w:val="both"/>
        <w:rPr>
          <w:rFonts w:ascii="Arial" w:hAnsi="Arial" w:cs="Arial"/>
          <w:color w:val="000000" w:themeColor="text1"/>
        </w:rPr>
      </w:pPr>
      <w:r>
        <w:rPr>
          <w:rFonts w:ascii="Arial" w:hAnsi="Arial" w:cs="Arial"/>
        </w:rPr>
        <w:t xml:space="preserve">Figure S10: </w:t>
      </w:r>
      <w:r w:rsidRPr="00E918D3">
        <w:rPr>
          <w:rFonts w:ascii="Arial" w:hAnsi="Arial" w:cs="Arial"/>
        </w:rPr>
        <w:t>a.</w:t>
      </w:r>
      <w:r>
        <w:rPr>
          <w:rFonts w:ascii="Arial" w:hAnsi="Arial" w:cs="Arial"/>
        </w:rPr>
        <w:t xml:space="preserve"> A spatial trend of the ratio of ITS2 gene copies in fungi against 16S rRNA gene copies in bacteria across the soil sampling depths (represented by the </w:t>
      </w:r>
      <w:r>
        <w:rPr>
          <w:rFonts w:ascii="Arial" w:hAnsi="Arial" w:cs="Arial"/>
        </w:rPr>
        <w:lastRenderedPageBreak/>
        <w:t>colour fills of topsoil and subsoil, which are ‘lightsalmon1’ and ‘</w:t>
      </w:r>
      <w:proofErr w:type="spellStart"/>
      <w:r>
        <w:rPr>
          <w:rFonts w:ascii="Arial" w:hAnsi="Arial" w:cs="Arial"/>
        </w:rPr>
        <w:t>steelgray</w:t>
      </w:r>
      <w:proofErr w:type="spellEnd"/>
      <w:r>
        <w:rPr>
          <w:rFonts w:ascii="Arial" w:hAnsi="Arial" w:cs="Arial"/>
        </w:rPr>
        <w:t xml:space="preserve">’ respectively in the R colour palette) under drought and rainfall-fed conditions for the different cover crop variations (shown by the different coloured trendlines) in the three different soil types; </w:t>
      </w:r>
      <w:r w:rsidRPr="00E918D3">
        <w:rPr>
          <w:rFonts w:ascii="Arial" w:hAnsi="Arial" w:cs="Arial"/>
        </w:rPr>
        <w:t>b.</w:t>
      </w:r>
      <w:r>
        <w:rPr>
          <w:rFonts w:ascii="Arial" w:hAnsi="Arial" w:cs="Arial"/>
        </w:rPr>
        <w:t xml:space="preserve"> A heatmap representing the relative expression of fungal proteins to bacterial proteins for those proteins identified from both organism levels. The colour of the enzyme text is for representing the biochemical cycles to which they contribute. The rows within each facet grid are representing relative expressions under rainfall-fed and drought conditions simultaneously, also indicated by the two small </w:t>
      </w:r>
      <w:r w:rsidR="00A33EDE">
        <w:rPr>
          <w:rFonts w:ascii="Arial" w:hAnsi="Arial" w:cs="Arial"/>
        </w:rPr>
        <w:t xml:space="preserve">graphical </w:t>
      </w:r>
      <w:r>
        <w:rPr>
          <w:rFonts w:ascii="Arial" w:hAnsi="Arial" w:cs="Arial"/>
        </w:rPr>
        <w:t>icons to the right of the protein names.</w:t>
      </w:r>
    </w:p>
    <w:sectPr w:rsidR="00E918D3" w:rsidRPr="00D168E1" w:rsidSect="00FF11FF">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90"/>
    <w:rsid w:val="000004BF"/>
    <w:rsid w:val="0000743D"/>
    <w:rsid w:val="00021DE1"/>
    <w:rsid w:val="00024E0E"/>
    <w:rsid w:val="000302B3"/>
    <w:rsid w:val="00036CDB"/>
    <w:rsid w:val="000660D4"/>
    <w:rsid w:val="00071852"/>
    <w:rsid w:val="00075DEC"/>
    <w:rsid w:val="00077A02"/>
    <w:rsid w:val="00092951"/>
    <w:rsid w:val="00093B6D"/>
    <w:rsid w:val="000B55D5"/>
    <w:rsid w:val="000C2D60"/>
    <w:rsid w:val="000C5BFE"/>
    <w:rsid w:val="000D4F9F"/>
    <w:rsid w:val="000F121F"/>
    <w:rsid w:val="001148F7"/>
    <w:rsid w:val="00123560"/>
    <w:rsid w:val="0014475D"/>
    <w:rsid w:val="00153324"/>
    <w:rsid w:val="00175530"/>
    <w:rsid w:val="00191D9E"/>
    <w:rsid w:val="00197D09"/>
    <w:rsid w:val="001A0989"/>
    <w:rsid w:val="001A71FF"/>
    <w:rsid w:val="001C58A1"/>
    <w:rsid w:val="001C6711"/>
    <w:rsid w:val="001E507C"/>
    <w:rsid w:val="001E7110"/>
    <w:rsid w:val="0020753C"/>
    <w:rsid w:val="0021130A"/>
    <w:rsid w:val="00226BBC"/>
    <w:rsid w:val="00227208"/>
    <w:rsid w:val="00232171"/>
    <w:rsid w:val="0024242B"/>
    <w:rsid w:val="002730D1"/>
    <w:rsid w:val="0027369F"/>
    <w:rsid w:val="0028417F"/>
    <w:rsid w:val="00285B2E"/>
    <w:rsid w:val="002A5E3E"/>
    <w:rsid w:val="002B2455"/>
    <w:rsid w:val="002C7C82"/>
    <w:rsid w:val="002D71D8"/>
    <w:rsid w:val="002E2BC7"/>
    <w:rsid w:val="00315E9D"/>
    <w:rsid w:val="0033693C"/>
    <w:rsid w:val="003373BC"/>
    <w:rsid w:val="00347D6F"/>
    <w:rsid w:val="00363D27"/>
    <w:rsid w:val="00374440"/>
    <w:rsid w:val="003943DA"/>
    <w:rsid w:val="003C22E2"/>
    <w:rsid w:val="003C6B6E"/>
    <w:rsid w:val="003D2366"/>
    <w:rsid w:val="003E3D0C"/>
    <w:rsid w:val="003F04EA"/>
    <w:rsid w:val="00403B30"/>
    <w:rsid w:val="0041374F"/>
    <w:rsid w:val="00431CFF"/>
    <w:rsid w:val="0043411B"/>
    <w:rsid w:val="00437E88"/>
    <w:rsid w:val="00445471"/>
    <w:rsid w:val="004638FF"/>
    <w:rsid w:val="00465D6D"/>
    <w:rsid w:val="00476154"/>
    <w:rsid w:val="00487AAD"/>
    <w:rsid w:val="004A67B8"/>
    <w:rsid w:val="004B62C3"/>
    <w:rsid w:val="004C5BFD"/>
    <w:rsid w:val="004F3030"/>
    <w:rsid w:val="004F36A8"/>
    <w:rsid w:val="004F56FE"/>
    <w:rsid w:val="00511F26"/>
    <w:rsid w:val="00515DF3"/>
    <w:rsid w:val="00515DFE"/>
    <w:rsid w:val="005263A4"/>
    <w:rsid w:val="00540F5C"/>
    <w:rsid w:val="00543EA6"/>
    <w:rsid w:val="00582401"/>
    <w:rsid w:val="005825A4"/>
    <w:rsid w:val="005944B5"/>
    <w:rsid w:val="005C2001"/>
    <w:rsid w:val="005E547D"/>
    <w:rsid w:val="006233CC"/>
    <w:rsid w:val="00643A27"/>
    <w:rsid w:val="00646D2E"/>
    <w:rsid w:val="00680EE5"/>
    <w:rsid w:val="00681A9F"/>
    <w:rsid w:val="00683790"/>
    <w:rsid w:val="006A507D"/>
    <w:rsid w:val="006B1051"/>
    <w:rsid w:val="006B4410"/>
    <w:rsid w:val="006B6D73"/>
    <w:rsid w:val="006C161C"/>
    <w:rsid w:val="006C30B8"/>
    <w:rsid w:val="006D63FD"/>
    <w:rsid w:val="006E645E"/>
    <w:rsid w:val="006F292C"/>
    <w:rsid w:val="006F6983"/>
    <w:rsid w:val="007122E4"/>
    <w:rsid w:val="00715CE3"/>
    <w:rsid w:val="007233B4"/>
    <w:rsid w:val="007308F2"/>
    <w:rsid w:val="00731D5E"/>
    <w:rsid w:val="00741E7F"/>
    <w:rsid w:val="007854C7"/>
    <w:rsid w:val="007873C9"/>
    <w:rsid w:val="00787738"/>
    <w:rsid w:val="007926C9"/>
    <w:rsid w:val="007A7D03"/>
    <w:rsid w:val="007C2054"/>
    <w:rsid w:val="007D2502"/>
    <w:rsid w:val="007D36E9"/>
    <w:rsid w:val="007E2B10"/>
    <w:rsid w:val="007F259F"/>
    <w:rsid w:val="007F6926"/>
    <w:rsid w:val="008057DF"/>
    <w:rsid w:val="008301D6"/>
    <w:rsid w:val="00830D1F"/>
    <w:rsid w:val="00842188"/>
    <w:rsid w:val="00845762"/>
    <w:rsid w:val="00851DC4"/>
    <w:rsid w:val="00855E70"/>
    <w:rsid w:val="00895D5D"/>
    <w:rsid w:val="00896739"/>
    <w:rsid w:val="008B73DF"/>
    <w:rsid w:val="008C5B1E"/>
    <w:rsid w:val="008D0090"/>
    <w:rsid w:val="008F41C0"/>
    <w:rsid w:val="00900522"/>
    <w:rsid w:val="0090436E"/>
    <w:rsid w:val="00941AA9"/>
    <w:rsid w:val="00942270"/>
    <w:rsid w:val="00956465"/>
    <w:rsid w:val="00960AA3"/>
    <w:rsid w:val="00973F80"/>
    <w:rsid w:val="00990959"/>
    <w:rsid w:val="009B6875"/>
    <w:rsid w:val="00A14DFB"/>
    <w:rsid w:val="00A25133"/>
    <w:rsid w:val="00A26690"/>
    <w:rsid w:val="00A33EDE"/>
    <w:rsid w:val="00A45972"/>
    <w:rsid w:val="00A47DA1"/>
    <w:rsid w:val="00A559AB"/>
    <w:rsid w:val="00A57339"/>
    <w:rsid w:val="00A7317E"/>
    <w:rsid w:val="00A96473"/>
    <w:rsid w:val="00AA1198"/>
    <w:rsid w:val="00AB6E03"/>
    <w:rsid w:val="00AC4713"/>
    <w:rsid w:val="00AD1266"/>
    <w:rsid w:val="00AD7048"/>
    <w:rsid w:val="00B03017"/>
    <w:rsid w:val="00B3343F"/>
    <w:rsid w:val="00B42EAC"/>
    <w:rsid w:val="00B53380"/>
    <w:rsid w:val="00B6060A"/>
    <w:rsid w:val="00B6215F"/>
    <w:rsid w:val="00B63038"/>
    <w:rsid w:val="00B71996"/>
    <w:rsid w:val="00B72C41"/>
    <w:rsid w:val="00B8292C"/>
    <w:rsid w:val="00BC7F36"/>
    <w:rsid w:val="00BF7B35"/>
    <w:rsid w:val="00C31F2D"/>
    <w:rsid w:val="00C46098"/>
    <w:rsid w:val="00C468ED"/>
    <w:rsid w:val="00C46B96"/>
    <w:rsid w:val="00C54139"/>
    <w:rsid w:val="00C640D0"/>
    <w:rsid w:val="00C7230E"/>
    <w:rsid w:val="00C96C9A"/>
    <w:rsid w:val="00CA7DBD"/>
    <w:rsid w:val="00CD0BAF"/>
    <w:rsid w:val="00CE38E9"/>
    <w:rsid w:val="00CF6FCD"/>
    <w:rsid w:val="00D007BA"/>
    <w:rsid w:val="00D01750"/>
    <w:rsid w:val="00D168E1"/>
    <w:rsid w:val="00D17E76"/>
    <w:rsid w:val="00D32F8D"/>
    <w:rsid w:val="00D43C73"/>
    <w:rsid w:val="00D50E68"/>
    <w:rsid w:val="00D52BEC"/>
    <w:rsid w:val="00D665FA"/>
    <w:rsid w:val="00D67882"/>
    <w:rsid w:val="00D726B0"/>
    <w:rsid w:val="00D8269A"/>
    <w:rsid w:val="00D840FF"/>
    <w:rsid w:val="00D93A6C"/>
    <w:rsid w:val="00D96353"/>
    <w:rsid w:val="00DC4EAD"/>
    <w:rsid w:val="00DC563B"/>
    <w:rsid w:val="00E0359D"/>
    <w:rsid w:val="00E15CDE"/>
    <w:rsid w:val="00E32F5B"/>
    <w:rsid w:val="00E47E5C"/>
    <w:rsid w:val="00E72E6A"/>
    <w:rsid w:val="00E735CE"/>
    <w:rsid w:val="00E744A8"/>
    <w:rsid w:val="00E87278"/>
    <w:rsid w:val="00E918D3"/>
    <w:rsid w:val="00EC4B6D"/>
    <w:rsid w:val="00ED78D8"/>
    <w:rsid w:val="00EE40DB"/>
    <w:rsid w:val="00EF697F"/>
    <w:rsid w:val="00EF734B"/>
    <w:rsid w:val="00F14FAA"/>
    <w:rsid w:val="00F16665"/>
    <w:rsid w:val="00F17DF6"/>
    <w:rsid w:val="00F25C41"/>
    <w:rsid w:val="00F43C7A"/>
    <w:rsid w:val="00F72D72"/>
    <w:rsid w:val="00FA188B"/>
    <w:rsid w:val="00FC50BD"/>
    <w:rsid w:val="00FF11FF"/>
    <w:rsid w:val="00FF1DFE"/>
    <w:rsid w:val="00FF46F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4EC77C50"/>
  <w15:chartTrackingRefBased/>
  <w15:docId w15:val="{66875486-5BD0-B942-988C-74F94ABE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26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26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66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66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66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66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66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66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66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69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A2669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A2669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2669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2669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2669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2669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2669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2669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266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669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266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669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26690"/>
    <w:pPr>
      <w:spacing w:before="160"/>
      <w:jc w:val="center"/>
    </w:pPr>
    <w:rPr>
      <w:i/>
      <w:iCs/>
      <w:color w:val="404040" w:themeColor="text1" w:themeTint="BF"/>
    </w:rPr>
  </w:style>
  <w:style w:type="character" w:customStyle="1" w:styleId="QuoteChar">
    <w:name w:val="Quote Char"/>
    <w:basedOn w:val="DefaultParagraphFont"/>
    <w:link w:val="Quote"/>
    <w:uiPriority w:val="29"/>
    <w:rsid w:val="00A26690"/>
    <w:rPr>
      <w:i/>
      <w:iCs/>
      <w:color w:val="404040" w:themeColor="text1" w:themeTint="BF"/>
      <w:lang w:val="en-GB"/>
    </w:rPr>
  </w:style>
  <w:style w:type="paragraph" w:styleId="ListParagraph">
    <w:name w:val="List Paragraph"/>
    <w:basedOn w:val="Normal"/>
    <w:uiPriority w:val="34"/>
    <w:qFormat/>
    <w:rsid w:val="00A26690"/>
    <w:pPr>
      <w:ind w:left="720"/>
      <w:contextualSpacing/>
    </w:pPr>
  </w:style>
  <w:style w:type="character" w:styleId="IntenseEmphasis">
    <w:name w:val="Intense Emphasis"/>
    <w:basedOn w:val="DefaultParagraphFont"/>
    <w:uiPriority w:val="21"/>
    <w:qFormat/>
    <w:rsid w:val="00A26690"/>
    <w:rPr>
      <w:i/>
      <w:iCs/>
      <w:color w:val="0F4761" w:themeColor="accent1" w:themeShade="BF"/>
    </w:rPr>
  </w:style>
  <w:style w:type="paragraph" w:styleId="IntenseQuote">
    <w:name w:val="Intense Quote"/>
    <w:basedOn w:val="Normal"/>
    <w:next w:val="Normal"/>
    <w:link w:val="IntenseQuoteChar"/>
    <w:uiPriority w:val="30"/>
    <w:qFormat/>
    <w:rsid w:val="00A26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6690"/>
    <w:rPr>
      <w:i/>
      <w:iCs/>
      <w:color w:val="0F4761" w:themeColor="accent1" w:themeShade="BF"/>
      <w:lang w:val="en-GB"/>
    </w:rPr>
  </w:style>
  <w:style w:type="character" w:styleId="IntenseReference">
    <w:name w:val="Intense Reference"/>
    <w:basedOn w:val="DefaultParagraphFont"/>
    <w:uiPriority w:val="32"/>
    <w:qFormat/>
    <w:rsid w:val="00A26690"/>
    <w:rPr>
      <w:b/>
      <w:bCs/>
      <w:smallCaps/>
      <w:color w:val="0F4761" w:themeColor="accent1" w:themeShade="BF"/>
      <w:spacing w:val="5"/>
    </w:rPr>
  </w:style>
  <w:style w:type="character" w:styleId="Hyperlink">
    <w:name w:val="Hyperlink"/>
    <w:basedOn w:val="DefaultParagraphFont"/>
    <w:uiPriority w:val="99"/>
    <w:unhideWhenUsed/>
    <w:rsid w:val="00024E0E"/>
    <w:rPr>
      <w:color w:val="467886" w:themeColor="hyperlink"/>
      <w:u w:val="single"/>
    </w:rPr>
  </w:style>
  <w:style w:type="character" w:styleId="UnresolvedMention">
    <w:name w:val="Unresolved Mention"/>
    <w:basedOn w:val="DefaultParagraphFont"/>
    <w:uiPriority w:val="99"/>
    <w:semiHidden/>
    <w:unhideWhenUsed/>
    <w:rsid w:val="00024E0E"/>
    <w:rPr>
      <w:color w:val="605E5C"/>
      <w:shd w:val="clear" w:color="auto" w:fill="E1DFDD"/>
    </w:rPr>
  </w:style>
  <w:style w:type="paragraph" w:styleId="CommentText">
    <w:name w:val="annotation text"/>
    <w:basedOn w:val="Normal"/>
    <w:link w:val="CommentTextChar"/>
    <w:uiPriority w:val="99"/>
    <w:unhideWhenUsed/>
    <w:rsid w:val="00540F5C"/>
    <w:pPr>
      <w:spacing w:line="240" w:lineRule="auto"/>
    </w:pPr>
    <w:rPr>
      <w:sz w:val="20"/>
      <w:szCs w:val="20"/>
    </w:rPr>
  </w:style>
  <w:style w:type="character" w:customStyle="1" w:styleId="CommentTextChar">
    <w:name w:val="Comment Text Char"/>
    <w:basedOn w:val="DefaultParagraphFont"/>
    <w:link w:val="CommentText"/>
    <w:uiPriority w:val="99"/>
    <w:rsid w:val="00540F5C"/>
    <w:rPr>
      <w:sz w:val="20"/>
      <w:szCs w:val="20"/>
      <w:lang w:val="en-GB"/>
    </w:rPr>
  </w:style>
  <w:style w:type="character" w:styleId="LineNumber">
    <w:name w:val="line number"/>
    <w:basedOn w:val="DefaultParagraphFont"/>
    <w:uiPriority w:val="99"/>
    <w:semiHidden/>
    <w:unhideWhenUsed/>
    <w:rsid w:val="00FF11FF"/>
  </w:style>
  <w:style w:type="paragraph" w:styleId="Bibliography">
    <w:name w:val="Bibliography"/>
    <w:basedOn w:val="Normal"/>
    <w:next w:val="Normal"/>
    <w:uiPriority w:val="37"/>
    <w:unhideWhenUsed/>
    <w:rsid w:val="00CF6FCD"/>
    <w:pPr>
      <w:tabs>
        <w:tab w:val="left" w:pos="260"/>
      </w:tabs>
      <w:spacing w:after="240" w:line="240" w:lineRule="auto"/>
      <w:ind w:left="264" w:hanging="264"/>
    </w:pPr>
  </w:style>
  <w:style w:type="character" w:styleId="FollowedHyperlink">
    <w:name w:val="FollowedHyperlink"/>
    <w:basedOn w:val="DefaultParagraphFont"/>
    <w:uiPriority w:val="99"/>
    <w:semiHidden/>
    <w:unhideWhenUsed/>
    <w:rsid w:val="00BC7F3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debjyoti.ghosh@ufz.de" TargetMode="Externa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hyperlink" Target="mailto:nico.jehmlich@ufz.de" TargetMode="Externa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19</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Debjyoti Ghosh</dc:creator>
  <cp:keywords/>
  <dc:description/>
  <cp:lastModifiedBy>Debjyoti Ghosh</cp:lastModifiedBy>
  <cp:revision>27</cp:revision>
  <dcterms:created xsi:type="dcterms:W3CDTF">2025-07-01T08:59:00Z</dcterms:created>
  <dcterms:modified xsi:type="dcterms:W3CDTF">2026-03-06T09:18:00Z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id="TDcidYRP"/&gt;&lt;style id="http://www.zotero.org/styles/cell" hasBibliography="1" bibliographyStyleHasBeenSet="1"/&gt;&lt;prefs&gt;&lt;pref name="fieldType" value="Field"/&gt;&lt;/prefs&gt;&lt;/data&gt;</vt:lpwstr>
  </property>
</Properties>
</file>