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A2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Support information</w:t>
      </w:r>
    </w:p>
    <w:p w14:paraId="5D815F00">
      <w:pPr>
        <w:spacing w:line="440" w:lineRule="exact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Hlk115884518"/>
      <w:r>
        <w:rPr>
          <w:rFonts w:hint="eastAsia" w:ascii="Times New Roman" w:hAnsi="Times New Roman" w:cs="Times New Roman"/>
          <w:b/>
          <w:bCs/>
          <w:sz w:val="32"/>
          <w:szCs w:val="36"/>
        </w:rPr>
        <w:t xml:space="preserve">Removal of chloroquine phosphate by ultrafine cobalt nanoparticles in peroxymonosulfate activation: A </w:t>
      </w:r>
      <w:r>
        <w:rPr>
          <w:rFonts w:hint="eastAsia" w:ascii="Times New Roman" w:hAnsi="Times New Roman" w:cs="Times New Roman"/>
          <w:b/>
          <w:bCs/>
          <w:sz w:val="32"/>
          <w:szCs w:val="36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32"/>
          <w:szCs w:val="36"/>
        </w:rPr>
        <w:t>ynergy of nonradical and radical pathways</w:t>
      </w:r>
    </w:p>
    <w:p w14:paraId="7706091D">
      <w:pP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GoBack"/>
      <w:bookmarkEnd w:id="14"/>
    </w:p>
    <w:p w14:paraId="00A7554F"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. Characterization </w:t>
      </w:r>
    </w:p>
    <w:p w14:paraId="456F426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X-ray diffraction (XRD, Rigaku Ultima IV, Japan)was carried out to analyze the crystallization of the materials with Cu-Kα radiation. Scanning Electron Microscopy (SEM, Carl Zeiss Bruker 6/30, Germany) and the high-resolution transmission electron microscopy (HRTEM, JEM-2100, JEOL, Japan) were used to observe the structure and morphology of materials. X-ray photoelectron spectroscopy (XPS, ESCALAB 250Xi, America) was employed to measure the surface chemical state and valence bands. The multi-channel automatic surface area and porosity analyzer (Micromeritics TriStar II 3020, America) was used to determine the surface textural properties of samples. The concentration of P-Nip was monitored by UV–vis spectra (P4, MAPADA, Shanghai).</w:t>
      </w:r>
    </w:p>
    <w:p w14:paraId="4B58B47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2.4. 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Evaluation of catalytic performance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5109C91"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Hlk19544941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he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300 W Xenon lamp was used in the whole photocatalytic degradation. Briefly, 10 mg of the catalyst was added into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0 mg/L of </w:t>
      </w:r>
      <w:bookmarkStart w:id="2" w:name="_Hlk194847356"/>
      <w:bookmarkStart w:id="3" w:name="_Hlk129531266"/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CQP</w:t>
      </w:r>
      <w:bookmarkEnd w:id="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solution</w:t>
      </w:r>
      <w:bookmarkEnd w:id="3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magnetic stirring in the dark box for adsorption equilibrium (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 min).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Additionally, the 1 mmol of PMS was added into above solution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to initiate the reaction</w:t>
      </w:r>
      <w:r>
        <w:rPr>
          <w:rFonts w:ascii="Times New Roman" w:hAnsi="Times New Roman" w:cs="Times New Roman"/>
        </w:rPr>
        <w:t xml:space="preserve"> under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visible light irradiation. At 1 min interval, 3 mL of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CQP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solution was withdrawn with disposable syringe and separated immediately with the 0.22 μm polytetrafluoroethylene film.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 concentration of CQP was monitored by UV–vis spectra (P4, MAPADA, Shanghai). The light harvesting ability of the samples was evaluated by diffuse reflectance spectroscopy (DRS, Shimadzu UV-2550).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 contribution of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reactive oxygen species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was further evaluated by the free radical trapping experiments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FRTEs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IPA,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PBQ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FFA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 and MeOH were use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 as scavengers in the FRTEs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In the EPR experiments,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5,5-dimethyl-1-pyrrolinedine-N-oxide (DMPO)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2,2,6,6-tetramethyl-4-piperidone (TEMP) were </w:t>
      </w:r>
      <w:r>
        <w:rPr>
          <w:rFonts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applied as the spin-trapping agent for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ascii="Times New Roman" w:hAnsi="Times New Roman" w:eastAsia="KADGN P+ MTSY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 •OH,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bookmarkStart w:id="4" w:name="_Hlk104821347"/>
      <w:r>
        <w:rPr>
          <w:rFonts w:ascii="Times New Roman" w:hAnsi="Times New Roman" w:cs="Times New Roman"/>
          <w:kern w:val="0"/>
          <w:szCs w:val="21"/>
        </w:rPr>
        <w:t>O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  <w:vertAlign w:val="superscript"/>
        </w:rPr>
        <w:t>•</w:t>
      </w:r>
      <w:bookmarkEnd w:id="4"/>
      <w:r>
        <w:rPr>
          <w:rFonts w:ascii="Times New Roman" w:hAnsi="Times New Roman" w:cs="Times New Roman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eastAsia="KADGN P+ MTSY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respectively. The deionized water, tap water, river water and reservoir water were used to evaluate the applications of catalyst in approximate real wastewater.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Furthermore,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the effect of inorganic anions (Cl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HCO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CO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NO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SO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PO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HPO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2–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 and cation (Na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K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Ca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Cu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Zn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Mg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 on removal efficiency of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CQP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were investigated.</w:t>
      </w:r>
      <w:bookmarkStart w:id="5" w:name="_Hlk102112085"/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The catalytic degradation of three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kinds of antibiotics mixture 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 mg/L for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CQP, TC, and OTC)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and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four kinds of dyes mixture (DH, CR, MB, and MY))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ere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investigated with the same methods. The degradation percentage was calculated by the intensity of characteristic absorption peak. The photocatalytic degradation experiments were performed using HSX-F300 </w:t>
      </w:r>
      <w:bookmarkStart w:id="6" w:name="_Hlk165734819"/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Xenon lamp source</w:t>
      </w:r>
      <w:bookmarkEnd w:id="6"/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(Beijing NBeT Technology Co., Ltd., China).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The experiments were repeated three times in the same procedure, and which were depicted with mean values with the error bar.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At last, the recyclability of the catalysts and leaching copper ions were investigated, and methods were provided in supporting information.</w:t>
      </w:r>
      <w:bookmarkEnd w:id="5"/>
    </w:p>
    <w:bookmarkEnd w:id="1"/>
    <w:p w14:paraId="523C8F07"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2.5. Computational details</w:t>
      </w:r>
    </w:p>
    <w:p w14:paraId="4941C91D">
      <w:pPr>
        <w:ind w:firstLine="367" w:firstLineChars="175"/>
        <w:rPr>
          <w:rFonts w:hint="eastAsia"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>Density functional theory calculations were performed utilizing the Vienna Ab initio Simulation Package with the projector augmented wave method. The exchange-correlation interactions were treated using the spin-polarized Perdew-Burke-Ernzerhof functional. A 2×2×1 supercell model of Co/NC was constructed by combining the Co (111) crystal plane and the N-doped C (001) plane with an N:C atomic ratio of 1:8.</w:t>
      </w:r>
    </w:p>
    <w:p w14:paraId="7E1D9493">
      <w:pPr>
        <w:ind w:firstLine="367" w:firstLineChars="175"/>
        <w:rPr>
          <w:rFonts w:hint="eastAsia"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>All computations were conducted under spin-polarized conditions. A plane-wave basis set with a cutoff energy of 450 eV and appropriate k-point meshes were employed to ensure convergence of the total ground-state energy. Structural optimizations were performed until the forces on all relaxed atoms were below 0.02 eV∙Å</w:t>
      </w:r>
      <w:r>
        <w:rPr>
          <w:rFonts w:hint="eastAsia" w:ascii="Times New Roman" w:hAnsi="Times New Roman" w:eastAsia="等线" w:cs="Times New Roman"/>
          <w:szCs w:val="21"/>
          <w:vertAlign w:val="superscript"/>
          <w:lang w:val="en-US" w:eastAsia="zh-CN"/>
        </w:rPr>
        <w:t>-1</w:t>
      </w:r>
      <w:r>
        <w:rPr>
          <w:rFonts w:hint="eastAsia" w:ascii="Times New Roman" w:hAnsi="Times New Roman" w:eastAsia="等线" w:cs="Times New Roman"/>
          <w:szCs w:val="21"/>
        </w:rPr>
        <w:t>. For optimizing both geometry and lattice parameters, Brillouin zone integration was carried out using a 2×2×1 Gamma-Pack k-point grid. A denser 1×1×1 Gamma-Pack k-point sampling was adopted for density of states calculations. The energy convergence threshold for self-consistent field iterations was set to 10</w:t>
      </w:r>
      <w:r>
        <w:rPr>
          <w:rFonts w:hint="eastAsia" w:ascii="Times New Roman" w:hAnsi="Times New Roman" w:eastAsia="等线" w:cs="Times New Roman"/>
          <w:szCs w:val="21"/>
          <w:vertAlign w:val="superscript"/>
          <w:lang w:val="en-US" w:eastAsia="zh-CN"/>
        </w:rPr>
        <w:t>-5</w:t>
      </w:r>
      <w:r>
        <w:rPr>
          <w:rFonts w:hint="eastAsia" w:ascii="Times New Roman" w:hAnsi="Times New Roman" w:eastAsia="等线" w:cs="Times New Roman"/>
          <w:szCs w:val="21"/>
        </w:rPr>
        <w:t xml:space="preserve"> eV during structural relaxation. Equilibrium geometries and lattice constants were obtained when the maximum stress on any atom fell below 0.02 eV∙Å</w:t>
      </w:r>
      <w:r>
        <w:rPr>
          <w:rFonts w:hint="eastAsia" w:ascii="Times New Roman" w:hAnsi="Times New Roman" w:eastAsia="等线" w:cs="Times New Roman"/>
          <w:szCs w:val="21"/>
          <w:vertAlign w:val="superscript"/>
          <w:lang w:val="en-US" w:eastAsia="zh-CN"/>
        </w:rPr>
        <w:t>-1</w:t>
      </w:r>
      <w:r>
        <w:rPr>
          <w:rFonts w:hint="eastAsia" w:ascii="Times New Roman" w:hAnsi="Times New Roman" w:eastAsia="等线" w:cs="Times New Roman"/>
          <w:szCs w:val="21"/>
        </w:rPr>
        <w:t>. Input and output files for elastic modulus calculations, including charge density differences, were managed using the VASPKIT toolkit.</w:t>
      </w:r>
    </w:p>
    <w:p w14:paraId="360D7A91">
      <w:pPr>
        <w:ind w:firstLine="367" w:firstLineChars="175"/>
        <w:rPr>
          <w:rFonts w:hint="eastAsia"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>The adsorption energy of peracetic acid on the catalyst surface was calculated as:</w:t>
      </w:r>
    </w:p>
    <w:p w14:paraId="2F281D7F">
      <w:pPr>
        <w:ind w:firstLine="367" w:firstLineChars="175"/>
        <w:rPr>
          <w:rFonts w:hint="eastAsia"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>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ads</w:t>
      </w:r>
      <w:r>
        <w:rPr>
          <w:rFonts w:hint="eastAsia" w:ascii="Times New Roman" w:hAnsi="Times New Roman" w:eastAsia="等线" w:cs="Times New Roman"/>
          <w:szCs w:val="21"/>
        </w:rPr>
        <w:t xml:space="preserve"> =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total</w:t>
      </w:r>
      <w:r>
        <w:rPr>
          <w:rFonts w:hint="eastAsia" w:ascii="Times New Roman" w:hAnsi="Times New Roman" w:eastAsia="等线" w:cs="Times New Roman"/>
          <w:szCs w:val="21"/>
        </w:rPr>
        <w:t xml:space="preserve"> –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Co/NC</w:t>
      </w:r>
      <w:r>
        <w:rPr>
          <w:rFonts w:hint="eastAsia" w:ascii="Times New Roman" w:hAnsi="Times New Roman" w:eastAsia="等线" w:cs="Times New Roman"/>
          <w:szCs w:val="21"/>
        </w:rPr>
        <w:t xml:space="preserve"> –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PMS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</w:p>
    <w:p w14:paraId="2269210E">
      <w:pPr>
        <w:ind w:firstLine="367" w:firstLineChars="175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>where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total</w:t>
      </w:r>
      <w:r>
        <w:rPr>
          <w:rFonts w:hint="eastAsia" w:ascii="Times New Roman" w:hAnsi="Times New Roman" w:eastAsia="等线" w:cs="Times New Roman"/>
          <w:szCs w:val="21"/>
        </w:rPr>
        <w:t xml:space="preserve"> represents the total energy of the peracetic acid-adsorbed system,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Co/NC</w:t>
      </w:r>
      <w:r>
        <w:rPr>
          <w:rFonts w:hint="eastAsia" w:ascii="Times New Roman" w:hAnsi="Times New Roman" w:eastAsia="等线" w:cs="Times New Roman"/>
          <w:szCs w:val="21"/>
        </w:rPr>
        <w:t xml:space="preserve"> denotes the energy of the pristine catalyst, and E</w:t>
      </w:r>
      <w:r>
        <w:rPr>
          <w:rFonts w:hint="eastAsia" w:ascii="Times New Roman" w:hAnsi="Times New Roman" w:eastAsia="等线" w:cs="Times New Roman"/>
          <w:szCs w:val="21"/>
          <w:vertAlign w:val="subscript"/>
        </w:rPr>
        <w:t>PMS</w:t>
      </w:r>
      <w:r>
        <w:rPr>
          <w:rFonts w:hint="eastAsia" w:ascii="Times New Roman" w:hAnsi="Times New Roman" w:eastAsia="等线" w:cs="Times New Roman"/>
          <w:szCs w:val="21"/>
        </w:rPr>
        <w:t xml:space="preserve"> corresponds to the energy of an isolated peracetic acid molecule. More negative values indicate stronger adsorption capability.</w:t>
      </w:r>
    </w:p>
    <w:p w14:paraId="0355C24A">
      <w:pPr>
        <w:jc w:val="center"/>
        <w:rPr>
          <w:rFonts w:ascii="Times New Roman" w:hAnsi="Times New Roman" w:cs="Times New Roman"/>
          <w:sz w:val="16"/>
          <w:szCs w:val="16"/>
        </w:rPr>
      </w:pPr>
      <w:r>
        <w:object>
          <v:shape id="_x0000_i1025" o:spt="75" type="#_x0000_t75" style="height:170.6pt;width:203.5pt;" o:ole="t" filled="f" o:preferrelative="t" stroked="f" coordsize="21600,21600">
            <v:path/>
            <v:fill on="f" focussize="0,0"/>
            <v:stroke on="f" joinstyle="miter"/>
            <v:imagedata r:id="rId5" cropleft="4777f" croptop="5854f" cropright="8510f" cropbottom="2356f" o:title=""/>
            <o:lock v:ext="edit" aspectratio="t"/>
            <w10:wrap type="none"/>
            <w10:anchorlock/>
          </v:shape>
          <o:OLEObject Type="Embed" ProgID="Origin95.Graph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0B4975">
      <w:pPr>
        <w:jc w:val="center"/>
        <w:rPr>
          <w:rFonts w:hint="eastAsia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Fig.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1S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adsorption-desorption isotherm</w:t>
      </w:r>
      <w:r>
        <w:rPr>
          <w:rFonts w:hint="eastAsia"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hint="eastAsia" w:ascii="Times New Roman" w:hAnsi="Times New Roman" w:cs="Times New Roman"/>
          <w:sz w:val="18"/>
          <w:szCs w:val="18"/>
        </w:rPr>
        <w:t xml:space="preserve">nset: the </w:t>
      </w:r>
      <w:r>
        <w:rPr>
          <w:rFonts w:ascii="Times New Roman" w:hAnsi="Times New Roman" w:cs="Times New Roman"/>
          <w:sz w:val="18"/>
          <w:szCs w:val="18"/>
        </w:rPr>
        <w:t>distribution of pore size</w:t>
      </w:r>
      <w:r>
        <w:rPr>
          <w:rFonts w:hint="eastAsia" w:ascii="Times New Roman" w:hAnsi="Times New Roman" w:cs="Times New Roman"/>
          <w:sz w:val="18"/>
          <w:szCs w:val="18"/>
        </w:rPr>
        <w:t>).</w:t>
      </w:r>
    </w:p>
    <w:p w14:paraId="50BF47CE">
      <w:pPr>
        <w:jc w:val="center"/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091430" cy="140398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7686" b="35060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847D">
      <w:pPr>
        <w:spacing w:after="0" w:line="240" w:lineRule="auto"/>
        <w:jc w:val="center"/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14:ligatures w14:val="none"/>
        </w:rPr>
        <w:t xml:space="preserve">Fig.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2S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T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14:ligatures w14:val="none"/>
        </w:rPr>
        <w:t xml:space="preserve">he effects of sample dehydration degree: (a) 0%, (b) 75%, and (c) 100%. </w:t>
      </w:r>
    </w:p>
    <w:p w14:paraId="47321BB8">
      <w:pP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p w14:paraId="0AE36139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7" w:name="_Hlk194842733"/>
      <w:r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S.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bookmarkEnd w:id="7"/>
      <w:bookmarkStart w:id="8" w:name="OLE_LINK128"/>
      <w:bookmarkStart w:id="9" w:name="OLE_LINK127"/>
      <w:bookmarkStart w:id="10" w:name="OLE_LINK129"/>
      <w:bookmarkStart w:id="11" w:name="OLE_LINK171"/>
      <w:bookmarkStart w:id="12" w:name="OLE_LINK170"/>
      <w:r>
        <w:rPr>
          <w:rFonts w:ascii="Times New Roman" w:hAnsi="Times New Roman" w:cs="Times New Roman"/>
          <w:sz w:val="18"/>
          <w:szCs w:val="18"/>
        </w:rPr>
        <w:t>Laplacian bond order</w:t>
      </w:r>
      <w:bookmarkEnd w:id="8"/>
      <w:bookmarkEnd w:id="9"/>
      <w:bookmarkEnd w:id="10"/>
      <w:r>
        <w:rPr>
          <w:rFonts w:ascii="Times New Roman" w:hAnsi="Times New Roman" w:cs="Times New Roman"/>
          <w:sz w:val="18"/>
          <w:szCs w:val="18"/>
        </w:rPr>
        <w:t xml:space="preserve"> (LBO) size of the main chemical band of </w:t>
      </w:r>
      <w:r>
        <w:rPr>
          <w:rFonts w:hint="eastAsia" w:ascii="Times New Roman" w:hAnsi="Times New Roman" w:cs="Times New Roman"/>
          <w:sz w:val="18"/>
          <w:szCs w:val="18"/>
        </w:rPr>
        <w:t>CQP</w:t>
      </w:r>
      <w:r>
        <w:rPr>
          <w:rFonts w:ascii="Times New Roman" w:hAnsi="Times New Roman" w:cs="Times New Roman"/>
          <w:sz w:val="18"/>
          <w:szCs w:val="18"/>
        </w:rPr>
        <w:t>.</w:t>
      </w:r>
    </w:p>
    <w:bookmarkEnd w:id="11"/>
    <w:bookmarkEnd w:id="12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5E19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35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650EDC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Chemical band</w:t>
            </w:r>
          </w:p>
        </w:tc>
        <w:tc>
          <w:tcPr>
            <w:tcW w:w="2835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063C9B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LBO size</w:t>
            </w:r>
          </w:p>
        </w:tc>
      </w:tr>
      <w:tr w14:paraId="52D8F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top w:val="single" w:color="auto" w:sz="8" w:space="0"/>
            </w:tcBorders>
            <w:noWrap/>
          </w:tcPr>
          <w:p w14:paraId="1250EB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1(C)-2(C)</w:t>
            </w:r>
          </w:p>
        </w:tc>
        <w:tc>
          <w:tcPr>
            <w:tcW w:w="2835" w:type="dxa"/>
            <w:tcBorders>
              <w:top w:val="single" w:color="auto" w:sz="8" w:space="0"/>
            </w:tcBorders>
            <w:noWrap/>
          </w:tcPr>
          <w:p w14:paraId="456F1D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1.6132 </w:t>
            </w:r>
          </w:p>
        </w:tc>
      </w:tr>
      <w:tr w14:paraId="6F4D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686D09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1(C)-6(C)</w:t>
            </w:r>
          </w:p>
        </w:tc>
        <w:tc>
          <w:tcPr>
            <w:tcW w:w="2835" w:type="dxa"/>
            <w:noWrap/>
          </w:tcPr>
          <w:p w14:paraId="3A2317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1.3927 </w:t>
            </w:r>
          </w:p>
        </w:tc>
      </w:tr>
      <w:tr w14:paraId="2C6D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0A3B3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1(C)-44(H)</w:t>
            </w:r>
          </w:p>
        </w:tc>
        <w:tc>
          <w:tcPr>
            <w:tcW w:w="2835" w:type="dxa"/>
            <w:noWrap/>
          </w:tcPr>
          <w:p w14:paraId="2319B6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0.7962 </w:t>
            </w:r>
          </w:p>
        </w:tc>
      </w:tr>
      <w:tr w14:paraId="69E0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0B6D9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2(C)-3(C)</w:t>
            </w:r>
          </w:p>
        </w:tc>
        <w:tc>
          <w:tcPr>
            <w:tcW w:w="2835" w:type="dxa"/>
            <w:noWrap/>
          </w:tcPr>
          <w:p w14:paraId="01CE7E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1.4439 </w:t>
            </w:r>
          </w:p>
        </w:tc>
      </w:tr>
      <w:tr w14:paraId="6A84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64CE09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2(C)-43(H)</w:t>
            </w:r>
          </w:p>
        </w:tc>
        <w:tc>
          <w:tcPr>
            <w:tcW w:w="2835" w:type="dxa"/>
            <w:noWrap/>
          </w:tcPr>
          <w:p w14:paraId="4F3CCC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0.8075 </w:t>
            </w:r>
          </w:p>
        </w:tc>
      </w:tr>
      <w:tr w14:paraId="00D1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25621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3(C)-4(C)</w:t>
            </w:r>
          </w:p>
        </w:tc>
        <w:tc>
          <w:tcPr>
            <w:tcW w:w="2835" w:type="dxa"/>
            <w:noWrap/>
          </w:tcPr>
          <w:p w14:paraId="3D3DA4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1.6320 </w:t>
            </w:r>
          </w:p>
        </w:tc>
      </w:tr>
      <w:tr w14:paraId="3E63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A8AD3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3(C)-48(Cl)</w:t>
            </w:r>
          </w:p>
        </w:tc>
        <w:tc>
          <w:tcPr>
            <w:tcW w:w="2835" w:type="dxa"/>
            <w:noWrap/>
          </w:tcPr>
          <w:p w14:paraId="0AF399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0.5324 </w:t>
            </w:r>
          </w:p>
        </w:tc>
      </w:tr>
      <w:tr w14:paraId="3C73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EBE86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4(C)-5(C)</w:t>
            </w:r>
          </w:p>
        </w:tc>
        <w:tc>
          <w:tcPr>
            <w:tcW w:w="2835" w:type="dxa"/>
            <w:noWrap/>
          </w:tcPr>
          <w:p w14:paraId="6E4DDF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1.4248 </w:t>
            </w:r>
          </w:p>
        </w:tc>
      </w:tr>
      <w:tr w14:paraId="29DC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730DA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4(C)-45(H)</w:t>
            </w:r>
          </w:p>
        </w:tc>
        <w:tc>
          <w:tcPr>
            <w:tcW w:w="2835" w:type="dxa"/>
            <w:noWrap/>
          </w:tcPr>
          <w:p w14:paraId="684B3F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0.8002 </w:t>
            </w:r>
          </w:p>
        </w:tc>
      </w:tr>
      <w:tr w14:paraId="754B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A7493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5(C)-6(C)</w:t>
            </w:r>
          </w:p>
        </w:tc>
        <w:tc>
          <w:tcPr>
            <w:tcW w:w="2835" w:type="dxa"/>
            <w:noWrap/>
          </w:tcPr>
          <w:p w14:paraId="053FA2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1.3473 </w:t>
            </w:r>
          </w:p>
        </w:tc>
      </w:tr>
      <w:tr w14:paraId="311B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B1F13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5(C)-10(N)</w:t>
            </w:r>
          </w:p>
        </w:tc>
        <w:tc>
          <w:tcPr>
            <w:tcW w:w="2835" w:type="dxa"/>
            <w:noWrap/>
          </w:tcPr>
          <w:p w14:paraId="5230B1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1.1453 </w:t>
            </w:r>
          </w:p>
        </w:tc>
      </w:tr>
      <w:tr w14:paraId="38F8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3CD9E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6(C)-7(C)</w:t>
            </w:r>
          </w:p>
        </w:tc>
        <w:tc>
          <w:tcPr>
            <w:tcW w:w="2835" w:type="dxa"/>
            <w:noWrap/>
          </w:tcPr>
          <w:p w14:paraId="524194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1.2917 </w:t>
            </w:r>
          </w:p>
        </w:tc>
      </w:tr>
      <w:tr w14:paraId="4086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2924E3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7(C)-8(C)</w:t>
            </w:r>
          </w:p>
        </w:tc>
        <w:tc>
          <w:tcPr>
            <w:tcW w:w="2835" w:type="dxa"/>
            <w:noWrap/>
          </w:tcPr>
          <w:p w14:paraId="07436B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1.5448 </w:t>
            </w:r>
          </w:p>
        </w:tc>
      </w:tr>
      <w:tr w14:paraId="46B5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519A2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7(C)-11(N)</w:t>
            </w:r>
          </w:p>
        </w:tc>
        <w:tc>
          <w:tcPr>
            <w:tcW w:w="2835" w:type="dxa"/>
            <w:noWrap/>
          </w:tcPr>
          <w:p w14:paraId="7384BF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1.0474 </w:t>
            </w:r>
          </w:p>
        </w:tc>
      </w:tr>
      <w:tr w14:paraId="6ED5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2A1970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8(C)-9(C)</w:t>
            </w:r>
          </w:p>
        </w:tc>
        <w:tc>
          <w:tcPr>
            <w:tcW w:w="2835" w:type="dxa"/>
            <w:noWrap/>
          </w:tcPr>
          <w:p w14:paraId="2D108B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1.4910 </w:t>
            </w:r>
          </w:p>
        </w:tc>
      </w:tr>
      <w:tr w14:paraId="3E44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C4BC9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8(C)-46(H)</w:t>
            </w:r>
          </w:p>
        </w:tc>
        <w:tc>
          <w:tcPr>
            <w:tcW w:w="2835" w:type="dxa"/>
            <w:noWrap/>
          </w:tcPr>
          <w:p w14:paraId="2276AF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0.7917 </w:t>
            </w:r>
          </w:p>
        </w:tc>
      </w:tr>
      <w:tr w14:paraId="74C9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01E88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9(C)-10(N)</w:t>
            </w:r>
          </w:p>
        </w:tc>
        <w:tc>
          <w:tcPr>
            <w:tcW w:w="2835" w:type="dxa"/>
            <w:noWrap/>
          </w:tcPr>
          <w:p w14:paraId="5E68C7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1.3986 </w:t>
            </w:r>
          </w:p>
        </w:tc>
      </w:tr>
      <w:tr w14:paraId="6611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620380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9(C)-47(H)</w:t>
            </w:r>
          </w:p>
        </w:tc>
        <w:tc>
          <w:tcPr>
            <w:tcW w:w="2835" w:type="dxa"/>
            <w:noWrap/>
          </w:tcPr>
          <w:p w14:paraId="3B73D7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0.8151 </w:t>
            </w:r>
          </w:p>
        </w:tc>
      </w:tr>
      <w:tr w14:paraId="0799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7D1FB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11(N)-12(C)</w:t>
            </w:r>
          </w:p>
        </w:tc>
        <w:tc>
          <w:tcPr>
            <w:tcW w:w="2835" w:type="dxa"/>
            <w:noWrap/>
          </w:tcPr>
          <w:p w14:paraId="0DA4D5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0.6882 </w:t>
            </w:r>
          </w:p>
        </w:tc>
      </w:tr>
      <w:tr w14:paraId="561F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3BD10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11(N)-42(H)</w:t>
            </w:r>
          </w:p>
        </w:tc>
        <w:tc>
          <w:tcPr>
            <w:tcW w:w="2835" w:type="dxa"/>
            <w:noWrap/>
          </w:tcPr>
          <w:p w14:paraId="571B87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0.7083 </w:t>
            </w:r>
          </w:p>
        </w:tc>
      </w:tr>
      <w:tr w14:paraId="375A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E4688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12(C)-13(C)</w:t>
            </w:r>
          </w:p>
        </w:tc>
        <w:tc>
          <w:tcPr>
            <w:tcW w:w="2835" w:type="dxa"/>
            <w:noWrap/>
          </w:tcPr>
          <w:p w14:paraId="42E3C7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1.0328 </w:t>
            </w:r>
          </w:p>
        </w:tc>
      </w:tr>
      <w:tr w14:paraId="6CD4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14756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12(C)-17(C)</w:t>
            </w:r>
          </w:p>
        </w:tc>
        <w:tc>
          <w:tcPr>
            <w:tcW w:w="2835" w:type="dxa"/>
            <w:noWrap/>
          </w:tcPr>
          <w:p w14:paraId="18C586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0.9765 </w:t>
            </w:r>
          </w:p>
        </w:tc>
      </w:tr>
      <w:tr w14:paraId="2333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2AD646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12(C)-18(H)</w:t>
            </w:r>
          </w:p>
        </w:tc>
        <w:tc>
          <w:tcPr>
            <w:tcW w:w="2835" w:type="dxa"/>
            <w:noWrap/>
          </w:tcPr>
          <w:p w14:paraId="7949E7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0.7912 </w:t>
            </w:r>
          </w:p>
        </w:tc>
      </w:tr>
      <w:tr w14:paraId="4594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1600D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13(C)-14(H)</w:t>
            </w:r>
          </w:p>
        </w:tc>
        <w:tc>
          <w:tcPr>
            <w:tcW w:w="2835" w:type="dxa"/>
            <w:noWrap/>
          </w:tcPr>
          <w:p w14:paraId="5CFBDE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0.7872 </w:t>
            </w:r>
          </w:p>
        </w:tc>
      </w:tr>
      <w:tr w14:paraId="52F8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AF6D2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13(C)-15(H)</w:t>
            </w:r>
          </w:p>
        </w:tc>
        <w:tc>
          <w:tcPr>
            <w:tcW w:w="2835" w:type="dxa"/>
            <w:noWrap/>
          </w:tcPr>
          <w:p w14:paraId="69E360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0.7921 </w:t>
            </w:r>
          </w:p>
        </w:tc>
      </w:tr>
      <w:tr w14:paraId="76D8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78F0D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13(C)-16(H)</w:t>
            </w:r>
          </w:p>
        </w:tc>
        <w:tc>
          <w:tcPr>
            <w:tcW w:w="2835" w:type="dxa"/>
            <w:noWrap/>
          </w:tcPr>
          <w:p w14:paraId="65FB5A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0.7740 </w:t>
            </w:r>
          </w:p>
        </w:tc>
      </w:tr>
      <w:tr w14:paraId="30AD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14176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17(C)-19(C)</w:t>
            </w:r>
          </w:p>
        </w:tc>
        <w:tc>
          <w:tcPr>
            <w:tcW w:w="2835" w:type="dxa"/>
            <w:noWrap/>
          </w:tcPr>
          <w:p w14:paraId="776675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0.9764 </w:t>
            </w:r>
          </w:p>
        </w:tc>
      </w:tr>
      <w:tr w14:paraId="37F1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6BC32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17(C)-20(H)</w:t>
            </w:r>
          </w:p>
        </w:tc>
        <w:tc>
          <w:tcPr>
            <w:tcW w:w="2835" w:type="dxa"/>
            <w:noWrap/>
          </w:tcPr>
          <w:p w14:paraId="4CFA43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0.7767 </w:t>
            </w:r>
          </w:p>
        </w:tc>
      </w:tr>
      <w:tr w14:paraId="7D6B6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6BC2A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17(C)-21(H)</w:t>
            </w:r>
          </w:p>
        </w:tc>
        <w:tc>
          <w:tcPr>
            <w:tcW w:w="2835" w:type="dxa"/>
            <w:noWrap/>
          </w:tcPr>
          <w:p w14:paraId="0BBA19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0.7659 </w:t>
            </w:r>
          </w:p>
        </w:tc>
      </w:tr>
      <w:tr w14:paraId="034C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BF264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19(C)-22(C)</w:t>
            </w:r>
          </w:p>
        </w:tc>
        <w:tc>
          <w:tcPr>
            <w:tcW w:w="2835" w:type="dxa"/>
            <w:noWrap/>
          </w:tcPr>
          <w:p w14:paraId="3D1901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0.9730 </w:t>
            </w:r>
          </w:p>
        </w:tc>
      </w:tr>
      <w:tr w14:paraId="20A0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64007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19(C)-23(H)</w:t>
            </w:r>
          </w:p>
        </w:tc>
        <w:tc>
          <w:tcPr>
            <w:tcW w:w="2835" w:type="dxa"/>
            <w:noWrap/>
          </w:tcPr>
          <w:p w14:paraId="517215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0.7820 </w:t>
            </w:r>
          </w:p>
        </w:tc>
      </w:tr>
      <w:tr w14:paraId="2359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A577C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19(C)-24(H)</w:t>
            </w:r>
          </w:p>
        </w:tc>
        <w:tc>
          <w:tcPr>
            <w:tcW w:w="2835" w:type="dxa"/>
            <w:noWrap/>
          </w:tcPr>
          <w:p w14:paraId="6948A7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0.7743 </w:t>
            </w:r>
          </w:p>
        </w:tc>
      </w:tr>
      <w:tr w14:paraId="72C8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DE7E3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22(C)-25(N)</w:t>
            </w:r>
          </w:p>
        </w:tc>
        <w:tc>
          <w:tcPr>
            <w:tcW w:w="2835" w:type="dxa"/>
            <w:noWrap/>
          </w:tcPr>
          <w:p w14:paraId="040FF2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0.7325 </w:t>
            </w:r>
          </w:p>
        </w:tc>
      </w:tr>
      <w:tr w14:paraId="1622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94D73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22(C)-26(H)</w:t>
            </w:r>
          </w:p>
        </w:tc>
        <w:tc>
          <w:tcPr>
            <w:tcW w:w="2835" w:type="dxa"/>
            <w:noWrap/>
          </w:tcPr>
          <w:p w14:paraId="4B5BA7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0.7983 </w:t>
            </w:r>
          </w:p>
        </w:tc>
      </w:tr>
      <w:tr w14:paraId="4A71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7998B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22(C)-27(H)</w:t>
            </w:r>
          </w:p>
        </w:tc>
        <w:tc>
          <w:tcPr>
            <w:tcW w:w="2835" w:type="dxa"/>
            <w:noWrap/>
          </w:tcPr>
          <w:p w14:paraId="387A64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0.7903 </w:t>
            </w:r>
          </w:p>
        </w:tc>
      </w:tr>
      <w:tr w14:paraId="6BDE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1CFB7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25(N)-28(C)</w:t>
            </w:r>
          </w:p>
        </w:tc>
        <w:tc>
          <w:tcPr>
            <w:tcW w:w="2835" w:type="dxa"/>
            <w:noWrap/>
          </w:tcPr>
          <w:p w14:paraId="48B892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0.7326 </w:t>
            </w:r>
          </w:p>
        </w:tc>
      </w:tr>
      <w:tr w14:paraId="624C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4F05A7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25(N)-35(C)</w:t>
            </w:r>
          </w:p>
        </w:tc>
        <w:tc>
          <w:tcPr>
            <w:tcW w:w="2835" w:type="dxa"/>
            <w:noWrap/>
          </w:tcPr>
          <w:p w14:paraId="26FD66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0.7368 </w:t>
            </w:r>
          </w:p>
        </w:tc>
      </w:tr>
      <w:tr w14:paraId="0213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1A76E6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28(C)-29(C)</w:t>
            </w:r>
          </w:p>
        </w:tc>
        <w:tc>
          <w:tcPr>
            <w:tcW w:w="2835" w:type="dxa"/>
            <w:noWrap/>
          </w:tcPr>
          <w:p w14:paraId="5E6920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1.0460 </w:t>
            </w:r>
          </w:p>
        </w:tc>
      </w:tr>
      <w:tr w14:paraId="6F6A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36C3F2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28(C)-30(H)</w:t>
            </w:r>
          </w:p>
        </w:tc>
        <w:tc>
          <w:tcPr>
            <w:tcW w:w="2835" w:type="dxa"/>
            <w:noWrap/>
          </w:tcPr>
          <w:p w14:paraId="1644FB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0.7900 </w:t>
            </w:r>
          </w:p>
        </w:tc>
      </w:tr>
      <w:tr w14:paraId="4A4B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6EDC6D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28(C)-31(H)</w:t>
            </w:r>
          </w:p>
        </w:tc>
        <w:tc>
          <w:tcPr>
            <w:tcW w:w="2835" w:type="dxa"/>
            <w:noWrap/>
          </w:tcPr>
          <w:p w14:paraId="196B73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0.7623 </w:t>
            </w:r>
          </w:p>
        </w:tc>
      </w:tr>
      <w:tr w14:paraId="0FE8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494EEF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29(C)-32(H)</w:t>
            </w:r>
          </w:p>
        </w:tc>
        <w:tc>
          <w:tcPr>
            <w:tcW w:w="2835" w:type="dxa"/>
            <w:noWrap/>
          </w:tcPr>
          <w:p w14:paraId="744ED9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0.7931 </w:t>
            </w:r>
          </w:p>
        </w:tc>
      </w:tr>
      <w:tr w14:paraId="3446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3D012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29(C)-33(H)</w:t>
            </w:r>
          </w:p>
        </w:tc>
        <w:tc>
          <w:tcPr>
            <w:tcW w:w="2835" w:type="dxa"/>
            <w:noWrap/>
          </w:tcPr>
          <w:p w14:paraId="1051FC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0.7830 </w:t>
            </w:r>
          </w:p>
        </w:tc>
      </w:tr>
      <w:tr w14:paraId="0C4C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2341F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29(C)-34(H)</w:t>
            </w:r>
          </w:p>
        </w:tc>
        <w:tc>
          <w:tcPr>
            <w:tcW w:w="2835" w:type="dxa"/>
            <w:noWrap/>
          </w:tcPr>
          <w:p w14:paraId="24B9F0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0.7916 </w:t>
            </w:r>
          </w:p>
        </w:tc>
      </w:tr>
      <w:tr w14:paraId="1F4F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729078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35(C)-36(C)</w:t>
            </w:r>
          </w:p>
        </w:tc>
        <w:tc>
          <w:tcPr>
            <w:tcW w:w="2835" w:type="dxa"/>
            <w:noWrap/>
          </w:tcPr>
          <w:p w14:paraId="2B600F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1.0481 </w:t>
            </w:r>
          </w:p>
        </w:tc>
      </w:tr>
      <w:tr w14:paraId="46CA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4F46CF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35(C)-37(H)</w:t>
            </w:r>
          </w:p>
        </w:tc>
        <w:tc>
          <w:tcPr>
            <w:tcW w:w="2835" w:type="dxa"/>
            <w:noWrap/>
          </w:tcPr>
          <w:p w14:paraId="6AA493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0.7999 </w:t>
            </w:r>
          </w:p>
        </w:tc>
      </w:tr>
      <w:tr w14:paraId="1089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BE80F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35(C)-38(H)</w:t>
            </w:r>
          </w:p>
        </w:tc>
        <w:tc>
          <w:tcPr>
            <w:tcW w:w="2835" w:type="dxa"/>
            <w:noWrap/>
          </w:tcPr>
          <w:p w14:paraId="70A54D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0.7600 </w:t>
            </w:r>
          </w:p>
        </w:tc>
      </w:tr>
      <w:tr w14:paraId="3CFA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0CE09F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36(C)-39(H)</w:t>
            </w:r>
          </w:p>
        </w:tc>
        <w:tc>
          <w:tcPr>
            <w:tcW w:w="2835" w:type="dxa"/>
            <w:noWrap/>
          </w:tcPr>
          <w:p w14:paraId="206425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0.7905 </w:t>
            </w:r>
          </w:p>
        </w:tc>
      </w:tr>
      <w:tr w14:paraId="7865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/>
          </w:tcPr>
          <w:p w14:paraId="5E0E00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36(C)-40(H)</w:t>
            </w:r>
          </w:p>
        </w:tc>
        <w:tc>
          <w:tcPr>
            <w:tcW w:w="2835" w:type="dxa"/>
            <w:noWrap/>
          </w:tcPr>
          <w:p w14:paraId="5A43DC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0.7802 </w:t>
            </w:r>
          </w:p>
        </w:tc>
      </w:tr>
      <w:tr w14:paraId="1CF0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tcBorders>
              <w:bottom w:val="single" w:color="auto" w:sz="8" w:space="0"/>
            </w:tcBorders>
            <w:noWrap/>
          </w:tcPr>
          <w:p w14:paraId="64F01E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36(C)-41(H)</w:t>
            </w:r>
          </w:p>
        </w:tc>
        <w:tc>
          <w:tcPr>
            <w:tcW w:w="2835" w:type="dxa"/>
            <w:tcBorders>
              <w:bottom w:val="single" w:color="auto" w:sz="8" w:space="0"/>
            </w:tcBorders>
            <w:noWrap/>
          </w:tcPr>
          <w:p w14:paraId="6AD588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0.7907 </w:t>
            </w:r>
          </w:p>
        </w:tc>
      </w:tr>
    </w:tbl>
    <w:p w14:paraId="7A378CCC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13" w:name="_Hlk165745980"/>
    </w:p>
    <w:p w14:paraId="261477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F97A5D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 The degradation efficiency of the mixture in different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water matrices. </w:t>
      </w:r>
    </w:p>
    <w:tbl>
      <w:tblPr>
        <w:tblStyle w:val="9"/>
        <w:tblW w:w="7414" w:type="dxa"/>
        <w:jc w:val="center"/>
        <w:tblBorders>
          <w:top w:val="single" w:color="FFC000" w:themeColor="accent4" w:sz="4" w:space="0"/>
          <w:left w:val="none" w:color="auto" w:sz="0" w:space="0"/>
          <w:bottom w:val="single" w:color="FFC000" w:themeColor="accent4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56"/>
        <w:gridCol w:w="1556"/>
        <w:gridCol w:w="1556"/>
        <w:gridCol w:w="1558"/>
      </w:tblGrid>
      <w:tr w14:paraId="37EC5C51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88" w:type="dxa"/>
            <w:vMerge w:val="restart"/>
            <w:tcBorders>
              <w:top w:val="single" w:color="000000" w:themeColor="text1" w:sz="8" w:space="0"/>
              <w:bottom w:val="single" w:color="FFC000" w:themeColor="accent4" w:sz="4" w:space="0"/>
              <w:insideH w:val="single" w:sz="4" w:space="0"/>
            </w:tcBorders>
            <w:shd w:val="clear" w:color="auto" w:fill="FFFFFF" w:themeFill="background1"/>
            <w:vAlign w:val="center"/>
          </w:tcPr>
          <w:p w14:paraId="21AEFCDE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Pollutants</w:t>
            </w:r>
          </w:p>
        </w:tc>
        <w:tc>
          <w:tcPr>
            <w:tcW w:w="6226" w:type="dxa"/>
            <w:gridSpan w:val="4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5ED8AA9F">
            <w:pPr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Degradation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efficiency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(%)</w:t>
            </w:r>
          </w:p>
        </w:tc>
      </w:tr>
      <w:tr w14:paraId="5E421E9F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88" w:type="dxa"/>
            <w:vMerge w:val="continue"/>
            <w:tcBorders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29D001B0">
            <w:pPr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48745BD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De-W</w:t>
            </w:r>
          </w:p>
        </w:tc>
        <w:tc>
          <w:tcPr>
            <w:tcW w:w="1556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568A463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a-W</w:t>
            </w:r>
          </w:p>
        </w:tc>
        <w:tc>
          <w:tcPr>
            <w:tcW w:w="1556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2628015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Re-W</w:t>
            </w:r>
          </w:p>
        </w:tc>
        <w:tc>
          <w:tcPr>
            <w:tcW w:w="1557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4F7C096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i-W</w:t>
            </w:r>
          </w:p>
        </w:tc>
      </w:tr>
      <w:tr w14:paraId="0EE40F21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vAlign w:val="center"/>
          </w:tcPr>
          <w:p w14:paraId="0E0E0BD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CQP</w:t>
            </w:r>
          </w:p>
        </w:tc>
        <w:tc>
          <w:tcPr>
            <w:tcW w:w="1556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vAlign w:val="center"/>
          </w:tcPr>
          <w:p w14:paraId="4408CAD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vAlign w:val="center"/>
          </w:tcPr>
          <w:p w14:paraId="51EB811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vAlign w:val="center"/>
          </w:tcPr>
          <w:p w14:paraId="0EF62EC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7" w:type="dxa"/>
            <w:tcBorders>
              <w:top w:val="single" w:color="000000" w:themeColor="text1" w:sz="8" w:space="0"/>
              <w:bottom w:val="nil"/>
            </w:tcBorders>
            <w:shd w:val="clear" w:color="auto" w:fill="FFFFFF" w:themeFill="background1"/>
            <w:vAlign w:val="center"/>
          </w:tcPr>
          <w:p w14:paraId="66364AF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  <w:tr w14:paraId="30331700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766DB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TC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2607A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2DBDB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29F4C1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301147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E7E338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77BE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DH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D58C4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07CB5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7B00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14C5D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  <w:tr w14:paraId="172AAB14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F3B0D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OTC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F2A1B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2575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1EEFF9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D612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94.8</w:t>
            </w:r>
          </w:p>
        </w:tc>
      </w:tr>
      <w:tr w14:paraId="0FBDF6B4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57BB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CR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CC99A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0EC9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3F16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2DBC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</w:tr>
      <w:tr w14:paraId="154CE513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7AA2E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MO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044C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F375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D7268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7B5E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</w:tr>
      <w:tr w14:paraId="4C608BA1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3F5A0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B057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070D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5FCE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1428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</w:tr>
      <w:tr w14:paraId="74092B95">
        <w:tblPrEx>
          <w:tblBorders>
            <w:top w:val="single" w:color="FFC000" w:themeColor="accent4" w:sz="4" w:space="0"/>
            <w:left w:val="none" w:color="auto" w:sz="0" w:space="0"/>
            <w:bottom w:val="single" w:color="FFC000" w:themeColor="accent4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88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7ABB4B5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MY</w:t>
            </w:r>
          </w:p>
        </w:tc>
        <w:tc>
          <w:tcPr>
            <w:tcW w:w="1556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1DC6A68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2D8FD32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6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1B867E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  <w:tc>
          <w:tcPr>
            <w:tcW w:w="1557" w:type="dxa"/>
            <w:tcBorders>
              <w:top w:val="nil"/>
              <w:bottom w:val="single" w:color="000000" w:themeColor="text1" w:sz="8" w:space="0"/>
            </w:tcBorders>
            <w:shd w:val="clear" w:color="auto" w:fill="FFFFFF" w:themeFill="background1"/>
            <w:vAlign w:val="center"/>
          </w:tcPr>
          <w:p w14:paraId="6688A8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</w:p>
        </w:tc>
      </w:tr>
    </w:tbl>
    <w:p w14:paraId="3314D674">
      <w:pPr>
        <w:rPr>
          <w:rFonts w:hint="eastAsia"/>
          <w:szCs w:val="24"/>
        </w:rPr>
      </w:pPr>
    </w:p>
    <w:bookmarkEnd w:id="13"/>
    <w:p w14:paraId="5FD3A9B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F28DE1">
      <w:pPr>
        <w:rPr>
          <w:rFonts w:ascii="Times New Roman" w:hAnsi="Times New Roman" w:cs="Times New Roman"/>
        </w:rPr>
      </w:pPr>
    </w:p>
    <w:p w14:paraId="2D50CDB1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S.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Economic analysis of Co@NC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50"/>
      </w:tblGrid>
      <w:tr w14:paraId="02EE40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0" w:type="dxa"/>
            <w:tcBorders>
              <w:top w:val="single" w:color="auto" w:sz="8" w:space="0"/>
              <w:bottom w:val="single" w:color="auto" w:sz="8" w:space="0"/>
            </w:tcBorders>
          </w:tcPr>
          <w:p w14:paraId="4F6BFFAA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w:t>Items</w:t>
            </w:r>
          </w:p>
        </w:tc>
        <w:tc>
          <w:tcPr>
            <w:tcW w:w="1950" w:type="dxa"/>
            <w:tcBorders>
              <w:top w:val="single" w:color="auto" w:sz="8" w:space="0"/>
              <w:bottom w:val="single" w:color="auto" w:sz="8" w:space="0"/>
            </w:tcBorders>
          </w:tcPr>
          <w:p w14:paraId="7D3C073A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>Cost ($)/Kg</w:t>
            </w:r>
          </w:p>
        </w:tc>
      </w:tr>
      <w:tr w14:paraId="359B0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0" w:type="dxa"/>
            <w:tcBorders>
              <w:top w:val="single" w:color="auto" w:sz="8" w:space="0"/>
            </w:tcBorders>
          </w:tcPr>
          <w:p w14:paraId="092EF3BC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w:t>Reagent</w:t>
            </w:r>
          </w:p>
        </w:tc>
        <w:tc>
          <w:tcPr>
            <w:tcW w:w="1950" w:type="dxa"/>
            <w:tcBorders>
              <w:top w:val="single" w:color="auto" w:sz="8" w:space="0"/>
            </w:tcBorders>
          </w:tcPr>
          <w:p w14:paraId="6949219A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>0.26</w:t>
            </w:r>
          </w:p>
        </w:tc>
      </w:tr>
      <w:tr w14:paraId="00CCD0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0" w:type="dxa"/>
            <w:tcBorders>
              <w:bottom w:val="nil"/>
            </w:tcBorders>
          </w:tcPr>
          <w:p w14:paraId="1815BE2B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w:t xml:space="preserve">Raw </w:t>
            </w: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w:t>aterials</w:t>
            </w:r>
          </w:p>
        </w:tc>
        <w:tc>
          <w:tcPr>
            <w:tcW w:w="1950" w:type="dxa"/>
            <w:tcBorders>
              <w:bottom w:val="nil"/>
            </w:tcBorders>
          </w:tcPr>
          <w:p w14:paraId="152D2ABA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>5.15</w:t>
            </w:r>
          </w:p>
        </w:tc>
      </w:tr>
      <w:tr w14:paraId="3D076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0" w:type="dxa"/>
            <w:tcBorders>
              <w:top w:val="nil"/>
              <w:bottom w:val="single" w:color="auto" w:sz="8" w:space="0"/>
            </w:tcBorders>
          </w:tcPr>
          <w:p w14:paraId="4C63C70D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 xml:space="preserve">Energy  </w:t>
            </w:r>
          </w:p>
        </w:tc>
        <w:tc>
          <w:tcPr>
            <w:tcW w:w="1950" w:type="dxa"/>
            <w:tcBorders>
              <w:top w:val="nil"/>
              <w:bottom w:val="single" w:color="auto" w:sz="8" w:space="0"/>
            </w:tcBorders>
          </w:tcPr>
          <w:p w14:paraId="2AD80A14">
            <w:pP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14:ligatures w14:val="standardContextual"/>
              </w:rPr>
              <w:t>3.43</w:t>
            </w:r>
          </w:p>
        </w:tc>
      </w:tr>
    </w:tbl>
    <w:p w14:paraId="6B1B05D5">
      <w:pPr>
        <w:rPr>
          <w:rFonts w:hint="eastAsia"/>
        </w:rPr>
      </w:pPr>
    </w:p>
    <w:p w14:paraId="6A0DBF95">
      <w:pPr>
        <w:rPr>
          <w:rFonts w:hint="eastAsia"/>
        </w:rPr>
      </w:pPr>
    </w:p>
    <w:p w14:paraId="1EA886E9">
      <w:pPr>
        <w:rPr>
          <w:rFonts w:hint="eastAsia"/>
        </w:rPr>
      </w:pPr>
    </w:p>
    <w:p w14:paraId="06361A3C">
      <w:pPr>
        <w:rPr>
          <w:rFonts w:hint="eastAsia"/>
        </w:rPr>
      </w:pPr>
    </w:p>
    <w:p w14:paraId="2743CD4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DGN P+ MTSY">
    <w:altName w:val="微软雅黑"/>
    <w:panose1 w:val="00000000000000000000"/>
    <w:charset w:val="86"/>
    <w:family w:val="swiss"/>
    <w:pitch w:val="default"/>
    <w:sig w:usb0="00000000" w:usb1="00000000" w:usb2="00000010" w:usb3="00000000" w:csb0="000C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6B"/>
    <w:rsid w:val="000063B7"/>
    <w:rsid w:val="00025016"/>
    <w:rsid w:val="00032B2E"/>
    <w:rsid w:val="00054495"/>
    <w:rsid w:val="00065C75"/>
    <w:rsid w:val="000844E0"/>
    <w:rsid w:val="000B351A"/>
    <w:rsid w:val="000B6055"/>
    <w:rsid w:val="00167AF5"/>
    <w:rsid w:val="0019130C"/>
    <w:rsid w:val="00224B13"/>
    <w:rsid w:val="00265C99"/>
    <w:rsid w:val="00271E4C"/>
    <w:rsid w:val="002A40F0"/>
    <w:rsid w:val="003251C5"/>
    <w:rsid w:val="003264EB"/>
    <w:rsid w:val="003461E7"/>
    <w:rsid w:val="003B62F0"/>
    <w:rsid w:val="003C336E"/>
    <w:rsid w:val="00416DE0"/>
    <w:rsid w:val="004C49A4"/>
    <w:rsid w:val="004D07C4"/>
    <w:rsid w:val="004D2551"/>
    <w:rsid w:val="004E12A4"/>
    <w:rsid w:val="004F15CC"/>
    <w:rsid w:val="00505233"/>
    <w:rsid w:val="0054383E"/>
    <w:rsid w:val="00543BCD"/>
    <w:rsid w:val="00586B47"/>
    <w:rsid w:val="005A3D16"/>
    <w:rsid w:val="005C4D7D"/>
    <w:rsid w:val="005D04BC"/>
    <w:rsid w:val="0065753B"/>
    <w:rsid w:val="006853BB"/>
    <w:rsid w:val="006C00F0"/>
    <w:rsid w:val="006C377D"/>
    <w:rsid w:val="00721153"/>
    <w:rsid w:val="00723AE6"/>
    <w:rsid w:val="007444C3"/>
    <w:rsid w:val="00760144"/>
    <w:rsid w:val="00763EE8"/>
    <w:rsid w:val="00783E8E"/>
    <w:rsid w:val="0079753A"/>
    <w:rsid w:val="007A1BE6"/>
    <w:rsid w:val="007A3E1B"/>
    <w:rsid w:val="007C2E46"/>
    <w:rsid w:val="008307CB"/>
    <w:rsid w:val="0084058E"/>
    <w:rsid w:val="008D69B8"/>
    <w:rsid w:val="009376EF"/>
    <w:rsid w:val="00960CC9"/>
    <w:rsid w:val="00975268"/>
    <w:rsid w:val="00A12F01"/>
    <w:rsid w:val="00A901DB"/>
    <w:rsid w:val="00AB0B61"/>
    <w:rsid w:val="00AC7BAC"/>
    <w:rsid w:val="00AD3EBB"/>
    <w:rsid w:val="00AF6D11"/>
    <w:rsid w:val="00B13C96"/>
    <w:rsid w:val="00B1466B"/>
    <w:rsid w:val="00B32641"/>
    <w:rsid w:val="00B61B0A"/>
    <w:rsid w:val="00B64F92"/>
    <w:rsid w:val="00B724A7"/>
    <w:rsid w:val="00B85A71"/>
    <w:rsid w:val="00BC7508"/>
    <w:rsid w:val="00BE4D2E"/>
    <w:rsid w:val="00BF68C7"/>
    <w:rsid w:val="00C577DC"/>
    <w:rsid w:val="00CE1FF5"/>
    <w:rsid w:val="00D77A44"/>
    <w:rsid w:val="00D86973"/>
    <w:rsid w:val="00D9197D"/>
    <w:rsid w:val="00D93827"/>
    <w:rsid w:val="00DA1F8A"/>
    <w:rsid w:val="00DB133C"/>
    <w:rsid w:val="00DB2D9B"/>
    <w:rsid w:val="00DB6F28"/>
    <w:rsid w:val="00DC4D62"/>
    <w:rsid w:val="00DC7103"/>
    <w:rsid w:val="00DF3A03"/>
    <w:rsid w:val="00DF64E2"/>
    <w:rsid w:val="00E10B1E"/>
    <w:rsid w:val="00E11C2B"/>
    <w:rsid w:val="00E3342D"/>
    <w:rsid w:val="00E40181"/>
    <w:rsid w:val="00F12F9A"/>
    <w:rsid w:val="00F53008"/>
    <w:rsid w:val="00F9730C"/>
    <w:rsid w:val="00FB1C08"/>
    <w:rsid w:val="00FD0CA2"/>
    <w:rsid w:val="00FE5EA0"/>
    <w:rsid w:val="00FF46A0"/>
    <w:rsid w:val="05D7190B"/>
    <w:rsid w:val="0926387D"/>
    <w:rsid w:val="0D276364"/>
    <w:rsid w:val="0D92491A"/>
    <w:rsid w:val="0FF14450"/>
    <w:rsid w:val="38AD19AF"/>
    <w:rsid w:val="395D3737"/>
    <w:rsid w:val="47FD1E4B"/>
    <w:rsid w:val="4F364E43"/>
    <w:rsid w:val="62566DFA"/>
    <w:rsid w:val="6694589F"/>
    <w:rsid w:val="68BF01B0"/>
    <w:rsid w:val="6C5335B2"/>
    <w:rsid w:val="6E001B8E"/>
    <w:rsid w:val="761C48A2"/>
    <w:rsid w:val="79116896"/>
    <w:rsid w:val="7D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List Table 6 Colorful Accent 4"/>
    <w:basedOn w:val="4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1005</Words>
  <Characters>6012</Characters>
  <Lines>42</Lines>
  <Paragraphs>11</Paragraphs>
  <TotalTime>0</TotalTime>
  <ScaleCrop>false</ScaleCrop>
  <LinksUpToDate>false</LinksUpToDate>
  <CharactersWithSpaces>6882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2024-04-06T12:01:00Z</dcterms:created>
  <dc:creator>zhenliang li</dc:creator>
  <cp:lastModifiedBy>李振亮</cp:lastModifiedBy>
  <dcterms:modified xsi:type="dcterms:W3CDTF">2026-03-06T14:35:20Z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eyJoZGlkIjoiMGIzNGM4ZTc1ZWVhNDEyNmZmMmUzMzMzN2E5MzBmMTAiLCJ1c2VySWQiOiI0MzQ5MjAyODEifQ==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7FA4721C31D043CEBFF438D69A7B9D35_12</vt:lpwstr>
  </property>
</Properties>
</file>