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735C6" w14:textId="4F14AD45" w:rsidR="009E5B01" w:rsidRPr="007A481E" w:rsidRDefault="002A0713" w:rsidP="002A0713">
      <w:pPr>
        <w:pStyle w:val="Kop1"/>
        <w:rPr>
          <w:lang w:val="en-GB"/>
        </w:rPr>
      </w:pPr>
      <w:r w:rsidRPr="007A481E">
        <w:rPr>
          <w:lang w:val="en-GB"/>
        </w:rPr>
        <w:t>Additional File 1: Extended Methodological Details</w:t>
      </w:r>
    </w:p>
    <w:p w14:paraId="7413A1E7" w14:textId="41E82B17" w:rsidR="00B22BE8" w:rsidRPr="007A481E" w:rsidRDefault="00B22BE8" w:rsidP="00B22BE8">
      <w:pPr>
        <w:rPr>
          <w:lang w:val="en-GB"/>
        </w:rPr>
      </w:pPr>
      <w:r w:rsidRPr="007A481E">
        <w:rPr>
          <w:lang w:val="en-GB"/>
        </w:rPr>
        <w:t>This file provides detailed descriptions of the environmental indicators, geospatial analysis procedures, data preparation steps</w:t>
      </w:r>
      <w:r w:rsidR="007A481E" w:rsidRPr="007A481E">
        <w:rPr>
          <w:lang w:val="en-GB"/>
        </w:rPr>
        <w:t xml:space="preserve"> and</w:t>
      </w:r>
      <w:r w:rsidRPr="007A481E">
        <w:rPr>
          <w:lang w:val="en-GB"/>
        </w:rPr>
        <w:t xml:space="preserve"> health outcome definitions</w:t>
      </w:r>
      <w:r w:rsidR="007A481E" w:rsidRPr="007A481E">
        <w:rPr>
          <w:lang w:val="en-GB"/>
        </w:rPr>
        <w:t xml:space="preserve"> </w:t>
      </w:r>
      <w:r w:rsidRPr="007A481E">
        <w:rPr>
          <w:lang w:val="en-GB"/>
        </w:rPr>
        <w:t>used in the main manuscript.</w:t>
      </w:r>
    </w:p>
    <w:p w14:paraId="6826F3AE" w14:textId="77777777" w:rsidR="002A0713" w:rsidRPr="007A481E" w:rsidRDefault="002A0713" w:rsidP="002A0713">
      <w:pPr>
        <w:rPr>
          <w:lang w:val="en-GB"/>
        </w:rPr>
      </w:pPr>
    </w:p>
    <w:p w14:paraId="176A8538" w14:textId="5CB7362A" w:rsidR="002A0713" w:rsidRPr="007A481E" w:rsidRDefault="002A0713" w:rsidP="002A0713">
      <w:pPr>
        <w:pStyle w:val="Kop2"/>
        <w:rPr>
          <w:lang w:val="en-GB"/>
        </w:rPr>
      </w:pPr>
      <w:r w:rsidRPr="007A481E">
        <w:rPr>
          <w:lang w:val="en-GB"/>
        </w:rPr>
        <w:t>A</w:t>
      </w:r>
      <w:r w:rsidR="00B22BE8" w:rsidRPr="007A481E">
        <w:rPr>
          <w:lang w:val="en-GB"/>
        </w:rPr>
        <w:t>1.</w:t>
      </w:r>
      <w:r w:rsidRPr="007A481E">
        <w:rPr>
          <w:lang w:val="en-GB"/>
        </w:rPr>
        <w:t xml:space="preserve"> </w:t>
      </w:r>
      <w:r w:rsidR="00B22BE8" w:rsidRPr="007A481E">
        <w:rPr>
          <w:lang w:val="en-GB"/>
        </w:rPr>
        <w:t>Environmental indicator definitions and geospatial methods</w:t>
      </w:r>
    </w:p>
    <w:p w14:paraId="2015AB84" w14:textId="5EFCE2EE" w:rsidR="00B22BE8" w:rsidRPr="00B22BE8" w:rsidRDefault="00B22BE8" w:rsidP="00B22BE8">
      <w:pPr>
        <w:rPr>
          <w:b/>
          <w:bCs/>
          <w:i/>
          <w:iCs/>
          <w:lang w:val="en-GB"/>
        </w:rPr>
      </w:pPr>
      <w:r w:rsidRPr="007A481E">
        <w:rPr>
          <w:b/>
          <w:bCs/>
          <w:i/>
          <w:iCs/>
          <w:lang w:val="en-GB"/>
        </w:rPr>
        <w:t>A</w:t>
      </w:r>
      <w:r w:rsidRPr="00B22BE8">
        <w:rPr>
          <w:b/>
          <w:bCs/>
          <w:i/>
          <w:iCs/>
          <w:lang w:val="en-GB"/>
        </w:rPr>
        <w:t>1.1 Spatial units and buffer creation</w:t>
      </w:r>
    </w:p>
    <w:p w14:paraId="7A619E52" w14:textId="150EE8D5" w:rsidR="00B22BE8" w:rsidRPr="00B22BE8" w:rsidRDefault="00B22BE8" w:rsidP="00B22BE8">
      <w:pPr>
        <w:rPr>
          <w:lang w:val="en-GB"/>
        </w:rPr>
      </w:pPr>
      <w:r w:rsidRPr="00B22BE8">
        <w:rPr>
          <w:lang w:val="en-GB"/>
        </w:rPr>
        <w:t xml:space="preserve">Environmental </w:t>
      </w:r>
      <w:r w:rsidR="007A481E" w:rsidRPr="007A481E">
        <w:rPr>
          <w:lang w:val="en-GB"/>
        </w:rPr>
        <w:t>characterization</w:t>
      </w:r>
      <w:r w:rsidRPr="00B22BE8">
        <w:rPr>
          <w:lang w:val="en-GB"/>
        </w:rPr>
        <w:t xml:space="preserve"> was conducted for 73 four-digit postal codes where study participants resided. All geospatial analyses were performed using QGIS version 3.18.3. Environmental indicators were first calculated at the address level using residential address locations from the national Registration of Addresses and Buildings (BAG) [19], and then averaged at the postal code level.</w:t>
      </w:r>
    </w:p>
    <w:p w14:paraId="0E03B8E9" w14:textId="77777777" w:rsidR="00B22BE8" w:rsidRPr="00B22BE8" w:rsidRDefault="00B22BE8" w:rsidP="00B22BE8">
      <w:pPr>
        <w:rPr>
          <w:lang w:val="en-GB"/>
        </w:rPr>
      </w:pPr>
      <w:r w:rsidRPr="00B22BE8">
        <w:rPr>
          <w:lang w:val="en-GB"/>
        </w:rPr>
        <w:t xml:space="preserve">Indicators were assessed within two spatial scales around each residential address: a 300-metre Euclidean buffer (immediate neighbourhood) and a 300–1000-metre donut-shaped buffer (extended neighbourhood). The 300-metre buffers were created using the standard buffer function in QGIS. The donut buffers were generated by computing the geometric difference between a 1000-metre outer buffer and a 300-metre inner buffer using the following </w:t>
      </w:r>
      <w:proofErr w:type="spellStart"/>
      <w:r w:rsidRPr="00B22BE8">
        <w:rPr>
          <w:lang w:val="en-GB"/>
        </w:rPr>
        <w:t>pyQGIS</w:t>
      </w:r>
      <w:proofErr w:type="spellEnd"/>
      <w:r w:rsidRPr="00B22BE8">
        <w:rPr>
          <w:lang w:val="en-GB"/>
        </w:rPr>
        <w:t xml:space="preserve"> script:</w:t>
      </w:r>
    </w:p>
    <w:p w14:paraId="69EEAFA3" w14:textId="77777777" w:rsidR="002A0713" w:rsidRPr="007A481E" w:rsidRDefault="002A0713" w:rsidP="002A0713">
      <w:pPr>
        <w:spacing w:after="0" w:line="240" w:lineRule="auto"/>
        <w:rPr>
          <w:sz w:val="18"/>
          <w:szCs w:val="18"/>
          <w:highlight w:val="lightGray"/>
          <w:lang w:val="en-GB"/>
        </w:rPr>
      </w:pPr>
      <w:r w:rsidRPr="007A481E">
        <w:rPr>
          <w:sz w:val="18"/>
          <w:szCs w:val="18"/>
          <w:highlight w:val="lightGray"/>
          <w:lang w:val="en-GB"/>
        </w:rPr>
        <w:t xml:space="preserve">from </w:t>
      </w:r>
      <w:proofErr w:type="spellStart"/>
      <w:r w:rsidRPr="007A481E">
        <w:rPr>
          <w:sz w:val="18"/>
          <w:szCs w:val="18"/>
          <w:highlight w:val="lightGray"/>
          <w:lang w:val="en-GB"/>
        </w:rPr>
        <w:t>qgis.core</w:t>
      </w:r>
      <w:proofErr w:type="spellEnd"/>
      <w:r w:rsidRPr="007A481E">
        <w:rPr>
          <w:sz w:val="18"/>
          <w:szCs w:val="18"/>
          <w:highlight w:val="lightGray"/>
          <w:lang w:val="en-GB"/>
        </w:rPr>
        <w:t xml:space="preserve"> import (</w:t>
      </w:r>
    </w:p>
    <w:p w14:paraId="04D4E393" w14:textId="77777777" w:rsidR="002A0713" w:rsidRPr="007A481E" w:rsidRDefault="002A0713" w:rsidP="002A0713">
      <w:pPr>
        <w:spacing w:after="0" w:line="240" w:lineRule="auto"/>
        <w:rPr>
          <w:sz w:val="18"/>
          <w:szCs w:val="18"/>
          <w:highlight w:val="lightGray"/>
          <w:lang w:val="en-GB"/>
        </w:rPr>
      </w:pPr>
      <w:r w:rsidRPr="007A481E">
        <w:rPr>
          <w:sz w:val="18"/>
          <w:szCs w:val="18"/>
          <w:highlight w:val="lightGray"/>
          <w:lang w:val="en-GB"/>
        </w:rPr>
        <w:t xml:space="preserve">    </w:t>
      </w:r>
      <w:proofErr w:type="spellStart"/>
      <w:r w:rsidRPr="007A481E">
        <w:rPr>
          <w:sz w:val="18"/>
          <w:szCs w:val="18"/>
          <w:highlight w:val="lightGray"/>
          <w:lang w:val="en-GB"/>
        </w:rPr>
        <w:t>QgsVectorLayer</w:t>
      </w:r>
      <w:proofErr w:type="spellEnd"/>
      <w:r w:rsidRPr="007A481E">
        <w:rPr>
          <w:sz w:val="18"/>
          <w:szCs w:val="18"/>
          <w:highlight w:val="lightGray"/>
          <w:lang w:val="en-GB"/>
        </w:rPr>
        <w:t>,</w:t>
      </w:r>
    </w:p>
    <w:p w14:paraId="762B2C55" w14:textId="77777777" w:rsidR="002A0713" w:rsidRPr="007A481E" w:rsidRDefault="002A0713" w:rsidP="002A0713">
      <w:pPr>
        <w:spacing w:after="0" w:line="240" w:lineRule="auto"/>
        <w:rPr>
          <w:sz w:val="18"/>
          <w:szCs w:val="18"/>
          <w:highlight w:val="lightGray"/>
          <w:lang w:val="en-GB"/>
        </w:rPr>
      </w:pPr>
      <w:r w:rsidRPr="007A481E">
        <w:rPr>
          <w:sz w:val="18"/>
          <w:szCs w:val="18"/>
          <w:highlight w:val="lightGray"/>
          <w:lang w:val="en-GB"/>
        </w:rPr>
        <w:t xml:space="preserve">    </w:t>
      </w:r>
      <w:proofErr w:type="spellStart"/>
      <w:r w:rsidRPr="007A481E">
        <w:rPr>
          <w:sz w:val="18"/>
          <w:szCs w:val="18"/>
          <w:highlight w:val="lightGray"/>
          <w:lang w:val="en-GB"/>
        </w:rPr>
        <w:t>QgsProject</w:t>
      </w:r>
      <w:proofErr w:type="spellEnd"/>
      <w:r w:rsidRPr="007A481E">
        <w:rPr>
          <w:sz w:val="18"/>
          <w:szCs w:val="18"/>
          <w:highlight w:val="lightGray"/>
          <w:lang w:val="en-GB"/>
        </w:rPr>
        <w:t>,</w:t>
      </w:r>
    </w:p>
    <w:p w14:paraId="71509FFA" w14:textId="77777777" w:rsidR="002A0713" w:rsidRPr="007A481E" w:rsidRDefault="002A0713" w:rsidP="002A0713">
      <w:pPr>
        <w:spacing w:after="0" w:line="240" w:lineRule="auto"/>
        <w:rPr>
          <w:sz w:val="18"/>
          <w:szCs w:val="18"/>
          <w:highlight w:val="lightGray"/>
          <w:lang w:val="en-GB"/>
        </w:rPr>
      </w:pPr>
      <w:r w:rsidRPr="007A481E">
        <w:rPr>
          <w:sz w:val="18"/>
          <w:szCs w:val="18"/>
          <w:highlight w:val="lightGray"/>
          <w:lang w:val="en-GB"/>
        </w:rPr>
        <w:t xml:space="preserve">    </w:t>
      </w:r>
      <w:proofErr w:type="spellStart"/>
      <w:r w:rsidRPr="007A481E">
        <w:rPr>
          <w:sz w:val="18"/>
          <w:szCs w:val="18"/>
          <w:highlight w:val="lightGray"/>
          <w:lang w:val="en-GB"/>
        </w:rPr>
        <w:t>QgsField</w:t>
      </w:r>
      <w:proofErr w:type="spellEnd"/>
      <w:r w:rsidRPr="007A481E">
        <w:rPr>
          <w:sz w:val="18"/>
          <w:szCs w:val="18"/>
          <w:highlight w:val="lightGray"/>
          <w:lang w:val="en-GB"/>
        </w:rPr>
        <w:t>,</w:t>
      </w:r>
    </w:p>
    <w:p w14:paraId="3D1637A0" w14:textId="77777777" w:rsidR="002A0713" w:rsidRPr="007A481E" w:rsidRDefault="002A0713" w:rsidP="002A0713">
      <w:pPr>
        <w:spacing w:after="0" w:line="240" w:lineRule="auto"/>
        <w:rPr>
          <w:sz w:val="18"/>
          <w:szCs w:val="18"/>
          <w:highlight w:val="lightGray"/>
          <w:lang w:val="en-GB"/>
        </w:rPr>
      </w:pPr>
      <w:r w:rsidRPr="007A481E">
        <w:rPr>
          <w:sz w:val="18"/>
          <w:szCs w:val="18"/>
          <w:highlight w:val="lightGray"/>
          <w:lang w:val="en-GB"/>
        </w:rPr>
        <w:t xml:space="preserve">    </w:t>
      </w:r>
      <w:proofErr w:type="spellStart"/>
      <w:r w:rsidRPr="007A481E">
        <w:rPr>
          <w:sz w:val="18"/>
          <w:szCs w:val="18"/>
          <w:highlight w:val="lightGray"/>
          <w:lang w:val="en-GB"/>
        </w:rPr>
        <w:t>QgsFeature</w:t>
      </w:r>
      <w:proofErr w:type="spellEnd"/>
      <w:r w:rsidRPr="007A481E">
        <w:rPr>
          <w:sz w:val="18"/>
          <w:szCs w:val="18"/>
          <w:highlight w:val="lightGray"/>
          <w:lang w:val="en-GB"/>
        </w:rPr>
        <w:t>,</w:t>
      </w:r>
    </w:p>
    <w:p w14:paraId="1860CE11" w14:textId="77777777" w:rsidR="002A0713" w:rsidRPr="007A481E" w:rsidRDefault="002A0713" w:rsidP="002A0713">
      <w:pPr>
        <w:spacing w:after="0" w:line="240" w:lineRule="auto"/>
        <w:rPr>
          <w:sz w:val="18"/>
          <w:szCs w:val="18"/>
          <w:highlight w:val="lightGray"/>
          <w:lang w:val="en-GB"/>
        </w:rPr>
      </w:pPr>
      <w:r w:rsidRPr="007A481E">
        <w:rPr>
          <w:sz w:val="18"/>
          <w:szCs w:val="18"/>
          <w:highlight w:val="lightGray"/>
          <w:lang w:val="en-GB"/>
        </w:rPr>
        <w:t xml:space="preserve">    </w:t>
      </w:r>
      <w:proofErr w:type="spellStart"/>
      <w:r w:rsidRPr="007A481E">
        <w:rPr>
          <w:sz w:val="18"/>
          <w:szCs w:val="18"/>
          <w:highlight w:val="lightGray"/>
          <w:lang w:val="en-GB"/>
        </w:rPr>
        <w:t>QgsGeometry</w:t>
      </w:r>
      <w:proofErr w:type="spellEnd"/>
      <w:r w:rsidRPr="007A481E">
        <w:rPr>
          <w:sz w:val="18"/>
          <w:szCs w:val="18"/>
          <w:highlight w:val="lightGray"/>
          <w:lang w:val="en-GB"/>
        </w:rPr>
        <w:t>,</w:t>
      </w:r>
    </w:p>
    <w:p w14:paraId="54CE2CF4" w14:textId="77777777" w:rsidR="002A0713" w:rsidRPr="007A481E" w:rsidRDefault="002A0713" w:rsidP="002A0713">
      <w:pPr>
        <w:spacing w:after="0" w:line="240" w:lineRule="auto"/>
        <w:rPr>
          <w:sz w:val="18"/>
          <w:szCs w:val="18"/>
          <w:highlight w:val="lightGray"/>
          <w:lang w:val="en-GB"/>
        </w:rPr>
      </w:pPr>
      <w:r w:rsidRPr="007A481E">
        <w:rPr>
          <w:sz w:val="18"/>
          <w:szCs w:val="18"/>
          <w:highlight w:val="lightGray"/>
          <w:lang w:val="en-GB"/>
        </w:rPr>
        <w:t xml:space="preserve">    </w:t>
      </w:r>
      <w:proofErr w:type="spellStart"/>
      <w:r w:rsidRPr="007A481E">
        <w:rPr>
          <w:sz w:val="18"/>
          <w:szCs w:val="18"/>
          <w:highlight w:val="lightGray"/>
          <w:lang w:val="en-GB"/>
        </w:rPr>
        <w:t>QgsWkbTypes</w:t>
      </w:r>
      <w:proofErr w:type="spellEnd"/>
    </w:p>
    <w:p w14:paraId="049F7120" w14:textId="77777777" w:rsidR="002A0713" w:rsidRPr="007A481E" w:rsidRDefault="002A0713" w:rsidP="002A0713">
      <w:pPr>
        <w:spacing w:after="0" w:line="240" w:lineRule="auto"/>
        <w:rPr>
          <w:sz w:val="18"/>
          <w:szCs w:val="18"/>
          <w:highlight w:val="lightGray"/>
          <w:lang w:val="en-GB"/>
        </w:rPr>
      </w:pPr>
      <w:r w:rsidRPr="007A481E">
        <w:rPr>
          <w:sz w:val="18"/>
          <w:szCs w:val="18"/>
          <w:highlight w:val="lightGray"/>
          <w:lang w:val="en-GB"/>
        </w:rPr>
        <w:t>)</w:t>
      </w:r>
    </w:p>
    <w:p w14:paraId="73C37BFD" w14:textId="77777777" w:rsidR="002A0713" w:rsidRPr="007A481E" w:rsidRDefault="002A0713" w:rsidP="002A0713">
      <w:pPr>
        <w:spacing w:after="0" w:line="240" w:lineRule="auto"/>
        <w:rPr>
          <w:sz w:val="18"/>
          <w:szCs w:val="18"/>
          <w:highlight w:val="lightGray"/>
          <w:lang w:val="en-GB"/>
        </w:rPr>
      </w:pPr>
    </w:p>
    <w:p w14:paraId="2D788EEC" w14:textId="77777777" w:rsidR="002A0713" w:rsidRPr="007A481E" w:rsidRDefault="002A0713" w:rsidP="002A0713">
      <w:pPr>
        <w:spacing w:after="0" w:line="240" w:lineRule="auto"/>
        <w:rPr>
          <w:sz w:val="18"/>
          <w:szCs w:val="18"/>
          <w:highlight w:val="lightGray"/>
          <w:lang w:val="en-GB"/>
        </w:rPr>
      </w:pPr>
      <w:r w:rsidRPr="007A481E">
        <w:rPr>
          <w:sz w:val="18"/>
          <w:szCs w:val="18"/>
          <w:highlight w:val="lightGray"/>
          <w:lang w:val="en-GB"/>
        </w:rPr>
        <w:t># Define input and output layer names</w:t>
      </w:r>
    </w:p>
    <w:p w14:paraId="050FD0E0" w14:textId="77777777" w:rsidR="002A0713" w:rsidRPr="007A481E" w:rsidRDefault="002A0713" w:rsidP="002A0713">
      <w:pPr>
        <w:spacing w:after="0" w:line="240" w:lineRule="auto"/>
        <w:rPr>
          <w:sz w:val="18"/>
          <w:szCs w:val="18"/>
          <w:highlight w:val="lightGray"/>
          <w:lang w:val="en-GB"/>
        </w:rPr>
      </w:pPr>
      <w:proofErr w:type="spellStart"/>
      <w:r w:rsidRPr="007A481E">
        <w:rPr>
          <w:sz w:val="18"/>
          <w:szCs w:val="18"/>
          <w:highlight w:val="lightGray"/>
          <w:lang w:val="en-GB"/>
        </w:rPr>
        <w:t>input_layer_name</w:t>
      </w:r>
      <w:proofErr w:type="spellEnd"/>
      <w:r w:rsidRPr="007A481E">
        <w:rPr>
          <w:sz w:val="18"/>
          <w:szCs w:val="18"/>
          <w:highlight w:val="lightGray"/>
          <w:lang w:val="en-GB"/>
        </w:rPr>
        <w:t xml:space="preserve"> = 'houses'  # Change this to match the name of your point layer</w:t>
      </w:r>
    </w:p>
    <w:p w14:paraId="4ACCCC62" w14:textId="77777777" w:rsidR="002A0713" w:rsidRPr="007A481E" w:rsidRDefault="002A0713" w:rsidP="002A0713">
      <w:pPr>
        <w:spacing w:after="0" w:line="240" w:lineRule="auto"/>
        <w:rPr>
          <w:sz w:val="18"/>
          <w:szCs w:val="18"/>
          <w:highlight w:val="lightGray"/>
          <w:lang w:val="en-GB"/>
        </w:rPr>
      </w:pPr>
      <w:proofErr w:type="spellStart"/>
      <w:r w:rsidRPr="007A481E">
        <w:rPr>
          <w:sz w:val="18"/>
          <w:szCs w:val="18"/>
          <w:highlight w:val="lightGray"/>
          <w:lang w:val="en-GB"/>
        </w:rPr>
        <w:t>output_layer_name</w:t>
      </w:r>
      <w:proofErr w:type="spellEnd"/>
      <w:r w:rsidRPr="007A481E">
        <w:rPr>
          <w:sz w:val="18"/>
          <w:szCs w:val="18"/>
          <w:highlight w:val="lightGray"/>
          <w:lang w:val="en-GB"/>
        </w:rPr>
        <w:t xml:space="preserve"> = '</w:t>
      </w:r>
      <w:proofErr w:type="spellStart"/>
      <w:r w:rsidRPr="007A481E">
        <w:rPr>
          <w:sz w:val="18"/>
          <w:szCs w:val="18"/>
          <w:highlight w:val="lightGray"/>
          <w:lang w:val="en-GB"/>
        </w:rPr>
        <w:t>donut_layer</w:t>
      </w:r>
      <w:proofErr w:type="spellEnd"/>
      <w:r w:rsidRPr="007A481E">
        <w:rPr>
          <w:sz w:val="18"/>
          <w:szCs w:val="18"/>
          <w:highlight w:val="lightGray"/>
          <w:lang w:val="en-GB"/>
        </w:rPr>
        <w:t>'</w:t>
      </w:r>
    </w:p>
    <w:p w14:paraId="2DC9AF7B" w14:textId="77777777" w:rsidR="002A0713" w:rsidRPr="007A481E" w:rsidRDefault="002A0713" w:rsidP="002A0713">
      <w:pPr>
        <w:spacing w:after="0" w:line="240" w:lineRule="auto"/>
        <w:rPr>
          <w:sz w:val="18"/>
          <w:szCs w:val="18"/>
          <w:highlight w:val="lightGray"/>
          <w:lang w:val="en-GB"/>
        </w:rPr>
      </w:pPr>
    </w:p>
    <w:p w14:paraId="2D5DE065" w14:textId="77777777" w:rsidR="002A0713" w:rsidRPr="007A481E" w:rsidRDefault="002A0713" w:rsidP="002A0713">
      <w:pPr>
        <w:spacing w:after="0" w:line="240" w:lineRule="auto"/>
        <w:rPr>
          <w:sz w:val="18"/>
          <w:szCs w:val="18"/>
          <w:highlight w:val="lightGray"/>
          <w:lang w:val="en-GB"/>
        </w:rPr>
      </w:pPr>
      <w:r w:rsidRPr="007A481E">
        <w:rPr>
          <w:sz w:val="18"/>
          <w:szCs w:val="18"/>
          <w:highlight w:val="lightGray"/>
          <w:lang w:val="en-GB"/>
        </w:rPr>
        <w:t># Get reference to the input point layer</w:t>
      </w:r>
    </w:p>
    <w:p w14:paraId="05764CF3" w14:textId="77777777" w:rsidR="002A0713" w:rsidRPr="007A481E" w:rsidRDefault="002A0713" w:rsidP="002A0713">
      <w:pPr>
        <w:spacing w:after="0" w:line="240" w:lineRule="auto"/>
        <w:rPr>
          <w:sz w:val="18"/>
          <w:szCs w:val="18"/>
          <w:highlight w:val="lightGray"/>
          <w:lang w:val="en-GB"/>
        </w:rPr>
      </w:pPr>
      <w:proofErr w:type="spellStart"/>
      <w:r w:rsidRPr="007A481E">
        <w:rPr>
          <w:sz w:val="18"/>
          <w:szCs w:val="18"/>
          <w:highlight w:val="lightGray"/>
          <w:lang w:val="en-GB"/>
        </w:rPr>
        <w:t>input_layer</w:t>
      </w:r>
      <w:proofErr w:type="spellEnd"/>
      <w:r w:rsidRPr="007A481E">
        <w:rPr>
          <w:sz w:val="18"/>
          <w:szCs w:val="18"/>
          <w:highlight w:val="lightGray"/>
          <w:lang w:val="en-GB"/>
        </w:rPr>
        <w:t xml:space="preserve"> = </w:t>
      </w:r>
      <w:proofErr w:type="spellStart"/>
      <w:r w:rsidRPr="007A481E">
        <w:rPr>
          <w:sz w:val="18"/>
          <w:szCs w:val="18"/>
          <w:highlight w:val="lightGray"/>
          <w:lang w:val="en-GB"/>
        </w:rPr>
        <w:t>QgsProject.instance</w:t>
      </w:r>
      <w:proofErr w:type="spellEnd"/>
      <w:r w:rsidRPr="007A481E">
        <w:rPr>
          <w:sz w:val="18"/>
          <w:szCs w:val="18"/>
          <w:highlight w:val="lightGray"/>
          <w:lang w:val="en-GB"/>
        </w:rPr>
        <w:t>().</w:t>
      </w:r>
      <w:proofErr w:type="spellStart"/>
      <w:r w:rsidRPr="007A481E">
        <w:rPr>
          <w:sz w:val="18"/>
          <w:szCs w:val="18"/>
          <w:highlight w:val="lightGray"/>
          <w:lang w:val="en-GB"/>
        </w:rPr>
        <w:t>mapLayersByName</w:t>
      </w:r>
      <w:proofErr w:type="spellEnd"/>
      <w:r w:rsidRPr="007A481E">
        <w:rPr>
          <w:sz w:val="18"/>
          <w:szCs w:val="18"/>
          <w:highlight w:val="lightGray"/>
          <w:lang w:val="en-GB"/>
        </w:rPr>
        <w:t>(</w:t>
      </w:r>
      <w:proofErr w:type="spellStart"/>
      <w:r w:rsidRPr="007A481E">
        <w:rPr>
          <w:sz w:val="18"/>
          <w:szCs w:val="18"/>
          <w:highlight w:val="lightGray"/>
          <w:lang w:val="en-GB"/>
        </w:rPr>
        <w:t>input_layer_name</w:t>
      </w:r>
      <w:proofErr w:type="spellEnd"/>
      <w:r w:rsidRPr="007A481E">
        <w:rPr>
          <w:sz w:val="18"/>
          <w:szCs w:val="18"/>
          <w:highlight w:val="lightGray"/>
          <w:lang w:val="en-GB"/>
        </w:rPr>
        <w:t>)[0]</w:t>
      </w:r>
    </w:p>
    <w:p w14:paraId="2672B9FB" w14:textId="77777777" w:rsidR="002A0713" w:rsidRPr="007A481E" w:rsidRDefault="002A0713" w:rsidP="002A0713">
      <w:pPr>
        <w:spacing w:after="0" w:line="240" w:lineRule="auto"/>
        <w:rPr>
          <w:sz w:val="18"/>
          <w:szCs w:val="18"/>
          <w:highlight w:val="lightGray"/>
          <w:lang w:val="en-GB"/>
        </w:rPr>
      </w:pPr>
    </w:p>
    <w:p w14:paraId="1A559266" w14:textId="77777777" w:rsidR="002A0713" w:rsidRPr="007A481E" w:rsidRDefault="002A0713" w:rsidP="002A0713">
      <w:pPr>
        <w:spacing w:after="0" w:line="240" w:lineRule="auto"/>
        <w:rPr>
          <w:sz w:val="18"/>
          <w:szCs w:val="18"/>
          <w:highlight w:val="lightGray"/>
          <w:lang w:val="en-GB"/>
        </w:rPr>
      </w:pPr>
      <w:r w:rsidRPr="007A481E">
        <w:rPr>
          <w:sz w:val="18"/>
          <w:szCs w:val="18"/>
          <w:highlight w:val="lightGray"/>
          <w:lang w:val="en-GB"/>
        </w:rPr>
        <w:t># Define buffer distances</w:t>
      </w:r>
    </w:p>
    <w:p w14:paraId="5FDE2014" w14:textId="77777777" w:rsidR="002A0713" w:rsidRPr="007A481E" w:rsidRDefault="002A0713" w:rsidP="002A0713">
      <w:pPr>
        <w:spacing w:after="0" w:line="240" w:lineRule="auto"/>
        <w:rPr>
          <w:sz w:val="18"/>
          <w:szCs w:val="18"/>
          <w:highlight w:val="lightGray"/>
          <w:lang w:val="en-GB"/>
        </w:rPr>
      </w:pPr>
      <w:proofErr w:type="spellStart"/>
      <w:r w:rsidRPr="007A481E">
        <w:rPr>
          <w:sz w:val="18"/>
          <w:szCs w:val="18"/>
          <w:highlight w:val="lightGray"/>
          <w:lang w:val="en-GB"/>
        </w:rPr>
        <w:t>inner_distance</w:t>
      </w:r>
      <w:proofErr w:type="spellEnd"/>
      <w:r w:rsidRPr="007A481E">
        <w:rPr>
          <w:sz w:val="18"/>
          <w:szCs w:val="18"/>
          <w:highlight w:val="lightGray"/>
          <w:lang w:val="en-GB"/>
        </w:rPr>
        <w:t xml:space="preserve"> = 300  # in meters</w:t>
      </w:r>
    </w:p>
    <w:p w14:paraId="678194FA" w14:textId="77777777" w:rsidR="002A0713" w:rsidRPr="007A481E" w:rsidRDefault="002A0713" w:rsidP="002A0713">
      <w:pPr>
        <w:spacing w:after="0" w:line="240" w:lineRule="auto"/>
        <w:rPr>
          <w:sz w:val="18"/>
          <w:szCs w:val="18"/>
          <w:highlight w:val="lightGray"/>
          <w:lang w:val="en-GB"/>
        </w:rPr>
      </w:pPr>
      <w:proofErr w:type="spellStart"/>
      <w:r w:rsidRPr="007A481E">
        <w:rPr>
          <w:sz w:val="18"/>
          <w:szCs w:val="18"/>
          <w:highlight w:val="lightGray"/>
          <w:lang w:val="en-GB"/>
        </w:rPr>
        <w:t>outer_distance</w:t>
      </w:r>
      <w:proofErr w:type="spellEnd"/>
      <w:r w:rsidRPr="007A481E">
        <w:rPr>
          <w:sz w:val="18"/>
          <w:szCs w:val="18"/>
          <w:highlight w:val="lightGray"/>
          <w:lang w:val="en-GB"/>
        </w:rPr>
        <w:t xml:space="preserve"> = 1000  # in meters</w:t>
      </w:r>
    </w:p>
    <w:p w14:paraId="713D225E" w14:textId="77777777" w:rsidR="002A0713" w:rsidRPr="007A481E" w:rsidRDefault="002A0713" w:rsidP="002A0713">
      <w:pPr>
        <w:spacing w:after="0" w:line="240" w:lineRule="auto"/>
        <w:rPr>
          <w:sz w:val="18"/>
          <w:szCs w:val="18"/>
          <w:highlight w:val="lightGray"/>
          <w:lang w:val="en-GB"/>
        </w:rPr>
      </w:pPr>
    </w:p>
    <w:p w14:paraId="515C7166" w14:textId="77777777" w:rsidR="002A0713" w:rsidRPr="007A481E" w:rsidRDefault="002A0713" w:rsidP="002A0713">
      <w:pPr>
        <w:spacing w:after="0" w:line="240" w:lineRule="auto"/>
        <w:rPr>
          <w:sz w:val="18"/>
          <w:szCs w:val="18"/>
          <w:highlight w:val="lightGray"/>
          <w:lang w:val="en-GB"/>
        </w:rPr>
      </w:pPr>
      <w:r w:rsidRPr="007A481E">
        <w:rPr>
          <w:sz w:val="18"/>
          <w:szCs w:val="18"/>
          <w:highlight w:val="lightGray"/>
          <w:lang w:val="en-GB"/>
        </w:rPr>
        <w:t># Create new memory layer for donut features</w:t>
      </w:r>
    </w:p>
    <w:p w14:paraId="62773CA1" w14:textId="77777777" w:rsidR="002A0713" w:rsidRPr="007A481E" w:rsidRDefault="002A0713" w:rsidP="002A0713">
      <w:pPr>
        <w:spacing w:after="0" w:line="240" w:lineRule="auto"/>
        <w:rPr>
          <w:sz w:val="18"/>
          <w:szCs w:val="18"/>
          <w:highlight w:val="lightGray"/>
          <w:lang w:val="en-GB"/>
        </w:rPr>
      </w:pPr>
      <w:proofErr w:type="spellStart"/>
      <w:r w:rsidRPr="007A481E">
        <w:rPr>
          <w:sz w:val="18"/>
          <w:szCs w:val="18"/>
          <w:highlight w:val="lightGray"/>
          <w:lang w:val="en-GB"/>
        </w:rPr>
        <w:t>donut_layer</w:t>
      </w:r>
      <w:proofErr w:type="spellEnd"/>
      <w:r w:rsidRPr="007A481E">
        <w:rPr>
          <w:sz w:val="18"/>
          <w:szCs w:val="18"/>
          <w:highlight w:val="lightGray"/>
          <w:lang w:val="en-GB"/>
        </w:rPr>
        <w:t xml:space="preserve"> = </w:t>
      </w:r>
      <w:proofErr w:type="spellStart"/>
      <w:r w:rsidRPr="007A481E">
        <w:rPr>
          <w:sz w:val="18"/>
          <w:szCs w:val="18"/>
          <w:highlight w:val="lightGray"/>
          <w:lang w:val="en-GB"/>
        </w:rPr>
        <w:t>QgsVectorLayer</w:t>
      </w:r>
      <w:proofErr w:type="spellEnd"/>
      <w:r w:rsidRPr="007A481E">
        <w:rPr>
          <w:sz w:val="18"/>
          <w:szCs w:val="18"/>
          <w:highlight w:val="lightGray"/>
          <w:lang w:val="en-GB"/>
        </w:rPr>
        <w:t>('</w:t>
      </w:r>
      <w:proofErr w:type="spellStart"/>
      <w:r w:rsidRPr="007A481E">
        <w:rPr>
          <w:sz w:val="18"/>
          <w:szCs w:val="18"/>
          <w:highlight w:val="lightGray"/>
          <w:lang w:val="en-GB"/>
        </w:rPr>
        <w:t>Polygon?crs</w:t>
      </w:r>
      <w:proofErr w:type="spellEnd"/>
      <w:r w:rsidRPr="007A481E">
        <w:rPr>
          <w:sz w:val="18"/>
          <w:szCs w:val="18"/>
          <w:highlight w:val="lightGray"/>
          <w:lang w:val="en-GB"/>
        </w:rPr>
        <w:t xml:space="preserve">=' + </w:t>
      </w:r>
      <w:proofErr w:type="spellStart"/>
      <w:r w:rsidRPr="007A481E">
        <w:rPr>
          <w:sz w:val="18"/>
          <w:szCs w:val="18"/>
          <w:highlight w:val="lightGray"/>
          <w:lang w:val="en-GB"/>
        </w:rPr>
        <w:t>input_layer.crs</w:t>
      </w:r>
      <w:proofErr w:type="spellEnd"/>
      <w:r w:rsidRPr="007A481E">
        <w:rPr>
          <w:sz w:val="18"/>
          <w:szCs w:val="18"/>
          <w:highlight w:val="lightGray"/>
          <w:lang w:val="en-GB"/>
        </w:rPr>
        <w:t>().</w:t>
      </w:r>
      <w:proofErr w:type="spellStart"/>
      <w:r w:rsidRPr="007A481E">
        <w:rPr>
          <w:sz w:val="18"/>
          <w:szCs w:val="18"/>
          <w:highlight w:val="lightGray"/>
          <w:lang w:val="en-GB"/>
        </w:rPr>
        <w:t>authid</w:t>
      </w:r>
      <w:proofErr w:type="spellEnd"/>
      <w:r w:rsidRPr="007A481E">
        <w:rPr>
          <w:sz w:val="18"/>
          <w:szCs w:val="18"/>
          <w:highlight w:val="lightGray"/>
          <w:lang w:val="en-GB"/>
        </w:rPr>
        <w:t xml:space="preserve">(), </w:t>
      </w:r>
      <w:proofErr w:type="spellStart"/>
      <w:r w:rsidRPr="007A481E">
        <w:rPr>
          <w:sz w:val="18"/>
          <w:szCs w:val="18"/>
          <w:highlight w:val="lightGray"/>
          <w:lang w:val="en-GB"/>
        </w:rPr>
        <w:t>output_layer_name</w:t>
      </w:r>
      <w:proofErr w:type="spellEnd"/>
      <w:r w:rsidRPr="007A481E">
        <w:rPr>
          <w:sz w:val="18"/>
          <w:szCs w:val="18"/>
          <w:highlight w:val="lightGray"/>
          <w:lang w:val="en-GB"/>
        </w:rPr>
        <w:t>, 'memory')</w:t>
      </w:r>
    </w:p>
    <w:p w14:paraId="135DDFE2" w14:textId="77777777" w:rsidR="002A0713" w:rsidRPr="007A481E" w:rsidRDefault="002A0713" w:rsidP="002A0713">
      <w:pPr>
        <w:spacing w:after="0" w:line="240" w:lineRule="auto"/>
        <w:rPr>
          <w:sz w:val="18"/>
          <w:szCs w:val="18"/>
          <w:highlight w:val="lightGray"/>
          <w:lang w:val="en-GB"/>
        </w:rPr>
      </w:pPr>
      <w:r w:rsidRPr="007A481E">
        <w:rPr>
          <w:sz w:val="18"/>
          <w:szCs w:val="18"/>
          <w:highlight w:val="lightGray"/>
          <w:lang w:val="en-GB"/>
        </w:rPr>
        <w:t xml:space="preserve">provider = </w:t>
      </w:r>
      <w:proofErr w:type="spellStart"/>
      <w:r w:rsidRPr="007A481E">
        <w:rPr>
          <w:sz w:val="18"/>
          <w:szCs w:val="18"/>
          <w:highlight w:val="lightGray"/>
          <w:lang w:val="en-GB"/>
        </w:rPr>
        <w:t>donut_layer.dataProvider</w:t>
      </w:r>
      <w:proofErr w:type="spellEnd"/>
      <w:r w:rsidRPr="007A481E">
        <w:rPr>
          <w:sz w:val="18"/>
          <w:szCs w:val="18"/>
          <w:highlight w:val="lightGray"/>
          <w:lang w:val="en-GB"/>
        </w:rPr>
        <w:t>()</w:t>
      </w:r>
    </w:p>
    <w:p w14:paraId="13628A17" w14:textId="77777777" w:rsidR="002A0713" w:rsidRPr="007A481E" w:rsidRDefault="002A0713" w:rsidP="002A0713">
      <w:pPr>
        <w:spacing w:after="0" w:line="240" w:lineRule="auto"/>
        <w:rPr>
          <w:sz w:val="18"/>
          <w:szCs w:val="18"/>
          <w:highlight w:val="lightGray"/>
          <w:lang w:val="en-GB"/>
        </w:rPr>
      </w:pPr>
    </w:p>
    <w:p w14:paraId="4658558B" w14:textId="77777777" w:rsidR="002A0713" w:rsidRPr="007A481E" w:rsidRDefault="002A0713" w:rsidP="002A0713">
      <w:pPr>
        <w:spacing w:after="0" w:line="240" w:lineRule="auto"/>
        <w:rPr>
          <w:sz w:val="18"/>
          <w:szCs w:val="18"/>
          <w:highlight w:val="lightGray"/>
          <w:lang w:val="en-GB"/>
        </w:rPr>
      </w:pPr>
      <w:r w:rsidRPr="007A481E">
        <w:rPr>
          <w:sz w:val="18"/>
          <w:szCs w:val="18"/>
          <w:highlight w:val="lightGray"/>
          <w:lang w:val="en-GB"/>
        </w:rPr>
        <w:t># Add attribute fields to the donut layer</w:t>
      </w:r>
    </w:p>
    <w:p w14:paraId="45D69062" w14:textId="77777777" w:rsidR="002A0713" w:rsidRPr="007A481E" w:rsidRDefault="002A0713" w:rsidP="002A0713">
      <w:pPr>
        <w:spacing w:after="0" w:line="240" w:lineRule="auto"/>
        <w:rPr>
          <w:sz w:val="18"/>
          <w:szCs w:val="18"/>
          <w:highlight w:val="lightGray"/>
          <w:lang w:val="en-GB"/>
        </w:rPr>
      </w:pPr>
      <w:r w:rsidRPr="007A481E">
        <w:rPr>
          <w:sz w:val="18"/>
          <w:szCs w:val="18"/>
          <w:highlight w:val="lightGray"/>
          <w:lang w:val="en-GB"/>
        </w:rPr>
        <w:t xml:space="preserve">fields = </w:t>
      </w:r>
      <w:proofErr w:type="spellStart"/>
      <w:r w:rsidRPr="007A481E">
        <w:rPr>
          <w:sz w:val="18"/>
          <w:szCs w:val="18"/>
          <w:highlight w:val="lightGray"/>
          <w:lang w:val="en-GB"/>
        </w:rPr>
        <w:t>input_layer.fields</w:t>
      </w:r>
      <w:proofErr w:type="spellEnd"/>
      <w:r w:rsidRPr="007A481E">
        <w:rPr>
          <w:sz w:val="18"/>
          <w:szCs w:val="18"/>
          <w:highlight w:val="lightGray"/>
          <w:lang w:val="en-GB"/>
        </w:rPr>
        <w:t>()</w:t>
      </w:r>
    </w:p>
    <w:p w14:paraId="536DE61A" w14:textId="77777777" w:rsidR="002A0713" w:rsidRPr="007A481E" w:rsidRDefault="002A0713" w:rsidP="002A0713">
      <w:pPr>
        <w:spacing w:after="0" w:line="240" w:lineRule="auto"/>
        <w:rPr>
          <w:sz w:val="18"/>
          <w:szCs w:val="18"/>
          <w:highlight w:val="lightGray"/>
          <w:lang w:val="en-GB"/>
        </w:rPr>
      </w:pPr>
      <w:proofErr w:type="spellStart"/>
      <w:r w:rsidRPr="007A481E">
        <w:rPr>
          <w:sz w:val="18"/>
          <w:szCs w:val="18"/>
          <w:highlight w:val="lightGray"/>
          <w:lang w:val="en-GB"/>
        </w:rPr>
        <w:t>provider.addAttributes</w:t>
      </w:r>
      <w:proofErr w:type="spellEnd"/>
      <w:r w:rsidRPr="007A481E">
        <w:rPr>
          <w:sz w:val="18"/>
          <w:szCs w:val="18"/>
          <w:highlight w:val="lightGray"/>
          <w:lang w:val="en-GB"/>
        </w:rPr>
        <w:t>(fields)</w:t>
      </w:r>
    </w:p>
    <w:p w14:paraId="3A215FDE" w14:textId="77777777" w:rsidR="002A0713" w:rsidRPr="007A481E" w:rsidRDefault="002A0713" w:rsidP="002A0713">
      <w:pPr>
        <w:spacing w:after="0" w:line="240" w:lineRule="auto"/>
        <w:rPr>
          <w:sz w:val="18"/>
          <w:szCs w:val="18"/>
          <w:highlight w:val="lightGray"/>
          <w:lang w:val="en-GB"/>
        </w:rPr>
      </w:pPr>
      <w:proofErr w:type="spellStart"/>
      <w:r w:rsidRPr="007A481E">
        <w:rPr>
          <w:sz w:val="18"/>
          <w:szCs w:val="18"/>
          <w:highlight w:val="lightGray"/>
          <w:lang w:val="en-GB"/>
        </w:rPr>
        <w:t>donut_layer.updateFields</w:t>
      </w:r>
      <w:proofErr w:type="spellEnd"/>
      <w:r w:rsidRPr="007A481E">
        <w:rPr>
          <w:sz w:val="18"/>
          <w:szCs w:val="18"/>
          <w:highlight w:val="lightGray"/>
          <w:lang w:val="en-GB"/>
        </w:rPr>
        <w:t>()</w:t>
      </w:r>
    </w:p>
    <w:p w14:paraId="2D679B1F" w14:textId="77777777" w:rsidR="002A0713" w:rsidRPr="007A481E" w:rsidRDefault="002A0713" w:rsidP="002A0713">
      <w:pPr>
        <w:spacing w:after="0" w:line="240" w:lineRule="auto"/>
        <w:rPr>
          <w:sz w:val="18"/>
          <w:szCs w:val="18"/>
          <w:highlight w:val="lightGray"/>
          <w:lang w:val="en-GB"/>
        </w:rPr>
      </w:pPr>
    </w:p>
    <w:p w14:paraId="7AB6B512" w14:textId="77777777" w:rsidR="002A0713" w:rsidRPr="007A481E" w:rsidRDefault="002A0713" w:rsidP="002A0713">
      <w:pPr>
        <w:spacing w:after="0" w:line="240" w:lineRule="auto"/>
        <w:rPr>
          <w:sz w:val="18"/>
          <w:szCs w:val="18"/>
          <w:highlight w:val="lightGray"/>
          <w:lang w:val="en-GB"/>
        </w:rPr>
      </w:pPr>
      <w:r w:rsidRPr="007A481E">
        <w:rPr>
          <w:sz w:val="18"/>
          <w:szCs w:val="18"/>
          <w:highlight w:val="lightGray"/>
          <w:lang w:val="en-GB"/>
        </w:rPr>
        <w:t xml:space="preserve">for feature in </w:t>
      </w:r>
      <w:proofErr w:type="spellStart"/>
      <w:r w:rsidRPr="007A481E">
        <w:rPr>
          <w:sz w:val="18"/>
          <w:szCs w:val="18"/>
          <w:highlight w:val="lightGray"/>
          <w:lang w:val="en-GB"/>
        </w:rPr>
        <w:t>input_layer.getFeatures</w:t>
      </w:r>
      <w:proofErr w:type="spellEnd"/>
      <w:r w:rsidRPr="007A481E">
        <w:rPr>
          <w:sz w:val="18"/>
          <w:szCs w:val="18"/>
          <w:highlight w:val="lightGray"/>
          <w:lang w:val="en-GB"/>
        </w:rPr>
        <w:t>():</w:t>
      </w:r>
    </w:p>
    <w:p w14:paraId="4E4D7850" w14:textId="77777777" w:rsidR="002A0713" w:rsidRPr="007A481E" w:rsidRDefault="002A0713" w:rsidP="002A0713">
      <w:pPr>
        <w:spacing w:after="0" w:line="240" w:lineRule="auto"/>
        <w:rPr>
          <w:sz w:val="18"/>
          <w:szCs w:val="18"/>
          <w:highlight w:val="lightGray"/>
          <w:lang w:val="en-GB"/>
        </w:rPr>
      </w:pPr>
      <w:r w:rsidRPr="007A481E">
        <w:rPr>
          <w:sz w:val="18"/>
          <w:szCs w:val="18"/>
          <w:highlight w:val="lightGray"/>
          <w:lang w:val="en-GB"/>
        </w:rPr>
        <w:t xml:space="preserve">    </w:t>
      </w:r>
      <w:proofErr w:type="spellStart"/>
      <w:r w:rsidRPr="007A481E">
        <w:rPr>
          <w:sz w:val="18"/>
          <w:szCs w:val="18"/>
          <w:highlight w:val="lightGray"/>
          <w:lang w:val="en-GB"/>
        </w:rPr>
        <w:t>outer_buffer</w:t>
      </w:r>
      <w:proofErr w:type="spellEnd"/>
      <w:r w:rsidRPr="007A481E">
        <w:rPr>
          <w:sz w:val="18"/>
          <w:szCs w:val="18"/>
          <w:highlight w:val="lightGray"/>
          <w:lang w:val="en-GB"/>
        </w:rPr>
        <w:t xml:space="preserve"> = </w:t>
      </w:r>
      <w:proofErr w:type="spellStart"/>
      <w:r w:rsidRPr="007A481E">
        <w:rPr>
          <w:sz w:val="18"/>
          <w:szCs w:val="18"/>
          <w:highlight w:val="lightGray"/>
          <w:lang w:val="en-GB"/>
        </w:rPr>
        <w:t>feature.geometry</w:t>
      </w:r>
      <w:proofErr w:type="spellEnd"/>
      <w:r w:rsidRPr="007A481E">
        <w:rPr>
          <w:sz w:val="18"/>
          <w:szCs w:val="18"/>
          <w:highlight w:val="lightGray"/>
          <w:lang w:val="en-GB"/>
        </w:rPr>
        <w:t>().buffer(</w:t>
      </w:r>
      <w:proofErr w:type="spellStart"/>
      <w:r w:rsidRPr="007A481E">
        <w:rPr>
          <w:sz w:val="18"/>
          <w:szCs w:val="18"/>
          <w:highlight w:val="lightGray"/>
          <w:lang w:val="en-GB"/>
        </w:rPr>
        <w:t>outer_distance</w:t>
      </w:r>
      <w:proofErr w:type="spellEnd"/>
      <w:r w:rsidRPr="007A481E">
        <w:rPr>
          <w:sz w:val="18"/>
          <w:szCs w:val="18"/>
          <w:highlight w:val="lightGray"/>
          <w:lang w:val="en-GB"/>
        </w:rPr>
        <w:t>, 30)</w:t>
      </w:r>
    </w:p>
    <w:p w14:paraId="0D0D69CF" w14:textId="77777777" w:rsidR="002A0713" w:rsidRPr="007A481E" w:rsidRDefault="002A0713" w:rsidP="002A0713">
      <w:pPr>
        <w:spacing w:after="0" w:line="240" w:lineRule="auto"/>
        <w:rPr>
          <w:sz w:val="18"/>
          <w:szCs w:val="18"/>
          <w:highlight w:val="lightGray"/>
          <w:lang w:val="en-GB"/>
        </w:rPr>
      </w:pPr>
      <w:r w:rsidRPr="007A481E">
        <w:rPr>
          <w:sz w:val="18"/>
          <w:szCs w:val="18"/>
          <w:highlight w:val="lightGray"/>
          <w:lang w:val="en-GB"/>
        </w:rPr>
        <w:t xml:space="preserve">    </w:t>
      </w:r>
      <w:proofErr w:type="spellStart"/>
      <w:r w:rsidRPr="007A481E">
        <w:rPr>
          <w:sz w:val="18"/>
          <w:szCs w:val="18"/>
          <w:highlight w:val="lightGray"/>
          <w:lang w:val="en-GB"/>
        </w:rPr>
        <w:t>inner_buffer</w:t>
      </w:r>
      <w:proofErr w:type="spellEnd"/>
      <w:r w:rsidRPr="007A481E">
        <w:rPr>
          <w:sz w:val="18"/>
          <w:szCs w:val="18"/>
          <w:highlight w:val="lightGray"/>
          <w:lang w:val="en-GB"/>
        </w:rPr>
        <w:t xml:space="preserve"> = </w:t>
      </w:r>
      <w:proofErr w:type="spellStart"/>
      <w:r w:rsidRPr="007A481E">
        <w:rPr>
          <w:sz w:val="18"/>
          <w:szCs w:val="18"/>
          <w:highlight w:val="lightGray"/>
          <w:lang w:val="en-GB"/>
        </w:rPr>
        <w:t>feature.geometry</w:t>
      </w:r>
      <w:proofErr w:type="spellEnd"/>
      <w:r w:rsidRPr="007A481E">
        <w:rPr>
          <w:sz w:val="18"/>
          <w:szCs w:val="18"/>
          <w:highlight w:val="lightGray"/>
          <w:lang w:val="en-GB"/>
        </w:rPr>
        <w:t>().buffer(</w:t>
      </w:r>
      <w:proofErr w:type="spellStart"/>
      <w:r w:rsidRPr="007A481E">
        <w:rPr>
          <w:sz w:val="18"/>
          <w:szCs w:val="18"/>
          <w:highlight w:val="lightGray"/>
          <w:lang w:val="en-GB"/>
        </w:rPr>
        <w:t>inner_distance</w:t>
      </w:r>
      <w:proofErr w:type="spellEnd"/>
      <w:r w:rsidRPr="007A481E">
        <w:rPr>
          <w:sz w:val="18"/>
          <w:szCs w:val="18"/>
          <w:highlight w:val="lightGray"/>
          <w:lang w:val="en-GB"/>
        </w:rPr>
        <w:t>, 30)</w:t>
      </w:r>
    </w:p>
    <w:p w14:paraId="56A0EE62" w14:textId="77777777" w:rsidR="002A0713" w:rsidRPr="007A481E" w:rsidRDefault="002A0713" w:rsidP="002A0713">
      <w:pPr>
        <w:spacing w:after="0" w:line="240" w:lineRule="auto"/>
        <w:rPr>
          <w:sz w:val="18"/>
          <w:szCs w:val="18"/>
          <w:highlight w:val="lightGray"/>
          <w:lang w:val="en-GB"/>
        </w:rPr>
      </w:pPr>
      <w:r w:rsidRPr="007A481E">
        <w:rPr>
          <w:sz w:val="18"/>
          <w:szCs w:val="18"/>
          <w:highlight w:val="lightGray"/>
          <w:lang w:val="en-GB"/>
        </w:rPr>
        <w:lastRenderedPageBreak/>
        <w:t xml:space="preserve">    </w:t>
      </w:r>
      <w:proofErr w:type="spellStart"/>
      <w:r w:rsidRPr="007A481E">
        <w:rPr>
          <w:sz w:val="18"/>
          <w:szCs w:val="18"/>
          <w:highlight w:val="lightGray"/>
          <w:lang w:val="en-GB"/>
        </w:rPr>
        <w:t>donut_geometry</w:t>
      </w:r>
      <w:proofErr w:type="spellEnd"/>
      <w:r w:rsidRPr="007A481E">
        <w:rPr>
          <w:sz w:val="18"/>
          <w:szCs w:val="18"/>
          <w:highlight w:val="lightGray"/>
          <w:lang w:val="en-GB"/>
        </w:rPr>
        <w:t xml:space="preserve"> = </w:t>
      </w:r>
      <w:proofErr w:type="spellStart"/>
      <w:r w:rsidRPr="007A481E">
        <w:rPr>
          <w:sz w:val="18"/>
          <w:szCs w:val="18"/>
          <w:highlight w:val="lightGray"/>
          <w:lang w:val="en-GB"/>
        </w:rPr>
        <w:t>outer_buffer.difference</w:t>
      </w:r>
      <w:proofErr w:type="spellEnd"/>
      <w:r w:rsidRPr="007A481E">
        <w:rPr>
          <w:sz w:val="18"/>
          <w:szCs w:val="18"/>
          <w:highlight w:val="lightGray"/>
          <w:lang w:val="en-GB"/>
        </w:rPr>
        <w:t>(</w:t>
      </w:r>
      <w:proofErr w:type="spellStart"/>
      <w:r w:rsidRPr="007A481E">
        <w:rPr>
          <w:sz w:val="18"/>
          <w:szCs w:val="18"/>
          <w:highlight w:val="lightGray"/>
          <w:lang w:val="en-GB"/>
        </w:rPr>
        <w:t>inner_buffer</w:t>
      </w:r>
      <w:proofErr w:type="spellEnd"/>
      <w:r w:rsidRPr="007A481E">
        <w:rPr>
          <w:sz w:val="18"/>
          <w:szCs w:val="18"/>
          <w:highlight w:val="lightGray"/>
          <w:lang w:val="en-GB"/>
        </w:rPr>
        <w:t>)</w:t>
      </w:r>
    </w:p>
    <w:p w14:paraId="76E60AAD" w14:textId="77777777" w:rsidR="002A0713" w:rsidRPr="007A481E" w:rsidRDefault="002A0713" w:rsidP="002A0713">
      <w:pPr>
        <w:spacing w:after="0" w:line="240" w:lineRule="auto"/>
        <w:rPr>
          <w:sz w:val="18"/>
          <w:szCs w:val="18"/>
          <w:highlight w:val="lightGray"/>
          <w:lang w:val="en-GB"/>
        </w:rPr>
      </w:pPr>
    </w:p>
    <w:p w14:paraId="72349052" w14:textId="77777777" w:rsidR="002A0713" w:rsidRPr="007A481E" w:rsidRDefault="002A0713" w:rsidP="002A0713">
      <w:pPr>
        <w:spacing w:after="0" w:line="240" w:lineRule="auto"/>
        <w:rPr>
          <w:sz w:val="18"/>
          <w:szCs w:val="18"/>
          <w:highlight w:val="lightGray"/>
          <w:lang w:val="en-GB"/>
        </w:rPr>
      </w:pPr>
      <w:r w:rsidRPr="007A481E">
        <w:rPr>
          <w:sz w:val="18"/>
          <w:szCs w:val="18"/>
          <w:highlight w:val="lightGray"/>
          <w:lang w:val="en-GB"/>
        </w:rPr>
        <w:t xml:space="preserve">    if </w:t>
      </w:r>
      <w:proofErr w:type="spellStart"/>
      <w:r w:rsidRPr="007A481E">
        <w:rPr>
          <w:sz w:val="18"/>
          <w:szCs w:val="18"/>
          <w:highlight w:val="lightGray"/>
          <w:lang w:val="en-GB"/>
        </w:rPr>
        <w:t>donut_geometry.isGeosValid</w:t>
      </w:r>
      <w:proofErr w:type="spellEnd"/>
      <w:r w:rsidRPr="007A481E">
        <w:rPr>
          <w:sz w:val="18"/>
          <w:szCs w:val="18"/>
          <w:highlight w:val="lightGray"/>
          <w:lang w:val="en-GB"/>
        </w:rPr>
        <w:t>():  # Check if the geometry is valid</w:t>
      </w:r>
    </w:p>
    <w:p w14:paraId="65919532" w14:textId="77777777" w:rsidR="002A0713" w:rsidRPr="007A481E" w:rsidRDefault="002A0713" w:rsidP="002A0713">
      <w:pPr>
        <w:spacing w:after="0" w:line="240" w:lineRule="auto"/>
        <w:rPr>
          <w:sz w:val="18"/>
          <w:szCs w:val="18"/>
          <w:highlight w:val="lightGray"/>
          <w:lang w:val="en-GB"/>
        </w:rPr>
      </w:pPr>
      <w:r w:rsidRPr="007A481E">
        <w:rPr>
          <w:sz w:val="18"/>
          <w:szCs w:val="18"/>
          <w:highlight w:val="lightGray"/>
          <w:lang w:val="en-GB"/>
        </w:rPr>
        <w:t xml:space="preserve">        </w:t>
      </w:r>
      <w:proofErr w:type="spellStart"/>
      <w:r w:rsidRPr="007A481E">
        <w:rPr>
          <w:sz w:val="18"/>
          <w:szCs w:val="18"/>
          <w:highlight w:val="lightGray"/>
          <w:lang w:val="en-GB"/>
        </w:rPr>
        <w:t>donut_feature</w:t>
      </w:r>
      <w:proofErr w:type="spellEnd"/>
      <w:r w:rsidRPr="007A481E">
        <w:rPr>
          <w:sz w:val="18"/>
          <w:szCs w:val="18"/>
          <w:highlight w:val="lightGray"/>
          <w:lang w:val="en-GB"/>
        </w:rPr>
        <w:t xml:space="preserve"> = </w:t>
      </w:r>
      <w:proofErr w:type="spellStart"/>
      <w:r w:rsidRPr="007A481E">
        <w:rPr>
          <w:sz w:val="18"/>
          <w:szCs w:val="18"/>
          <w:highlight w:val="lightGray"/>
          <w:lang w:val="en-GB"/>
        </w:rPr>
        <w:t>QgsFeature</w:t>
      </w:r>
      <w:proofErr w:type="spellEnd"/>
      <w:r w:rsidRPr="007A481E">
        <w:rPr>
          <w:sz w:val="18"/>
          <w:szCs w:val="18"/>
          <w:highlight w:val="lightGray"/>
          <w:lang w:val="en-GB"/>
        </w:rPr>
        <w:t>(fields)</w:t>
      </w:r>
    </w:p>
    <w:p w14:paraId="1D157F4D" w14:textId="77777777" w:rsidR="002A0713" w:rsidRPr="007A481E" w:rsidRDefault="002A0713" w:rsidP="002A0713">
      <w:pPr>
        <w:spacing w:after="0" w:line="240" w:lineRule="auto"/>
        <w:rPr>
          <w:sz w:val="18"/>
          <w:szCs w:val="18"/>
          <w:highlight w:val="lightGray"/>
          <w:lang w:val="en-GB"/>
        </w:rPr>
      </w:pPr>
      <w:r w:rsidRPr="007A481E">
        <w:rPr>
          <w:sz w:val="18"/>
          <w:szCs w:val="18"/>
          <w:highlight w:val="lightGray"/>
          <w:lang w:val="en-GB"/>
        </w:rPr>
        <w:t xml:space="preserve">        </w:t>
      </w:r>
      <w:proofErr w:type="spellStart"/>
      <w:r w:rsidRPr="007A481E">
        <w:rPr>
          <w:sz w:val="18"/>
          <w:szCs w:val="18"/>
          <w:highlight w:val="lightGray"/>
          <w:lang w:val="en-GB"/>
        </w:rPr>
        <w:t>donut_feature.setGeometry</w:t>
      </w:r>
      <w:proofErr w:type="spellEnd"/>
      <w:r w:rsidRPr="007A481E">
        <w:rPr>
          <w:sz w:val="18"/>
          <w:szCs w:val="18"/>
          <w:highlight w:val="lightGray"/>
          <w:lang w:val="en-GB"/>
        </w:rPr>
        <w:t>(</w:t>
      </w:r>
      <w:proofErr w:type="spellStart"/>
      <w:r w:rsidRPr="007A481E">
        <w:rPr>
          <w:sz w:val="18"/>
          <w:szCs w:val="18"/>
          <w:highlight w:val="lightGray"/>
          <w:lang w:val="en-GB"/>
        </w:rPr>
        <w:t>donut_geometry</w:t>
      </w:r>
      <w:proofErr w:type="spellEnd"/>
      <w:r w:rsidRPr="007A481E">
        <w:rPr>
          <w:sz w:val="18"/>
          <w:szCs w:val="18"/>
          <w:highlight w:val="lightGray"/>
          <w:lang w:val="en-GB"/>
        </w:rPr>
        <w:t>)</w:t>
      </w:r>
    </w:p>
    <w:p w14:paraId="5CC1622C" w14:textId="77777777" w:rsidR="002A0713" w:rsidRPr="007A481E" w:rsidRDefault="002A0713" w:rsidP="002A0713">
      <w:pPr>
        <w:spacing w:after="0" w:line="240" w:lineRule="auto"/>
        <w:rPr>
          <w:sz w:val="18"/>
          <w:szCs w:val="18"/>
          <w:highlight w:val="lightGray"/>
          <w:lang w:val="en-GB"/>
        </w:rPr>
      </w:pPr>
      <w:r w:rsidRPr="007A481E">
        <w:rPr>
          <w:sz w:val="18"/>
          <w:szCs w:val="18"/>
          <w:highlight w:val="lightGray"/>
          <w:lang w:val="en-GB"/>
        </w:rPr>
        <w:t xml:space="preserve">        </w:t>
      </w:r>
      <w:proofErr w:type="spellStart"/>
      <w:r w:rsidRPr="007A481E">
        <w:rPr>
          <w:sz w:val="18"/>
          <w:szCs w:val="18"/>
          <w:highlight w:val="lightGray"/>
          <w:lang w:val="en-GB"/>
        </w:rPr>
        <w:t>donut_feature.setAttributes</w:t>
      </w:r>
      <w:proofErr w:type="spellEnd"/>
      <w:r w:rsidRPr="007A481E">
        <w:rPr>
          <w:sz w:val="18"/>
          <w:szCs w:val="18"/>
          <w:highlight w:val="lightGray"/>
          <w:lang w:val="en-GB"/>
        </w:rPr>
        <w:t>(</w:t>
      </w:r>
      <w:proofErr w:type="spellStart"/>
      <w:r w:rsidRPr="007A481E">
        <w:rPr>
          <w:sz w:val="18"/>
          <w:szCs w:val="18"/>
          <w:highlight w:val="lightGray"/>
          <w:lang w:val="en-GB"/>
        </w:rPr>
        <w:t>feature.attributes</w:t>
      </w:r>
      <w:proofErr w:type="spellEnd"/>
      <w:r w:rsidRPr="007A481E">
        <w:rPr>
          <w:sz w:val="18"/>
          <w:szCs w:val="18"/>
          <w:highlight w:val="lightGray"/>
          <w:lang w:val="en-GB"/>
        </w:rPr>
        <w:t>())</w:t>
      </w:r>
    </w:p>
    <w:p w14:paraId="01E00A7B" w14:textId="77777777" w:rsidR="002A0713" w:rsidRPr="007A481E" w:rsidRDefault="002A0713" w:rsidP="002A0713">
      <w:pPr>
        <w:spacing w:after="0" w:line="240" w:lineRule="auto"/>
        <w:rPr>
          <w:sz w:val="18"/>
          <w:szCs w:val="18"/>
          <w:highlight w:val="lightGray"/>
          <w:lang w:val="en-GB"/>
        </w:rPr>
      </w:pPr>
      <w:r w:rsidRPr="007A481E">
        <w:rPr>
          <w:sz w:val="18"/>
          <w:szCs w:val="18"/>
          <w:highlight w:val="lightGray"/>
          <w:lang w:val="en-GB"/>
        </w:rPr>
        <w:t xml:space="preserve">        </w:t>
      </w:r>
      <w:proofErr w:type="spellStart"/>
      <w:r w:rsidRPr="007A481E">
        <w:rPr>
          <w:sz w:val="18"/>
          <w:szCs w:val="18"/>
          <w:highlight w:val="lightGray"/>
          <w:lang w:val="en-GB"/>
        </w:rPr>
        <w:t>provider.addFeature</w:t>
      </w:r>
      <w:proofErr w:type="spellEnd"/>
      <w:r w:rsidRPr="007A481E">
        <w:rPr>
          <w:sz w:val="18"/>
          <w:szCs w:val="18"/>
          <w:highlight w:val="lightGray"/>
          <w:lang w:val="en-GB"/>
        </w:rPr>
        <w:t>(</w:t>
      </w:r>
      <w:proofErr w:type="spellStart"/>
      <w:r w:rsidRPr="007A481E">
        <w:rPr>
          <w:sz w:val="18"/>
          <w:szCs w:val="18"/>
          <w:highlight w:val="lightGray"/>
          <w:lang w:val="en-GB"/>
        </w:rPr>
        <w:t>donut_feature</w:t>
      </w:r>
      <w:proofErr w:type="spellEnd"/>
      <w:r w:rsidRPr="007A481E">
        <w:rPr>
          <w:sz w:val="18"/>
          <w:szCs w:val="18"/>
          <w:highlight w:val="lightGray"/>
          <w:lang w:val="en-GB"/>
        </w:rPr>
        <w:t>)</w:t>
      </w:r>
    </w:p>
    <w:p w14:paraId="0AFEB1A8" w14:textId="77777777" w:rsidR="002A0713" w:rsidRPr="007A481E" w:rsidRDefault="002A0713" w:rsidP="002A0713">
      <w:pPr>
        <w:spacing w:after="0" w:line="240" w:lineRule="auto"/>
        <w:rPr>
          <w:sz w:val="18"/>
          <w:szCs w:val="18"/>
          <w:highlight w:val="lightGray"/>
          <w:lang w:val="en-GB"/>
        </w:rPr>
      </w:pPr>
    </w:p>
    <w:p w14:paraId="67F22A83" w14:textId="77777777" w:rsidR="002A0713" w:rsidRPr="007A481E" w:rsidRDefault="002A0713" w:rsidP="002A0713">
      <w:pPr>
        <w:spacing w:after="0" w:line="240" w:lineRule="auto"/>
        <w:rPr>
          <w:sz w:val="18"/>
          <w:szCs w:val="18"/>
          <w:highlight w:val="lightGray"/>
          <w:lang w:val="en-GB"/>
        </w:rPr>
      </w:pPr>
      <w:proofErr w:type="spellStart"/>
      <w:r w:rsidRPr="007A481E">
        <w:rPr>
          <w:sz w:val="18"/>
          <w:szCs w:val="18"/>
          <w:highlight w:val="lightGray"/>
          <w:lang w:val="en-GB"/>
        </w:rPr>
        <w:t>donut_layer.commitChanges</w:t>
      </w:r>
      <w:proofErr w:type="spellEnd"/>
      <w:r w:rsidRPr="007A481E">
        <w:rPr>
          <w:sz w:val="18"/>
          <w:szCs w:val="18"/>
          <w:highlight w:val="lightGray"/>
          <w:lang w:val="en-GB"/>
        </w:rPr>
        <w:t>()</w:t>
      </w:r>
    </w:p>
    <w:p w14:paraId="5055C210" w14:textId="77777777" w:rsidR="002A0713" w:rsidRPr="007A481E" w:rsidRDefault="002A0713" w:rsidP="002A0713">
      <w:pPr>
        <w:spacing w:after="0" w:line="240" w:lineRule="auto"/>
        <w:rPr>
          <w:sz w:val="18"/>
          <w:szCs w:val="18"/>
          <w:highlight w:val="lightGray"/>
          <w:lang w:val="en-GB"/>
        </w:rPr>
      </w:pPr>
    </w:p>
    <w:p w14:paraId="0502D29B" w14:textId="77777777" w:rsidR="002A0713" w:rsidRPr="007A481E" w:rsidRDefault="002A0713" w:rsidP="002A0713">
      <w:pPr>
        <w:spacing w:after="0" w:line="240" w:lineRule="auto"/>
        <w:rPr>
          <w:sz w:val="18"/>
          <w:szCs w:val="18"/>
          <w:highlight w:val="lightGray"/>
          <w:lang w:val="en-GB"/>
        </w:rPr>
      </w:pPr>
      <w:r w:rsidRPr="007A481E">
        <w:rPr>
          <w:sz w:val="18"/>
          <w:szCs w:val="18"/>
          <w:highlight w:val="lightGray"/>
          <w:lang w:val="en-GB"/>
        </w:rPr>
        <w:t># Add the donut layer to the map</w:t>
      </w:r>
    </w:p>
    <w:p w14:paraId="58564246" w14:textId="77777777" w:rsidR="002A0713" w:rsidRPr="007A481E" w:rsidRDefault="002A0713" w:rsidP="002A0713">
      <w:pPr>
        <w:spacing w:after="0" w:line="240" w:lineRule="auto"/>
        <w:rPr>
          <w:sz w:val="18"/>
          <w:szCs w:val="18"/>
          <w:lang w:val="en-GB"/>
        </w:rPr>
      </w:pPr>
      <w:proofErr w:type="spellStart"/>
      <w:r w:rsidRPr="007A481E">
        <w:rPr>
          <w:sz w:val="18"/>
          <w:szCs w:val="18"/>
          <w:highlight w:val="lightGray"/>
          <w:lang w:val="en-GB"/>
        </w:rPr>
        <w:t>QgsProject.instance</w:t>
      </w:r>
      <w:proofErr w:type="spellEnd"/>
      <w:r w:rsidRPr="007A481E">
        <w:rPr>
          <w:sz w:val="18"/>
          <w:szCs w:val="18"/>
          <w:highlight w:val="lightGray"/>
          <w:lang w:val="en-GB"/>
        </w:rPr>
        <w:t>().</w:t>
      </w:r>
      <w:proofErr w:type="spellStart"/>
      <w:r w:rsidRPr="007A481E">
        <w:rPr>
          <w:sz w:val="18"/>
          <w:szCs w:val="18"/>
          <w:highlight w:val="lightGray"/>
          <w:lang w:val="en-GB"/>
        </w:rPr>
        <w:t>addMapLayer</w:t>
      </w:r>
      <w:proofErr w:type="spellEnd"/>
      <w:r w:rsidRPr="007A481E">
        <w:rPr>
          <w:sz w:val="18"/>
          <w:szCs w:val="18"/>
          <w:highlight w:val="lightGray"/>
          <w:lang w:val="en-GB"/>
        </w:rPr>
        <w:t>(</w:t>
      </w:r>
      <w:proofErr w:type="spellStart"/>
      <w:r w:rsidRPr="007A481E">
        <w:rPr>
          <w:sz w:val="18"/>
          <w:szCs w:val="18"/>
          <w:highlight w:val="lightGray"/>
          <w:lang w:val="en-GB"/>
        </w:rPr>
        <w:t>donut_layer</w:t>
      </w:r>
      <w:proofErr w:type="spellEnd"/>
      <w:r w:rsidRPr="007A481E">
        <w:rPr>
          <w:sz w:val="18"/>
          <w:szCs w:val="18"/>
          <w:highlight w:val="lightGray"/>
          <w:lang w:val="en-GB"/>
        </w:rPr>
        <w:t>)</w:t>
      </w:r>
    </w:p>
    <w:p w14:paraId="00395997" w14:textId="77777777" w:rsidR="002A0713" w:rsidRPr="007A481E" w:rsidRDefault="002A0713" w:rsidP="002A0713">
      <w:pPr>
        <w:rPr>
          <w:lang w:val="en-GB"/>
        </w:rPr>
      </w:pPr>
    </w:p>
    <w:p w14:paraId="070313EC" w14:textId="10D02BFC" w:rsidR="00B22BE8" w:rsidRPr="00B22BE8" w:rsidRDefault="00B22BE8" w:rsidP="00B22BE8">
      <w:pPr>
        <w:rPr>
          <w:b/>
          <w:bCs/>
          <w:i/>
          <w:iCs/>
          <w:lang w:val="en-GB"/>
        </w:rPr>
      </w:pPr>
      <w:r w:rsidRPr="007A481E">
        <w:rPr>
          <w:b/>
          <w:bCs/>
          <w:i/>
          <w:iCs/>
          <w:lang w:val="en-GB"/>
        </w:rPr>
        <w:t>A</w:t>
      </w:r>
      <w:r w:rsidRPr="00B22BE8">
        <w:rPr>
          <w:b/>
          <w:bCs/>
          <w:i/>
          <w:iCs/>
          <w:lang w:val="en-GB"/>
        </w:rPr>
        <w:t>1.2 Food environment indicators</w:t>
      </w:r>
    </w:p>
    <w:p w14:paraId="1C200BC5" w14:textId="77777777" w:rsidR="00B22BE8" w:rsidRPr="007A481E" w:rsidRDefault="00B22BE8" w:rsidP="00B22BE8">
      <w:pPr>
        <w:rPr>
          <w:lang w:val="en-GB"/>
        </w:rPr>
      </w:pPr>
      <w:r w:rsidRPr="00B22BE8">
        <w:rPr>
          <w:lang w:val="en-GB"/>
        </w:rPr>
        <w:t xml:space="preserve">Food environment data, published in 2019, were obtained from </w:t>
      </w:r>
      <w:proofErr w:type="spellStart"/>
      <w:r w:rsidRPr="00B22BE8">
        <w:rPr>
          <w:lang w:val="en-GB"/>
        </w:rPr>
        <w:t>Locatus</w:t>
      </w:r>
      <w:proofErr w:type="spellEnd"/>
      <w:r w:rsidRPr="00B22BE8">
        <w:rPr>
          <w:lang w:val="en-GB"/>
        </w:rPr>
        <w:t>, a company that collects information on business locations through regular field audits [20]. Food retailers were classified following previous examples [21]:</w:t>
      </w:r>
    </w:p>
    <w:p w14:paraId="6A20BAB0" w14:textId="77777777" w:rsidR="00B22BE8" w:rsidRPr="00B22BE8" w:rsidRDefault="00B22BE8" w:rsidP="00B22BE8">
      <w:pPr>
        <w:numPr>
          <w:ilvl w:val="0"/>
          <w:numId w:val="7"/>
        </w:numPr>
        <w:rPr>
          <w:lang w:val="en-GB"/>
        </w:rPr>
      </w:pPr>
      <w:r w:rsidRPr="00B22BE8">
        <w:rPr>
          <w:b/>
          <w:bCs/>
          <w:lang w:val="en-GB"/>
        </w:rPr>
        <w:t xml:space="preserve">Core food retailers </w:t>
      </w:r>
      <w:r w:rsidRPr="00B22BE8">
        <w:rPr>
          <w:lang w:val="en-GB"/>
        </w:rPr>
        <w:t>(healthier options): vegetable/fruit shops, nut shops, organic shops, fish shops, oriental supermarkets, supermarkets, and mini-supermarkets.</w:t>
      </w:r>
    </w:p>
    <w:p w14:paraId="04A6EAF3" w14:textId="77777777" w:rsidR="00B22BE8" w:rsidRPr="00B22BE8" w:rsidRDefault="00B22BE8" w:rsidP="00B22BE8">
      <w:pPr>
        <w:numPr>
          <w:ilvl w:val="0"/>
          <w:numId w:val="7"/>
        </w:numPr>
        <w:rPr>
          <w:lang w:val="en-GB"/>
        </w:rPr>
      </w:pPr>
      <w:r w:rsidRPr="00B22BE8">
        <w:rPr>
          <w:b/>
          <w:bCs/>
          <w:lang w:val="en-GB"/>
        </w:rPr>
        <w:t xml:space="preserve">Non-core food retailers </w:t>
      </w:r>
      <w:r w:rsidRPr="00B22BE8">
        <w:rPr>
          <w:lang w:val="en-GB"/>
        </w:rPr>
        <w:t>(less healthy options): fast food outlets, delivery/take-away outlets, grillrooms/kebab shops, ice cream shops, sweet shops, chocolate shops, cake/muffin shops, pancake shops, crêpe/donut shops, and flan shops ("</w:t>
      </w:r>
      <w:proofErr w:type="spellStart"/>
      <w:r w:rsidRPr="00B22BE8">
        <w:rPr>
          <w:lang w:val="en-GB"/>
        </w:rPr>
        <w:t>vlaaien</w:t>
      </w:r>
      <w:proofErr w:type="spellEnd"/>
      <w:r w:rsidRPr="00B22BE8">
        <w:rPr>
          <w:lang w:val="en-GB"/>
        </w:rPr>
        <w:t>").</w:t>
      </w:r>
    </w:p>
    <w:p w14:paraId="3D6FBCB9" w14:textId="77777777" w:rsidR="002A0713" w:rsidRPr="007A481E" w:rsidRDefault="002A0713" w:rsidP="002A0713">
      <w:pPr>
        <w:rPr>
          <w:lang w:val="en-GB"/>
        </w:rPr>
      </w:pPr>
    </w:p>
    <w:p w14:paraId="7C0F0F0D" w14:textId="77777777" w:rsidR="00B22BE8" w:rsidRPr="00B22BE8" w:rsidRDefault="00B22BE8" w:rsidP="00B22BE8">
      <w:pPr>
        <w:rPr>
          <w:b/>
          <w:bCs/>
          <w:lang w:val="en-GB"/>
        </w:rPr>
      </w:pPr>
      <w:r w:rsidRPr="00B22BE8">
        <w:rPr>
          <w:b/>
          <w:bCs/>
          <w:lang w:val="en-GB"/>
        </w:rPr>
        <w:t>Absolute measures</w:t>
      </w:r>
    </w:p>
    <w:p w14:paraId="68C15CEE" w14:textId="1ACADE36" w:rsidR="00B22BE8" w:rsidRPr="00B22BE8" w:rsidRDefault="00B22BE8" w:rsidP="00B22BE8">
      <w:pPr>
        <w:rPr>
          <w:lang w:val="en-GB"/>
        </w:rPr>
      </w:pPr>
      <w:r w:rsidRPr="00B22BE8">
        <w:rPr>
          <w:b/>
          <w:bCs/>
          <w:lang w:val="en-GB"/>
        </w:rPr>
        <w:t>Density of core and non-core food retailers</w:t>
      </w:r>
      <w:r w:rsidRPr="007A481E">
        <w:rPr>
          <w:b/>
          <w:bCs/>
          <w:lang w:val="en-GB"/>
        </w:rPr>
        <w:t>:</w:t>
      </w:r>
      <w:r w:rsidRPr="00B22BE8">
        <w:rPr>
          <w:lang w:val="en-GB"/>
        </w:rPr>
        <w:t xml:space="preserve"> Count of retailers within each buffer zone, calculated using the ‘count points in polygons’ function in QGIS.</w:t>
      </w:r>
    </w:p>
    <w:p w14:paraId="5D17165D" w14:textId="087DFCF3" w:rsidR="00B22BE8" w:rsidRPr="00B22BE8" w:rsidRDefault="00B22BE8" w:rsidP="00B22BE8">
      <w:pPr>
        <w:rPr>
          <w:lang w:val="en-GB"/>
        </w:rPr>
      </w:pPr>
      <w:r w:rsidRPr="00B22BE8">
        <w:rPr>
          <w:b/>
          <w:bCs/>
          <w:lang w:val="en-GB"/>
        </w:rPr>
        <w:t>Food Environment Healthiness Index (FEHI) score</w:t>
      </w:r>
      <w:r w:rsidRPr="007A481E">
        <w:rPr>
          <w:b/>
          <w:bCs/>
          <w:lang w:val="en-GB"/>
        </w:rPr>
        <w:t>:</w:t>
      </w:r>
      <w:r w:rsidRPr="00B22BE8">
        <w:rPr>
          <w:lang w:val="en-GB"/>
        </w:rPr>
        <w:t xml:space="preserve"> The FEHI, developed by Poelman et al. [21] using a Delphi procedure, assigns a health score ranging from −5 (more unhealthy) to +5 (more healthy) to individual food retailers in the </w:t>
      </w:r>
      <w:proofErr w:type="spellStart"/>
      <w:r w:rsidRPr="00B22BE8">
        <w:rPr>
          <w:lang w:val="en-GB"/>
        </w:rPr>
        <w:t>Locatus</w:t>
      </w:r>
      <w:proofErr w:type="spellEnd"/>
      <w:r w:rsidRPr="00B22BE8">
        <w:rPr>
          <w:lang w:val="en-GB"/>
        </w:rPr>
        <w:t xml:space="preserve"> database, accounting for variation in healthiness within the core and non-core categories. The FEHI score within each buffer was calculated as the sum of individual retailer FEHI scores, using ‘count points in polygons’ with the FEHI score as weight field. </w:t>
      </w:r>
    </w:p>
    <w:p w14:paraId="59C1C9F2" w14:textId="77777777" w:rsidR="00B22BE8" w:rsidRPr="00B22BE8" w:rsidRDefault="00B22BE8" w:rsidP="00B22BE8">
      <w:pPr>
        <w:rPr>
          <w:lang w:val="en-GB"/>
        </w:rPr>
      </w:pPr>
      <w:r w:rsidRPr="00B22BE8">
        <w:rPr>
          <w:b/>
          <w:bCs/>
          <w:lang w:val="en-GB"/>
        </w:rPr>
        <w:t>Spatial accessibility to core and non-core retailers</w:t>
      </w:r>
      <w:r w:rsidRPr="00B22BE8">
        <w:rPr>
          <w:lang w:val="en-GB"/>
        </w:rPr>
        <w:t>. Sum of inverse Euclidean distances to all core (or non-core) retailers within the buffer. This measure accounts for the fact that retailers closer to home may exert greater influence than those farther away within the buffer zone. The calculation was performed using the QGIS field calculator:</w:t>
      </w:r>
    </w:p>
    <w:p w14:paraId="08A8988A" w14:textId="77777777" w:rsidR="00B22BE8" w:rsidRPr="007A481E" w:rsidRDefault="00B22BE8" w:rsidP="00B2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alibri" w:eastAsia="Times New Roman" w:hAnsi="Calibri" w:cs="Calibri"/>
          <w:color w:val="0C0D0E"/>
          <w:kern w:val="0"/>
          <w:bdr w:val="none" w:sz="0" w:space="0" w:color="auto" w:frame="1"/>
          <w:lang w:val="en-GB" w:eastAsia="nl-NL"/>
          <w14:ligatures w14:val="none"/>
        </w:rPr>
      </w:pPr>
      <w:proofErr w:type="spellStart"/>
      <w:r w:rsidRPr="007A481E">
        <w:rPr>
          <w:rFonts w:ascii="Calibri" w:eastAsia="Times New Roman" w:hAnsi="Calibri" w:cs="Calibri"/>
          <w:color w:val="0C0D0E"/>
          <w:kern w:val="0"/>
          <w:bdr w:val="none" w:sz="0" w:space="0" w:color="auto" w:frame="1"/>
          <w:lang w:val="en-GB" w:eastAsia="nl-NL"/>
          <w14:ligatures w14:val="none"/>
        </w:rPr>
        <w:t>array_sum</w:t>
      </w:r>
      <w:proofErr w:type="spellEnd"/>
      <w:r w:rsidRPr="007A481E">
        <w:rPr>
          <w:rFonts w:ascii="Calibri" w:eastAsia="Times New Roman" w:hAnsi="Calibri" w:cs="Calibri"/>
          <w:color w:val="0C0D0E"/>
          <w:kern w:val="0"/>
          <w:bdr w:val="none" w:sz="0" w:space="0" w:color="auto" w:frame="1"/>
          <w:lang w:val="en-GB" w:eastAsia="nl-NL"/>
          <w14:ligatures w14:val="none"/>
        </w:rPr>
        <w:t>(</w:t>
      </w:r>
    </w:p>
    <w:p w14:paraId="46F0AA51" w14:textId="77777777" w:rsidR="00B22BE8" w:rsidRPr="007A481E" w:rsidRDefault="00B22BE8" w:rsidP="00B2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alibri" w:eastAsia="Times New Roman" w:hAnsi="Calibri" w:cs="Calibri"/>
          <w:color w:val="0C0D0E"/>
          <w:kern w:val="0"/>
          <w:bdr w:val="none" w:sz="0" w:space="0" w:color="auto" w:frame="1"/>
          <w:lang w:val="en-GB" w:eastAsia="nl-NL"/>
          <w14:ligatures w14:val="none"/>
        </w:rPr>
      </w:pPr>
      <w:r w:rsidRPr="007A481E">
        <w:rPr>
          <w:rFonts w:ascii="Calibri" w:eastAsia="Times New Roman" w:hAnsi="Calibri" w:cs="Calibri"/>
          <w:color w:val="0C0D0E"/>
          <w:kern w:val="0"/>
          <w:bdr w:val="none" w:sz="0" w:space="0" w:color="auto" w:frame="1"/>
          <w:lang w:val="en-GB" w:eastAsia="nl-NL"/>
          <w14:ligatures w14:val="none"/>
        </w:rPr>
        <w:t xml:space="preserve">    </w:t>
      </w:r>
      <w:proofErr w:type="spellStart"/>
      <w:r w:rsidRPr="007A481E">
        <w:rPr>
          <w:rFonts w:ascii="Calibri" w:eastAsia="Times New Roman" w:hAnsi="Calibri" w:cs="Calibri"/>
          <w:color w:val="0C0D0E"/>
          <w:kern w:val="0"/>
          <w:bdr w:val="none" w:sz="0" w:space="0" w:color="auto" w:frame="1"/>
          <w:lang w:val="en-GB" w:eastAsia="nl-NL"/>
          <w14:ligatures w14:val="none"/>
        </w:rPr>
        <w:t>array_foreach</w:t>
      </w:r>
      <w:proofErr w:type="spellEnd"/>
      <w:r w:rsidRPr="007A481E">
        <w:rPr>
          <w:rFonts w:ascii="Calibri" w:eastAsia="Times New Roman" w:hAnsi="Calibri" w:cs="Calibri"/>
          <w:color w:val="0C0D0E"/>
          <w:kern w:val="0"/>
          <w:bdr w:val="none" w:sz="0" w:space="0" w:color="auto" w:frame="1"/>
          <w:lang w:val="en-GB" w:eastAsia="nl-NL"/>
          <w14:ligatures w14:val="none"/>
        </w:rPr>
        <w:t xml:space="preserve"> (</w:t>
      </w:r>
    </w:p>
    <w:p w14:paraId="19C2CA82" w14:textId="77777777" w:rsidR="00B22BE8" w:rsidRPr="007A481E" w:rsidRDefault="00B22BE8" w:rsidP="00B2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alibri" w:eastAsia="Times New Roman" w:hAnsi="Calibri" w:cs="Calibri"/>
          <w:color w:val="0C0D0E"/>
          <w:kern w:val="0"/>
          <w:bdr w:val="none" w:sz="0" w:space="0" w:color="auto" w:frame="1"/>
          <w:lang w:val="en-GB" w:eastAsia="nl-NL"/>
          <w14:ligatures w14:val="none"/>
        </w:rPr>
      </w:pPr>
      <w:r w:rsidRPr="007A481E">
        <w:rPr>
          <w:rFonts w:ascii="Calibri" w:eastAsia="Times New Roman" w:hAnsi="Calibri" w:cs="Calibri"/>
          <w:color w:val="0C0D0E"/>
          <w:kern w:val="0"/>
          <w:bdr w:val="none" w:sz="0" w:space="0" w:color="auto" w:frame="1"/>
          <w:lang w:val="en-GB" w:eastAsia="nl-NL"/>
          <w14:ligatures w14:val="none"/>
        </w:rPr>
        <w:t xml:space="preserve">        </w:t>
      </w:r>
      <w:proofErr w:type="spellStart"/>
      <w:r w:rsidRPr="007A481E">
        <w:rPr>
          <w:rFonts w:ascii="Calibri" w:eastAsia="Times New Roman" w:hAnsi="Calibri" w:cs="Calibri"/>
          <w:color w:val="0C0D0E"/>
          <w:kern w:val="0"/>
          <w:bdr w:val="none" w:sz="0" w:space="0" w:color="auto" w:frame="1"/>
          <w:lang w:val="en-GB" w:eastAsia="nl-NL"/>
          <w14:ligatures w14:val="none"/>
        </w:rPr>
        <w:t>overlay_nearest</w:t>
      </w:r>
      <w:proofErr w:type="spellEnd"/>
      <w:r w:rsidRPr="007A481E">
        <w:rPr>
          <w:rFonts w:ascii="Calibri" w:eastAsia="Times New Roman" w:hAnsi="Calibri" w:cs="Calibri"/>
          <w:color w:val="0C0D0E"/>
          <w:kern w:val="0"/>
          <w:bdr w:val="none" w:sz="0" w:space="0" w:color="auto" w:frame="1"/>
          <w:lang w:val="en-GB" w:eastAsia="nl-NL"/>
          <w14:ligatures w14:val="none"/>
        </w:rPr>
        <w:t xml:space="preserve"> ('</w:t>
      </w:r>
      <w:proofErr w:type="spellStart"/>
      <w:r w:rsidRPr="007A481E">
        <w:rPr>
          <w:rFonts w:ascii="Calibri" w:eastAsia="Times New Roman" w:hAnsi="Calibri" w:cs="Calibri"/>
          <w:color w:val="0C0D0E"/>
          <w:kern w:val="0"/>
          <w:bdr w:val="none" w:sz="0" w:space="0" w:color="auto" w:frame="1"/>
          <w:lang w:val="en-GB" w:eastAsia="nl-NL"/>
          <w14:ligatures w14:val="none"/>
        </w:rPr>
        <w:t>restaurant_layer</w:t>
      </w:r>
      <w:proofErr w:type="spellEnd"/>
      <w:r w:rsidRPr="007A481E">
        <w:rPr>
          <w:rFonts w:ascii="Calibri" w:eastAsia="Times New Roman" w:hAnsi="Calibri" w:cs="Calibri"/>
          <w:color w:val="0C0D0E"/>
          <w:kern w:val="0"/>
          <w:bdr w:val="none" w:sz="0" w:space="0" w:color="auto" w:frame="1"/>
          <w:lang w:val="en-GB" w:eastAsia="nl-NL"/>
          <w14:ligatures w14:val="none"/>
        </w:rPr>
        <w:t xml:space="preserve">', $geometry, </w:t>
      </w:r>
      <w:proofErr w:type="spellStart"/>
      <w:r w:rsidRPr="007A481E">
        <w:rPr>
          <w:rFonts w:ascii="Calibri" w:eastAsia="Times New Roman" w:hAnsi="Calibri" w:cs="Calibri"/>
          <w:color w:val="0C0D0E"/>
          <w:kern w:val="0"/>
          <w:bdr w:val="none" w:sz="0" w:space="0" w:color="auto" w:frame="1"/>
          <w:lang w:val="en-GB" w:eastAsia="nl-NL"/>
          <w14:ligatures w14:val="none"/>
        </w:rPr>
        <w:t>max_distance</w:t>
      </w:r>
      <w:proofErr w:type="spellEnd"/>
      <w:r w:rsidRPr="007A481E">
        <w:rPr>
          <w:rFonts w:ascii="Calibri" w:eastAsia="Times New Roman" w:hAnsi="Calibri" w:cs="Calibri"/>
          <w:color w:val="0C0D0E"/>
          <w:kern w:val="0"/>
          <w:bdr w:val="none" w:sz="0" w:space="0" w:color="auto" w:frame="1"/>
          <w:lang w:val="en-GB" w:eastAsia="nl-NL"/>
          <w14:ligatures w14:val="none"/>
        </w:rPr>
        <w:t xml:space="preserve">:=(insert </w:t>
      </w:r>
      <w:proofErr w:type="spellStart"/>
      <w:r w:rsidRPr="007A481E">
        <w:rPr>
          <w:rFonts w:ascii="Calibri" w:eastAsia="Times New Roman" w:hAnsi="Calibri" w:cs="Calibri"/>
          <w:color w:val="0C0D0E"/>
          <w:kern w:val="0"/>
          <w:bdr w:val="none" w:sz="0" w:space="0" w:color="auto" w:frame="1"/>
          <w:lang w:val="en-GB" w:eastAsia="nl-NL"/>
          <w14:ligatures w14:val="none"/>
        </w:rPr>
        <w:t>buffersize</w:t>
      </w:r>
      <w:proofErr w:type="spellEnd"/>
      <w:r w:rsidRPr="007A481E">
        <w:rPr>
          <w:rFonts w:ascii="Calibri" w:eastAsia="Times New Roman" w:hAnsi="Calibri" w:cs="Calibri"/>
          <w:color w:val="0C0D0E"/>
          <w:kern w:val="0"/>
          <w:bdr w:val="none" w:sz="0" w:space="0" w:color="auto" w:frame="1"/>
          <w:lang w:val="en-GB" w:eastAsia="nl-NL"/>
          <w14:ligatures w14:val="none"/>
        </w:rPr>
        <w:t>, e.g. 300m or 1000m), limit:=-1),</w:t>
      </w:r>
    </w:p>
    <w:p w14:paraId="60DF91F9" w14:textId="77777777" w:rsidR="00B22BE8" w:rsidRPr="007A481E" w:rsidRDefault="00B22BE8" w:rsidP="00B2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alibri" w:eastAsia="Times New Roman" w:hAnsi="Calibri" w:cs="Calibri"/>
          <w:color w:val="0C0D0E"/>
          <w:kern w:val="0"/>
          <w:bdr w:val="none" w:sz="0" w:space="0" w:color="auto" w:frame="1"/>
          <w:lang w:val="en-GB" w:eastAsia="nl-NL"/>
          <w14:ligatures w14:val="none"/>
        </w:rPr>
      </w:pPr>
      <w:r w:rsidRPr="007A481E">
        <w:rPr>
          <w:rFonts w:ascii="Calibri" w:eastAsia="Times New Roman" w:hAnsi="Calibri" w:cs="Calibri"/>
          <w:color w:val="0C0D0E"/>
          <w:kern w:val="0"/>
          <w:bdr w:val="none" w:sz="0" w:space="0" w:color="auto" w:frame="1"/>
          <w:lang w:val="en-GB" w:eastAsia="nl-NL"/>
          <w14:ligatures w14:val="none"/>
        </w:rPr>
        <w:t xml:space="preserve">        1 / distance ($geometry, @element)</w:t>
      </w:r>
    </w:p>
    <w:p w14:paraId="7BEFF8DC" w14:textId="77777777" w:rsidR="00B22BE8" w:rsidRPr="007A481E" w:rsidRDefault="00B22BE8" w:rsidP="00B2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alibri" w:eastAsia="Times New Roman" w:hAnsi="Calibri" w:cs="Calibri"/>
          <w:color w:val="0C0D0E"/>
          <w:kern w:val="0"/>
          <w:bdr w:val="none" w:sz="0" w:space="0" w:color="auto" w:frame="1"/>
          <w:lang w:val="en-GB" w:eastAsia="nl-NL"/>
          <w14:ligatures w14:val="none"/>
        </w:rPr>
      </w:pPr>
      <w:r w:rsidRPr="007A481E">
        <w:rPr>
          <w:rFonts w:ascii="Calibri" w:eastAsia="Times New Roman" w:hAnsi="Calibri" w:cs="Calibri"/>
          <w:color w:val="0C0D0E"/>
          <w:kern w:val="0"/>
          <w:bdr w:val="none" w:sz="0" w:space="0" w:color="auto" w:frame="1"/>
          <w:lang w:val="en-GB" w:eastAsia="nl-NL"/>
          <w14:ligatures w14:val="none"/>
        </w:rPr>
        <w:t xml:space="preserve">    )</w:t>
      </w:r>
    </w:p>
    <w:p w14:paraId="402B1658" w14:textId="77777777" w:rsidR="00B22BE8" w:rsidRPr="007A481E" w:rsidRDefault="00B22BE8" w:rsidP="00B2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alibri" w:eastAsia="Times New Roman" w:hAnsi="Calibri" w:cs="Calibri"/>
          <w:color w:val="0C0D0E"/>
          <w:kern w:val="0"/>
          <w:bdr w:val="none" w:sz="0" w:space="0" w:color="auto" w:frame="1"/>
          <w:lang w:val="en-GB" w:eastAsia="nl-NL"/>
          <w14:ligatures w14:val="none"/>
        </w:rPr>
      </w:pPr>
      <w:r w:rsidRPr="007A481E">
        <w:rPr>
          <w:rFonts w:ascii="Calibri" w:eastAsia="Times New Roman" w:hAnsi="Calibri" w:cs="Calibri"/>
          <w:color w:val="0C0D0E"/>
          <w:kern w:val="0"/>
          <w:bdr w:val="none" w:sz="0" w:space="0" w:color="auto" w:frame="1"/>
          <w:lang w:val="en-GB" w:eastAsia="nl-NL"/>
          <w14:ligatures w14:val="none"/>
        </w:rPr>
        <w:t>)</w:t>
      </w:r>
    </w:p>
    <w:p w14:paraId="08142573" w14:textId="77777777" w:rsidR="00195955" w:rsidRPr="00195955" w:rsidRDefault="00195955" w:rsidP="00195955">
      <w:pPr>
        <w:rPr>
          <w:b/>
          <w:bCs/>
          <w:lang w:val="en-GB"/>
        </w:rPr>
      </w:pPr>
      <w:r w:rsidRPr="00195955">
        <w:rPr>
          <w:b/>
          <w:bCs/>
          <w:lang w:val="en-GB"/>
        </w:rPr>
        <w:t>Relative measures</w:t>
      </w:r>
    </w:p>
    <w:p w14:paraId="07ED5BC3" w14:textId="261270D4" w:rsidR="00195955" w:rsidRPr="00195955" w:rsidRDefault="00195955" w:rsidP="00195955">
      <w:pPr>
        <w:rPr>
          <w:b/>
          <w:bCs/>
          <w:lang w:val="en-GB"/>
        </w:rPr>
      </w:pPr>
      <w:r w:rsidRPr="00195955">
        <w:rPr>
          <w:b/>
          <w:bCs/>
          <w:lang w:val="en-GB"/>
        </w:rPr>
        <w:lastRenderedPageBreak/>
        <w:t>Modified Retail Food Environment Index (MRFEI) [22, 23]</w:t>
      </w:r>
      <w:r w:rsidRPr="007A481E">
        <w:rPr>
          <w:b/>
          <w:bCs/>
          <w:lang w:val="en-GB"/>
        </w:rPr>
        <w:t>:</w:t>
      </w:r>
      <w:r w:rsidRPr="00195955">
        <w:rPr>
          <w:b/>
          <w:bCs/>
          <w:lang w:val="en-GB"/>
        </w:rPr>
        <w:t xml:space="preserve"> </w:t>
      </w:r>
      <w:r w:rsidRPr="00195955">
        <w:rPr>
          <w:lang w:val="en-GB"/>
        </w:rPr>
        <w:t>Percentage of core food retailers out of all food retailers within the buffer, calculated as:</w:t>
      </w:r>
    </w:p>
    <w:p w14:paraId="52CC92EF" w14:textId="15FD5FF2" w:rsidR="002A0713" w:rsidRPr="007A481E" w:rsidRDefault="00195955" w:rsidP="002A0713">
      <w:pPr>
        <w:rPr>
          <w:b/>
          <w:bCs/>
          <w:lang w:val="en-GB"/>
        </w:rPr>
      </w:pPr>
      <w:r w:rsidRPr="007A481E">
        <w:rPr>
          <w:noProof/>
          <w:lang w:val="en-GB"/>
        </w:rPr>
        <w:drawing>
          <wp:inline distT="0" distB="0" distL="0" distR="0" wp14:anchorId="34568AE0" wp14:editId="771A838C">
            <wp:extent cx="3295819" cy="438173"/>
            <wp:effectExtent l="0" t="0" r="0" b="0"/>
            <wp:docPr id="1033248074" name="Afbeelding 1033248074" descr="Afbeelding met tekst, Lettertype, lijn,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Lettertype, lijn, schermopname&#10;&#10;Door AI gegenereerde inhoud is mogelijk onjuist."/>
                    <pic:cNvPicPr/>
                  </pic:nvPicPr>
                  <pic:blipFill>
                    <a:blip r:embed="rId5"/>
                    <a:stretch>
                      <a:fillRect/>
                    </a:stretch>
                  </pic:blipFill>
                  <pic:spPr>
                    <a:xfrm>
                      <a:off x="0" y="0"/>
                      <a:ext cx="3295819" cy="438173"/>
                    </a:xfrm>
                    <a:prstGeom prst="rect">
                      <a:avLst/>
                    </a:prstGeom>
                  </pic:spPr>
                </pic:pic>
              </a:graphicData>
            </a:graphic>
          </wp:inline>
        </w:drawing>
      </w:r>
    </w:p>
    <w:p w14:paraId="3C115484" w14:textId="77777777" w:rsidR="00195955" w:rsidRPr="007A481E" w:rsidRDefault="00195955" w:rsidP="00195955">
      <w:pPr>
        <w:rPr>
          <w:lang w:val="en-GB"/>
        </w:rPr>
      </w:pPr>
      <w:r w:rsidRPr="007A481E">
        <w:rPr>
          <w:lang w:val="en-GB"/>
        </w:rPr>
        <w:t>A score of one was added to the number of healthy and unhealthy food retailers to avoid division by zero. A higher percentage means a higher proportion of healthy food outlets compared to less healthy options.</w:t>
      </w:r>
    </w:p>
    <w:p w14:paraId="3A959D76" w14:textId="072A1C98" w:rsidR="00195955" w:rsidRPr="00195955" w:rsidRDefault="00195955" w:rsidP="00195955">
      <w:pPr>
        <w:rPr>
          <w:b/>
          <w:bCs/>
          <w:lang w:val="en-GB"/>
        </w:rPr>
      </w:pPr>
      <w:r w:rsidRPr="00195955">
        <w:rPr>
          <w:b/>
          <w:bCs/>
          <w:lang w:val="en-GB"/>
        </w:rPr>
        <w:t>Relative spatial accessibility</w:t>
      </w:r>
      <w:r w:rsidRPr="007A481E">
        <w:rPr>
          <w:b/>
          <w:bCs/>
          <w:lang w:val="en-GB"/>
        </w:rPr>
        <w:t>:</w:t>
      </w:r>
      <w:r w:rsidRPr="00195955">
        <w:rPr>
          <w:b/>
          <w:bCs/>
          <w:lang w:val="en-GB"/>
        </w:rPr>
        <w:t xml:space="preserve"> </w:t>
      </w:r>
      <w:r w:rsidRPr="00195955">
        <w:rPr>
          <w:lang w:val="en-GB"/>
        </w:rPr>
        <w:t>Ratio of spatial access to core food retailers out of spatial access to all food retailers, calculated as:</w:t>
      </w:r>
    </w:p>
    <w:p w14:paraId="154EED58" w14:textId="47BD744C" w:rsidR="00195955" w:rsidRPr="007A481E" w:rsidRDefault="00195955" w:rsidP="002A0713">
      <w:pPr>
        <w:rPr>
          <w:b/>
          <w:bCs/>
          <w:lang w:val="en-GB"/>
        </w:rPr>
      </w:pPr>
      <w:r w:rsidRPr="007A481E">
        <w:rPr>
          <w:noProof/>
          <w:lang w:val="en-GB"/>
        </w:rPr>
        <w:drawing>
          <wp:inline distT="0" distB="0" distL="0" distR="0" wp14:anchorId="4A23699E" wp14:editId="4B979C5A">
            <wp:extent cx="2978303" cy="368319"/>
            <wp:effectExtent l="0" t="0" r="0" b="0"/>
            <wp:docPr id="1444947563" name="Afbeelding 1444947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78303" cy="368319"/>
                    </a:xfrm>
                    <a:prstGeom prst="rect">
                      <a:avLst/>
                    </a:prstGeom>
                  </pic:spPr>
                </pic:pic>
              </a:graphicData>
            </a:graphic>
          </wp:inline>
        </w:drawing>
      </w:r>
    </w:p>
    <w:p w14:paraId="2544DD7F" w14:textId="77777777" w:rsidR="00195955" w:rsidRPr="00195955" w:rsidRDefault="00195955" w:rsidP="00195955">
      <w:pPr>
        <w:rPr>
          <w:lang w:val="en-GB"/>
        </w:rPr>
      </w:pPr>
      <w:r w:rsidRPr="00195955">
        <w:rPr>
          <w:lang w:val="en-GB"/>
        </w:rPr>
        <w:t>A score of one was added to the spatial access scores for healthy and unhealthy food retailers to avoid division by zero. A higher ratio indicates greater spatial access to healthy relative to unhealthy food outlets.</w:t>
      </w:r>
    </w:p>
    <w:p w14:paraId="789803CC" w14:textId="77777777" w:rsidR="00195955" w:rsidRPr="007A481E" w:rsidRDefault="00195955" w:rsidP="002A0713">
      <w:pPr>
        <w:rPr>
          <w:b/>
          <w:bCs/>
          <w:lang w:val="en-GB"/>
        </w:rPr>
      </w:pPr>
    </w:p>
    <w:p w14:paraId="3A0CAD8A" w14:textId="2B815344" w:rsidR="00195955" w:rsidRPr="00195955" w:rsidRDefault="00195955" w:rsidP="00195955">
      <w:pPr>
        <w:rPr>
          <w:b/>
          <w:bCs/>
          <w:i/>
          <w:iCs/>
          <w:lang w:val="en-GB"/>
        </w:rPr>
      </w:pPr>
      <w:r w:rsidRPr="007A481E">
        <w:rPr>
          <w:b/>
          <w:bCs/>
          <w:i/>
          <w:iCs/>
          <w:lang w:val="en-GB"/>
        </w:rPr>
        <w:t>A</w:t>
      </w:r>
      <w:r w:rsidRPr="00195955">
        <w:rPr>
          <w:b/>
          <w:bCs/>
          <w:i/>
          <w:iCs/>
          <w:lang w:val="en-GB"/>
        </w:rPr>
        <w:t>1.3 Green space indicators</w:t>
      </w:r>
    </w:p>
    <w:p w14:paraId="136A6146" w14:textId="77777777" w:rsidR="00195955" w:rsidRPr="00195955" w:rsidRDefault="00195955" w:rsidP="00195955">
      <w:pPr>
        <w:rPr>
          <w:lang w:val="en-GB"/>
        </w:rPr>
      </w:pPr>
      <w:r w:rsidRPr="00195955">
        <w:rPr>
          <w:lang w:val="en-GB"/>
        </w:rPr>
        <w:t>Green space indicators were assessed using Dutch Land Use Database data (</w:t>
      </w:r>
      <w:proofErr w:type="spellStart"/>
      <w:r w:rsidRPr="00195955">
        <w:rPr>
          <w:lang w:val="en-GB"/>
        </w:rPr>
        <w:t>Bestand</w:t>
      </w:r>
      <w:proofErr w:type="spellEnd"/>
      <w:r w:rsidRPr="00195955">
        <w:rPr>
          <w:lang w:val="en-GB"/>
        </w:rPr>
        <w:t xml:space="preserve"> </w:t>
      </w:r>
      <w:proofErr w:type="spellStart"/>
      <w:r w:rsidRPr="00195955">
        <w:rPr>
          <w:lang w:val="en-GB"/>
        </w:rPr>
        <w:t>Bodemgebruik</w:t>
      </w:r>
      <w:proofErr w:type="spellEnd"/>
      <w:r w:rsidRPr="00195955">
        <w:rPr>
          <w:lang w:val="en-GB"/>
        </w:rPr>
        <w:t xml:space="preserve">, 2017) [24] and Landsat 8 satellite imagery accessed through USGS </w:t>
      </w:r>
      <w:proofErr w:type="spellStart"/>
      <w:r w:rsidRPr="00195955">
        <w:rPr>
          <w:lang w:val="en-GB"/>
        </w:rPr>
        <w:t>EarthExplorer</w:t>
      </w:r>
      <w:proofErr w:type="spellEnd"/>
      <w:r w:rsidRPr="00195955">
        <w:rPr>
          <w:lang w:val="en-GB"/>
        </w:rPr>
        <w:t xml:space="preserve"> [25].</w:t>
      </w:r>
    </w:p>
    <w:p w14:paraId="7322819C" w14:textId="77344284" w:rsidR="00195955" w:rsidRPr="00195955" w:rsidRDefault="00195955" w:rsidP="00195955">
      <w:pPr>
        <w:rPr>
          <w:lang w:val="en-GB"/>
        </w:rPr>
      </w:pPr>
      <w:r w:rsidRPr="00195955">
        <w:rPr>
          <w:b/>
          <w:bCs/>
          <w:lang w:val="en-GB"/>
        </w:rPr>
        <w:t>Percentage of accessible green spaces</w:t>
      </w:r>
      <w:r w:rsidRPr="007A481E">
        <w:rPr>
          <w:b/>
          <w:bCs/>
          <w:lang w:val="en-GB"/>
        </w:rPr>
        <w:t>:</w:t>
      </w:r>
      <w:r w:rsidRPr="00195955">
        <w:rPr>
          <w:lang w:val="en-GB"/>
        </w:rPr>
        <w:t xml:space="preserve"> Proportion of buffer area covered by green spaces that residents can freely enter. Accessible green spaces were defined as areas with the following labels in the CBS Land Use dataset: park and ornamental grounds, day recreation area, holiday recreation area, forest, dry natural open land, and wet natural open land. The area of green space within each buffer was determined using the intersect function (between the buffer layer and green space layer), followed by the dissolve function (based on buffer ID). Area was calculated using the $area function (in m²) in the field calculator. To prevent loss of residential addresses without any green space in the buffer, the area variable from the dissolved layer was merged with the original buffer layer and empty cells were set to zero. Percentage of green space within the buffer was then calculated as: (green space area / total buffer area) × 100.</w:t>
      </w:r>
    </w:p>
    <w:p w14:paraId="0DD32CF2" w14:textId="3DBDF23E" w:rsidR="00195955" w:rsidRPr="00195955" w:rsidRDefault="00195955" w:rsidP="00195955">
      <w:pPr>
        <w:rPr>
          <w:lang w:val="en-GB"/>
        </w:rPr>
      </w:pPr>
      <w:r w:rsidRPr="00195955">
        <w:rPr>
          <w:b/>
          <w:bCs/>
          <w:lang w:val="en-GB"/>
        </w:rPr>
        <w:t>Percentage of other green spaces</w:t>
      </w:r>
      <w:r w:rsidRPr="007A481E">
        <w:rPr>
          <w:lang w:val="en-GB"/>
        </w:rPr>
        <w:t>:</w:t>
      </w:r>
      <w:r w:rsidRPr="00195955">
        <w:rPr>
          <w:lang w:val="en-GB"/>
        </w:rPr>
        <w:t xml:space="preserve"> Proportion of buffer area covered by non-freely accessible green spaces, defined as areas labelled sports area, allotment garden, or other agricultural land in the CBS Land Use dataset. Greenhouses were excluded. The same geospatial procedure as described above was applied.</w:t>
      </w:r>
    </w:p>
    <w:p w14:paraId="796FE959" w14:textId="7180D17A" w:rsidR="00195955" w:rsidRPr="00195955" w:rsidRDefault="00195955" w:rsidP="00195955">
      <w:pPr>
        <w:rPr>
          <w:lang w:val="en-GB"/>
        </w:rPr>
      </w:pPr>
      <w:r w:rsidRPr="00195955">
        <w:rPr>
          <w:b/>
          <w:bCs/>
          <w:lang w:val="en-GB"/>
        </w:rPr>
        <w:t>Network distance to nearest accessible green space</w:t>
      </w:r>
      <w:r w:rsidRPr="007A481E">
        <w:rPr>
          <w:b/>
          <w:bCs/>
          <w:lang w:val="en-GB"/>
        </w:rPr>
        <w:t>:</w:t>
      </w:r>
      <w:r w:rsidRPr="00195955">
        <w:rPr>
          <w:lang w:val="en-GB"/>
        </w:rPr>
        <w:t xml:space="preserve"> Shortest walking distance (in </w:t>
      </w:r>
      <w:r w:rsidRPr="007A481E">
        <w:rPr>
          <w:lang w:val="en-GB"/>
        </w:rPr>
        <w:t>meters</w:t>
      </w:r>
      <w:r w:rsidRPr="00195955">
        <w:rPr>
          <w:lang w:val="en-GB"/>
        </w:rPr>
        <w:t>) to the nearest entrance of an accessible green space, calculated via the road network. Green space polygons were transformed to lines, and the intersection of lines tool in QGIS was used to identify points where roads intersected with green space boundaries; these points served as access points. The QNEAT3 plugin was used to calculate the origin-destination cost matrix from residential addresses to access points. The nearest access point per origin was identified using the following SQL query:</w:t>
      </w:r>
    </w:p>
    <w:p w14:paraId="5557E654" w14:textId="77777777" w:rsidR="00195955" w:rsidRPr="00195955" w:rsidRDefault="00195955" w:rsidP="00195955">
      <w:pPr>
        <w:rPr>
          <w:lang w:val="en-GB"/>
        </w:rPr>
      </w:pPr>
      <w:r w:rsidRPr="00195955">
        <w:rPr>
          <w:lang w:val="en-GB"/>
        </w:rPr>
        <w:t xml:space="preserve">SELECT </w:t>
      </w:r>
      <w:proofErr w:type="spellStart"/>
      <w:r w:rsidRPr="00195955">
        <w:rPr>
          <w:lang w:val="en-GB"/>
        </w:rPr>
        <w:t>origin_id</w:t>
      </w:r>
      <w:proofErr w:type="spellEnd"/>
      <w:r w:rsidRPr="00195955">
        <w:rPr>
          <w:lang w:val="en-GB"/>
        </w:rPr>
        <w:t xml:space="preserve">, </w:t>
      </w:r>
      <w:proofErr w:type="spellStart"/>
      <w:r w:rsidRPr="00195955">
        <w:rPr>
          <w:lang w:val="en-GB"/>
        </w:rPr>
        <w:t>destination_id</w:t>
      </w:r>
      <w:proofErr w:type="spellEnd"/>
      <w:r w:rsidRPr="00195955">
        <w:rPr>
          <w:lang w:val="en-GB"/>
        </w:rPr>
        <w:t>, MIN(</w:t>
      </w:r>
      <w:proofErr w:type="spellStart"/>
      <w:r w:rsidRPr="00195955">
        <w:rPr>
          <w:lang w:val="en-GB"/>
        </w:rPr>
        <w:t>total_cost</w:t>
      </w:r>
      <w:proofErr w:type="spellEnd"/>
      <w:r w:rsidRPr="00195955">
        <w:rPr>
          <w:lang w:val="en-GB"/>
        </w:rPr>
        <w:t xml:space="preserve">) AS </w:t>
      </w:r>
      <w:proofErr w:type="spellStart"/>
      <w:r w:rsidRPr="00195955">
        <w:rPr>
          <w:lang w:val="en-GB"/>
        </w:rPr>
        <w:t>shortest_distance</w:t>
      </w:r>
      <w:proofErr w:type="spellEnd"/>
      <w:r w:rsidRPr="00195955">
        <w:rPr>
          <w:lang w:val="en-GB"/>
        </w:rPr>
        <w:t>, geometry</w:t>
      </w:r>
    </w:p>
    <w:p w14:paraId="282C0D0B" w14:textId="77777777" w:rsidR="00195955" w:rsidRPr="00195955" w:rsidRDefault="00195955" w:rsidP="00195955">
      <w:pPr>
        <w:rPr>
          <w:lang w:val="en-GB"/>
        </w:rPr>
      </w:pPr>
      <w:r w:rsidRPr="00195955">
        <w:rPr>
          <w:lang w:val="en-GB"/>
        </w:rPr>
        <w:lastRenderedPageBreak/>
        <w:t>FROM input1</w:t>
      </w:r>
    </w:p>
    <w:p w14:paraId="3CFD2162" w14:textId="77777777" w:rsidR="00195955" w:rsidRPr="00195955" w:rsidRDefault="00195955" w:rsidP="00195955">
      <w:pPr>
        <w:rPr>
          <w:lang w:val="en-GB"/>
        </w:rPr>
      </w:pPr>
      <w:r w:rsidRPr="00195955">
        <w:rPr>
          <w:lang w:val="en-GB"/>
        </w:rPr>
        <w:t xml:space="preserve">GROUP BY </w:t>
      </w:r>
      <w:proofErr w:type="spellStart"/>
      <w:r w:rsidRPr="00195955">
        <w:rPr>
          <w:lang w:val="en-GB"/>
        </w:rPr>
        <w:t>origin_id</w:t>
      </w:r>
      <w:proofErr w:type="spellEnd"/>
    </w:p>
    <w:p w14:paraId="55F683E4" w14:textId="77777777" w:rsidR="00195955" w:rsidRPr="00195955" w:rsidRDefault="00195955" w:rsidP="00195955">
      <w:pPr>
        <w:rPr>
          <w:lang w:val="en-GB"/>
        </w:rPr>
      </w:pPr>
      <w:r w:rsidRPr="00195955">
        <w:rPr>
          <w:lang w:val="en-GB"/>
        </w:rPr>
        <w:t>Due to computational limitations, network distance was calculated for a 5% sample of residential addresses (minimum 50 metres apart) within each postal code.</w:t>
      </w:r>
    </w:p>
    <w:p w14:paraId="6D2EB31E" w14:textId="425FBED6" w:rsidR="00195955" w:rsidRPr="00195955" w:rsidRDefault="00195955" w:rsidP="00195955">
      <w:pPr>
        <w:rPr>
          <w:lang w:val="en-GB"/>
        </w:rPr>
      </w:pPr>
      <w:r w:rsidRPr="00195955">
        <w:rPr>
          <w:b/>
          <w:bCs/>
          <w:lang w:val="en-GB"/>
        </w:rPr>
        <w:t>Normalised Difference Vegetation Index (NDVI)</w:t>
      </w:r>
      <w:r w:rsidRPr="007A481E">
        <w:rPr>
          <w:b/>
          <w:bCs/>
          <w:lang w:val="en-GB"/>
        </w:rPr>
        <w:t>:</w:t>
      </w:r>
      <w:r w:rsidRPr="00195955">
        <w:rPr>
          <w:lang w:val="en-GB"/>
        </w:rPr>
        <w:t xml:space="preserve"> Average NDVI value within the buffer, calculated from Landsat 8 Band 4 (red) and Band 5 (near-infrared) data using the raster calculator: NDVI = (Band 5 – Band 4) / (Band 5 + Band 4). Higher values indicate more and healthier vegetation. Mean NDVI per buffer was calculated using zonal statistics. NDVI scores were not adjusted for water bodies.</w:t>
      </w:r>
    </w:p>
    <w:p w14:paraId="28166307" w14:textId="77777777" w:rsidR="00195955" w:rsidRPr="007A481E" w:rsidRDefault="00195955" w:rsidP="002A0713">
      <w:pPr>
        <w:rPr>
          <w:lang w:val="en-GB"/>
        </w:rPr>
      </w:pPr>
    </w:p>
    <w:p w14:paraId="5088C20D" w14:textId="1FD70C60" w:rsidR="00195955" w:rsidRPr="007A481E" w:rsidRDefault="00195955" w:rsidP="00195955">
      <w:pPr>
        <w:pStyle w:val="Kop2"/>
        <w:rPr>
          <w:lang w:val="en-GB"/>
        </w:rPr>
      </w:pPr>
      <w:r w:rsidRPr="007A481E">
        <w:rPr>
          <w:lang w:val="en-GB"/>
        </w:rPr>
        <w:t>A</w:t>
      </w:r>
      <w:r w:rsidRPr="007A481E">
        <w:rPr>
          <w:lang w:val="en-GB"/>
        </w:rPr>
        <w:t>2</w:t>
      </w:r>
      <w:r w:rsidRPr="007A481E">
        <w:rPr>
          <w:lang w:val="en-GB"/>
        </w:rPr>
        <w:t xml:space="preserve">. </w:t>
      </w:r>
      <w:r w:rsidRPr="007A481E">
        <w:rPr>
          <w:lang w:val="en-GB"/>
        </w:rPr>
        <w:t>Data preparation for principal component analysis</w:t>
      </w:r>
    </w:p>
    <w:p w14:paraId="04C2344B" w14:textId="38CF2429" w:rsidR="00195955" w:rsidRPr="00195955" w:rsidRDefault="00195955" w:rsidP="00195955">
      <w:pPr>
        <w:rPr>
          <w:b/>
          <w:bCs/>
          <w:i/>
          <w:iCs/>
          <w:lang w:val="en-GB"/>
        </w:rPr>
      </w:pPr>
      <w:r w:rsidRPr="007A481E">
        <w:rPr>
          <w:b/>
          <w:bCs/>
          <w:i/>
          <w:iCs/>
          <w:lang w:val="en-GB"/>
        </w:rPr>
        <w:t>A</w:t>
      </w:r>
      <w:r w:rsidRPr="00195955">
        <w:rPr>
          <w:b/>
          <w:bCs/>
          <w:i/>
          <w:iCs/>
          <w:lang w:val="en-GB"/>
        </w:rPr>
        <w:t>2.1 Box-Cox transformation</w:t>
      </w:r>
    </w:p>
    <w:p w14:paraId="295CC690" w14:textId="77777777" w:rsidR="00195955" w:rsidRPr="007A481E" w:rsidRDefault="00195955" w:rsidP="00195955">
      <w:pPr>
        <w:rPr>
          <w:lang w:val="en-GB"/>
        </w:rPr>
      </w:pPr>
      <w:r w:rsidRPr="00195955">
        <w:rPr>
          <w:lang w:val="en-GB"/>
        </w:rPr>
        <w:t>Prior to PCA, all environmental variables were Box-Cox transformed to approximate a normal distribution and to diminish the effect of natural outliers. The Box-Cox transformation is defined as:</w:t>
      </w:r>
    </w:p>
    <w:p w14:paraId="69A24C65" w14:textId="1259B289" w:rsidR="00195955" w:rsidRPr="007A481E" w:rsidRDefault="00195955" w:rsidP="00195955">
      <w:pPr>
        <w:rPr>
          <w:lang w:val="en-GB"/>
        </w:rPr>
      </w:pPr>
      <w:r w:rsidRPr="007A481E">
        <w:rPr>
          <w:noProof/>
          <w:sz w:val="20"/>
          <w:szCs w:val="20"/>
          <w:lang w:val="en-GB"/>
        </w:rPr>
        <w:drawing>
          <wp:inline distT="0" distB="0" distL="0" distR="0" wp14:anchorId="1622DE34" wp14:editId="6AB25F9F">
            <wp:extent cx="2425825" cy="825542"/>
            <wp:effectExtent l="0" t="0" r="0" b="0"/>
            <wp:docPr id="3" name="Afbeelding 3" descr="Afbeelding met Lettertype, wit, diagram,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Lettertype, wit, diagram, typografie&#10;&#10;Door AI gegenereerde inhoud is mogelijk onjuist."/>
                    <pic:cNvPicPr/>
                  </pic:nvPicPr>
                  <pic:blipFill>
                    <a:blip r:embed="rId7"/>
                    <a:stretch>
                      <a:fillRect/>
                    </a:stretch>
                  </pic:blipFill>
                  <pic:spPr>
                    <a:xfrm>
                      <a:off x="0" y="0"/>
                      <a:ext cx="2425825" cy="825542"/>
                    </a:xfrm>
                    <a:prstGeom prst="rect">
                      <a:avLst/>
                    </a:prstGeom>
                  </pic:spPr>
                </pic:pic>
              </a:graphicData>
            </a:graphic>
          </wp:inline>
        </w:drawing>
      </w:r>
    </w:p>
    <w:p w14:paraId="16841AE2" w14:textId="77777777" w:rsidR="00195955" w:rsidRPr="00195955" w:rsidRDefault="00195955" w:rsidP="00195955">
      <w:pPr>
        <w:rPr>
          <w:lang w:val="en-GB"/>
        </w:rPr>
      </w:pPr>
      <w:r w:rsidRPr="00195955">
        <w:rPr>
          <w:lang w:val="en-GB"/>
        </w:rPr>
        <w:t>where y is the original data and λ is the transformation parameter (range: −5 to 5).</w:t>
      </w:r>
    </w:p>
    <w:p w14:paraId="650806DF" w14:textId="77777777" w:rsidR="00195955" w:rsidRPr="00195955" w:rsidRDefault="00195955" w:rsidP="00195955">
      <w:pPr>
        <w:rPr>
          <w:lang w:val="en-GB"/>
        </w:rPr>
      </w:pPr>
      <w:r w:rsidRPr="00195955">
        <w:rPr>
          <w:lang w:val="en-GB"/>
        </w:rPr>
        <w:t>Because the Box-Cox transformation cannot handle zero or negative values, a constant of 1 was added to all variables before transformation. Across all postal codes, the average FEHI scores were zero or negative; therefore, the absolute value was computed before adding the constant. As a result, higher transformed FEHI scores indicate a higher concentration of unhealthy retailers (i.e., the interpretation is inverted compared to the original FEHI scores). Throughout the manuscript, the transformed variable is referred to as ‘inverse FEHI’.</w:t>
      </w:r>
    </w:p>
    <w:p w14:paraId="7FFC90BE" w14:textId="77777777" w:rsidR="00195955" w:rsidRPr="00195955" w:rsidRDefault="00195955" w:rsidP="00195955">
      <w:pPr>
        <w:rPr>
          <w:lang w:val="en-GB"/>
        </w:rPr>
      </w:pPr>
      <w:r w:rsidRPr="00195955">
        <w:rPr>
          <w:lang w:val="en-GB"/>
        </w:rPr>
        <w:t>After transformation, all variables were z-standardised to ensure a common scale.</w:t>
      </w:r>
    </w:p>
    <w:p w14:paraId="460E53A9" w14:textId="77777777" w:rsidR="00195955" w:rsidRPr="007A481E" w:rsidRDefault="00195955" w:rsidP="00195955">
      <w:pPr>
        <w:rPr>
          <w:lang w:val="en-GB"/>
        </w:rPr>
      </w:pPr>
    </w:p>
    <w:p w14:paraId="55F5AF80" w14:textId="60C1E50E" w:rsidR="00195955" w:rsidRPr="007A481E" w:rsidRDefault="00195955" w:rsidP="00195955">
      <w:pPr>
        <w:pStyle w:val="Kop2"/>
        <w:rPr>
          <w:lang w:val="en-GB"/>
        </w:rPr>
      </w:pPr>
      <w:r w:rsidRPr="007A481E">
        <w:rPr>
          <w:lang w:val="en-GB"/>
        </w:rPr>
        <w:t>A</w:t>
      </w:r>
      <w:r w:rsidRPr="007A481E">
        <w:rPr>
          <w:lang w:val="en-GB"/>
        </w:rPr>
        <w:t>3</w:t>
      </w:r>
      <w:r w:rsidRPr="007A481E">
        <w:rPr>
          <w:lang w:val="en-GB"/>
        </w:rPr>
        <w:t xml:space="preserve">. </w:t>
      </w:r>
      <w:r w:rsidRPr="007A481E">
        <w:rPr>
          <w:lang w:val="en-GB"/>
        </w:rPr>
        <w:t>Health outcome variable definitions</w:t>
      </w:r>
    </w:p>
    <w:p w14:paraId="1A5C5C7D" w14:textId="4B9B2756" w:rsidR="00195955" w:rsidRPr="00195955" w:rsidRDefault="00195955" w:rsidP="00195955">
      <w:pPr>
        <w:rPr>
          <w:b/>
          <w:bCs/>
          <w:i/>
          <w:iCs/>
          <w:lang w:val="en-GB"/>
        </w:rPr>
      </w:pPr>
      <w:r w:rsidRPr="007A481E">
        <w:rPr>
          <w:b/>
          <w:bCs/>
          <w:i/>
          <w:iCs/>
          <w:lang w:val="en-GB"/>
        </w:rPr>
        <w:t>A</w:t>
      </w:r>
      <w:r w:rsidRPr="00195955">
        <w:rPr>
          <w:b/>
          <w:bCs/>
          <w:i/>
          <w:iCs/>
          <w:lang w:val="en-GB"/>
        </w:rPr>
        <w:t>3.1 Diet quality</w:t>
      </w:r>
    </w:p>
    <w:p w14:paraId="6454EC7E" w14:textId="77777777" w:rsidR="00195955" w:rsidRPr="00195955" w:rsidRDefault="00195955" w:rsidP="00195955">
      <w:pPr>
        <w:rPr>
          <w:lang w:val="en-GB"/>
        </w:rPr>
      </w:pPr>
      <w:r w:rsidRPr="00195955">
        <w:rPr>
          <w:lang w:val="en-GB"/>
        </w:rPr>
        <w:t>Diet quality was assessed using the Dutch Healthy Diet index (DHD-index) [32, 33] based on the Dutch Healthy Diet Food Frequency Questionnaire (DHD-FFQ). The DHD-index has been recognised as a reliable tool for ranking participants based on diet quality. The total score ranges from 0 to 160, covering 16 components (0–10 per component), with higher scores indicating better adherence to the 2015 Dutch Guidelines for a Healthy Diet.</w:t>
      </w:r>
    </w:p>
    <w:p w14:paraId="290189BF" w14:textId="45879126" w:rsidR="00195955" w:rsidRPr="00195955" w:rsidRDefault="00195955" w:rsidP="00195955">
      <w:pPr>
        <w:rPr>
          <w:b/>
          <w:bCs/>
          <w:i/>
          <w:iCs/>
          <w:lang w:val="en-GB"/>
        </w:rPr>
      </w:pPr>
      <w:r w:rsidRPr="007A481E">
        <w:rPr>
          <w:b/>
          <w:bCs/>
          <w:i/>
          <w:iCs/>
          <w:lang w:val="en-GB"/>
        </w:rPr>
        <w:t>A</w:t>
      </w:r>
      <w:r w:rsidRPr="00195955">
        <w:rPr>
          <w:b/>
          <w:bCs/>
          <w:i/>
          <w:iCs/>
          <w:lang w:val="en-GB"/>
        </w:rPr>
        <w:t>3.2 Physical activity</w:t>
      </w:r>
    </w:p>
    <w:p w14:paraId="3B0E3469" w14:textId="77777777" w:rsidR="00195955" w:rsidRPr="00195955" w:rsidRDefault="00195955" w:rsidP="00195955">
      <w:pPr>
        <w:rPr>
          <w:lang w:val="en-GB"/>
        </w:rPr>
      </w:pPr>
      <w:r w:rsidRPr="00195955">
        <w:rPr>
          <w:lang w:val="en-GB"/>
        </w:rPr>
        <w:lastRenderedPageBreak/>
        <w:t>Physical activity was measured using the validated SQUASH questionnaire [34], which estimates physical activity across leisure time, commuting, work, and household domains in minutes per week.</w:t>
      </w:r>
    </w:p>
    <w:p w14:paraId="2AFD79AF" w14:textId="0CEDF008" w:rsidR="00195955" w:rsidRPr="00195955" w:rsidRDefault="00195955" w:rsidP="00195955">
      <w:pPr>
        <w:rPr>
          <w:b/>
          <w:bCs/>
          <w:i/>
          <w:iCs/>
          <w:lang w:val="en-GB"/>
        </w:rPr>
      </w:pPr>
      <w:r w:rsidRPr="007A481E">
        <w:rPr>
          <w:b/>
          <w:bCs/>
          <w:i/>
          <w:iCs/>
          <w:lang w:val="en-GB"/>
        </w:rPr>
        <w:t>A</w:t>
      </w:r>
      <w:r w:rsidRPr="00195955">
        <w:rPr>
          <w:b/>
          <w:bCs/>
          <w:i/>
          <w:iCs/>
          <w:lang w:val="en-GB"/>
        </w:rPr>
        <w:t>3.3 Body weight status</w:t>
      </w:r>
    </w:p>
    <w:p w14:paraId="59320ABC" w14:textId="77777777" w:rsidR="00195955" w:rsidRPr="00195955" w:rsidRDefault="00195955" w:rsidP="00195955">
      <w:pPr>
        <w:rPr>
          <w:lang w:val="en-GB"/>
        </w:rPr>
      </w:pPr>
      <w:r w:rsidRPr="00195955">
        <w:rPr>
          <w:lang w:val="en-GB"/>
        </w:rPr>
        <w:t>BMI (kg/m²) was calculated from self-reported height and weight and categorised based on age, following the recommendations of the Dutch Nutrition Centre ("</w:t>
      </w:r>
      <w:proofErr w:type="spellStart"/>
      <w:r w:rsidRPr="00195955">
        <w:rPr>
          <w:lang w:val="en-GB"/>
        </w:rPr>
        <w:t>Voedingscentrum</w:t>
      </w:r>
      <w:proofErr w:type="spellEnd"/>
      <w:r w:rsidRPr="00195955">
        <w:rPr>
          <w:lang w:val="en-GB"/>
        </w:rPr>
        <w:t>") [35]:</w:t>
      </w:r>
    </w:p>
    <w:p w14:paraId="6FD2B82B" w14:textId="77777777" w:rsidR="00195955" w:rsidRPr="00195955" w:rsidRDefault="00195955" w:rsidP="00195955">
      <w:pPr>
        <w:numPr>
          <w:ilvl w:val="0"/>
          <w:numId w:val="7"/>
        </w:numPr>
        <w:rPr>
          <w:lang w:val="en-GB"/>
        </w:rPr>
      </w:pPr>
      <w:r w:rsidRPr="00195955">
        <w:rPr>
          <w:lang w:val="en-GB"/>
        </w:rPr>
        <w:t>Patients aged 19–69 years: healthy weight (BMI ≥18.5 and &lt;25), overweight (BMI ≥25 and &lt;30), obese (BMI ≥30)</w:t>
      </w:r>
    </w:p>
    <w:p w14:paraId="01F03CB7" w14:textId="77777777" w:rsidR="00195955" w:rsidRPr="00195955" w:rsidRDefault="00195955" w:rsidP="00195955">
      <w:pPr>
        <w:numPr>
          <w:ilvl w:val="0"/>
          <w:numId w:val="7"/>
        </w:numPr>
        <w:rPr>
          <w:lang w:val="en-GB"/>
        </w:rPr>
      </w:pPr>
      <w:r w:rsidRPr="00195955">
        <w:rPr>
          <w:lang w:val="en-GB"/>
        </w:rPr>
        <w:t>Patients aged ≥70 years: healthy weight (BMI ≥22 and &lt;28), overweight (BMI ≥28 and &lt;30), obese (BMI ≥30)</w:t>
      </w:r>
    </w:p>
    <w:p w14:paraId="78404DCD" w14:textId="77777777" w:rsidR="00195955" w:rsidRPr="00195955" w:rsidRDefault="00195955" w:rsidP="00195955">
      <w:pPr>
        <w:rPr>
          <w:lang w:val="en-GB"/>
        </w:rPr>
      </w:pPr>
    </w:p>
    <w:p w14:paraId="4D1F05C9" w14:textId="77777777" w:rsidR="00195955" w:rsidRPr="00195955" w:rsidRDefault="00195955" w:rsidP="00195955">
      <w:pPr>
        <w:rPr>
          <w:b/>
          <w:bCs/>
          <w:lang w:val="en-GB"/>
        </w:rPr>
      </w:pPr>
      <w:r w:rsidRPr="00195955">
        <w:rPr>
          <w:b/>
          <w:bCs/>
          <w:lang w:val="en-GB"/>
        </w:rPr>
        <w:t>References</w:t>
      </w:r>
    </w:p>
    <w:p w14:paraId="3A2DDED7" w14:textId="77777777" w:rsidR="00195955" w:rsidRPr="00195955" w:rsidRDefault="00195955" w:rsidP="00195955">
      <w:pPr>
        <w:rPr>
          <w:lang w:val="en-GB"/>
        </w:rPr>
      </w:pPr>
      <w:r w:rsidRPr="00195955">
        <w:rPr>
          <w:i/>
          <w:iCs/>
          <w:lang w:val="en-GB"/>
        </w:rPr>
        <w:t>All reference numbers in this file correspond to the reference list of the main manuscript.</w:t>
      </w:r>
    </w:p>
    <w:p w14:paraId="5C9EBB6A" w14:textId="77777777" w:rsidR="00195955" w:rsidRPr="007A481E" w:rsidRDefault="00195955" w:rsidP="002A0713">
      <w:pPr>
        <w:rPr>
          <w:lang w:val="en-GB"/>
        </w:rPr>
      </w:pPr>
    </w:p>
    <w:sectPr w:rsidR="00195955" w:rsidRPr="007A48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6A46"/>
    <w:multiLevelType w:val="multilevel"/>
    <w:tmpl w:val="A89C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EC66BC"/>
    <w:multiLevelType w:val="hybridMultilevel"/>
    <w:tmpl w:val="228A75BA"/>
    <w:lvl w:ilvl="0" w:tplc="D7987AB6">
      <w:start w:val="1"/>
      <w:numFmt w:val="bullet"/>
      <w:lvlText w:val="•"/>
      <w:lvlJc w:val="left"/>
      <w:pPr>
        <w:ind w:left="720" w:hanging="360"/>
      </w:pPr>
    </w:lvl>
    <w:lvl w:ilvl="1" w:tplc="37F6423A">
      <w:numFmt w:val="decimal"/>
      <w:lvlText w:val=""/>
      <w:lvlJc w:val="left"/>
      <w:pPr>
        <w:ind w:left="0" w:firstLine="0"/>
      </w:pPr>
    </w:lvl>
    <w:lvl w:ilvl="2" w:tplc="0F582444">
      <w:numFmt w:val="decimal"/>
      <w:lvlText w:val=""/>
      <w:lvlJc w:val="left"/>
      <w:pPr>
        <w:ind w:left="0" w:firstLine="0"/>
      </w:pPr>
    </w:lvl>
    <w:lvl w:ilvl="3" w:tplc="A426BD54">
      <w:numFmt w:val="decimal"/>
      <w:lvlText w:val=""/>
      <w:lvlJc w:val="left"/>
      <w:pPr>
        <w:ind w:left="0" w:firstLine="0"/>
      </w:pPr>
    </w:lvl>
    <w:lvl w:ilvl="4" w:tplc="CFAA6760">
      <w:numFmt w:val="decimal"/>
      <w:lvlText w:val=""/>
      <w:lvlJc w:val="left"/>
      <w:pPr>
        <w:ind w:left="0" w:firstLine="0"/>
      </w:pPr>
    </w:lvl>
    <w:lvl w:ilvl="5" w:tplc="2EEC7EB4">
      <w:numFmt w:val="decimal"/>
      <w:lvlText w:val=""/>
      <w:lvlJc w:val="left"/>
      <w:pPr>
        <w:ind w:left="0" w:firstLine="0"/>
      </w:pPr>
    </w:lvl>
    <w:lvl w:ilvl="6" w:tplc="4BF8EA8A">
      <w:numFmt w:val="decimal"/>
      <w:lvlText w:val=""/>
      <w:lvlJc w:val="left"/>
      <w:pPr>
        <w:ind w:left="0" w:firstLine="0"/>
      </w:pPr>
    </w:lvl>
    <w:lvl w:ilvl="7" w:tplc="3C981996">
      <w:numFmt w:val="decimal"/>
      <w:lvlText w:val=""/>
      <w:lvlJc w:val="left"/>
      <w:pPr>
        <w:ind w:left="0" w:firstLine="0"/>
      </w:pPr>
    </w:lvl>
    <w:lvl w:ilvl="8" w:tplc="F7DC3DE2">
      <w:numFmt w:val="decimal"/>
      <w:lvlText w:val=""/>
      <w:lvlJc w:val="left"/>
      <w:pPr>
        <w:ind w:left="0" w:firstLine="0"/>
      </w:pPr>
    </w:lvl>
  </w:abstractNum>
  <w:abstractNum w:abstractNumId="2" w15:restartNumberingAfterBreak="0">
    <w:nsid w:val="238F5EC0"/>
    <w:multiLevelType w:val="multilevel"/>
    <w:tmpl w:val="8002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172CDD"/>
    <w:multiLevelType w:val="hybridMultilevel"/>
    <w:tmpl w:val="D414AB40"/>
    <w:lvl w:ilvl="0" w:tplc="1B46A8C4">
      <w:start w:val="2"/>
      <w:numFmt w:val="bullet"/>
      <w:lvlText w:val="-"/>
      <w:lvlJc w:val="left"/>
      <w:pPr>
        <w:ind w:left="720" w:hanging="360"/>
      </w:pPr>
      <w:rPr>
        <w:rFonts w:ascii="Calibri" w:eastAsiaTheme="minorHAnsi" w:hAnsi="Calibri"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F6305C"/>
    <w:multiLevelType w:val="multilevel"/>
    <w:tmpl w:val="E6EE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E80E12"/>
    <w:multiLevelType w:val="multilevel"/>
    <w:tmpl w:val="D96E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CD35B2"/>
    <w:multiLevelType w:val="multilevel"/>
    <w:tmpl w:val="6E14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9500480">
    <w:abstractNumId w:val="3"/>
  </w:num>
  <w:num w:numId="2" w16cid:durableId="1659259900">
    <w:abstractNumId w:val="5"/>
  </w:num>
  <w:num w:numId="3" w16cid:durableId="767118661">
    <w:abstractNumId w:val="4"/>
  </w:num>
  <w:num w:numId="4" w16cid:durableId="143590834">
    <w:abstractNumId w:val="0"/>
  </w:num>
  <w:num w:numId="5" w16cid:durableId="314574771">
    <w:abstractNumId w:val="2"/>
  </w:num>
  <w:num w:numId="6" w16cid:durableId="935940427">
    <w:abstractNumId w:val="6"/>
  </w:num>
  <w:num w:numId="7" w16cid:durableId="132875166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713"/>
    <w:rsid w:val="00075DCC"/>
    <w:rsid w:val="00195955"/>
    <w:rsid w:val="002A0713"/>
    <w:rsid w:val="00356C11"/>
    <w:rsid w:val="00387A40"/>
    <w:rsid w:val="006B1E6B"/>
    <w:rsid w:val="006E639E"/>
    <w:rsid w:val="00710B1F"/>
    <w:rsid w:val="00717CA0"/>
    <w:rsid w:val="007A481E"/>
    <w:rsid w:val="009E5B01"/>
    <w:rsid w:val="00B22BE8"/>
    <w:rsid w:val="00B57B24"/>
    <w:rsid w:val="00CF4478"/>
    <w:rsid w:val="00E855AF"/>
    <w:rsid w:val="00F72C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A5ED9"/>
  <w15:chartTrackingRefBased/>
  <w15:docId w15:val="{EC83DC04-D6B2-4822-B7B5-31D1767E1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07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A07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07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07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07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07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07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07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07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07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A07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07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07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07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07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07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07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0713"/>
    <w:rPr>
      <w:rFonts w:eastAsiaTheme="majorEastAsia" w:cstheme="majorBidi"/>
      <w:color w:val="272727" w:themeColor="text1" w:themeTint="D8"/>
    </w:rPr>
  </w:style>
  <w:style w:type="paragraph" w:styleId="Titel">
    <w:name w:val="Title"/>
    <w:basedOn w:val="Standaard"/>
    <w:next w:val="Standaard"/>
    <w:link w:val="TitelChar"/>
    <w:uiPriority w:val="10"/>
    <w:qFormat/>
    <w:rsid w:val="002A07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07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07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07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07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0713"/>
    <w:rPr>
      <w:i/>
      <w:iCs/>
      <w:color w:val="404040" w:themeColor="text1" w:themeTint="BF"/>
    </w:rPr>
  </w:style>
  <w:style w:type="paragraph" w:styleId="Lijstalinea">
    <w:name w:val="List Paragraph"/>
    <w:basedOn w:val="Standaard"/>
    <w:uiPriority w:val="34"/>
    <w:qFormat/>
    <w:rsid w:val="002A0713"/>
    <w:pPr>
      <w:ind w:left="720"/>
      <w:contextualSpacing/>
    </w:pPr>
  </w:style>
  <w:style w:type="character" w:styleId="Intensievebenadrukking">
    <w:name w:val="Intense Emphasis"/>
    <w:basedOn w:val="Standaardalinea-lettertype"/>
    <w:uiPriority w:val="21"/>
    <w:qFormat/>
    <w:rsid w:val="002A0713"/>
    <w:rPr>
      <w:i/>
      <w:iCs/>
      <w:color w:val="0F4761" w:themeColor="accent1" w:themeShade="BF"/>
    </w:rPr>
  </w:style>
  <w:style w:type="paragraph" w:styleId="Duidelijkcitaat">
    <w:name w:val="Intense Quote"/>
    <w:basedOn w:val="Standaard"/>
    <w:next w:val="Standaard"/>
    <w:link w:val="DuidelijkcitaatChar"/>
    <w:uiPriority w:val="30"/>
    <w:qFormat/>
    <w:rsid w:val="002A07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0713"/>
    <w:rPr>
      <w:i/>
      <w:iCs/>
      <w:color w:val="0F4761" w:themeColor="accent1" w:themeShade="BF"/>
    </w:rPr>
  </w:style>
  <w:style w:type="character" w:styleId="Intensieveverwijzing">
    <w:name w:val="Intense Reference"/>
    <w:basedOn w:val="Standaardalinea-lettertype"/>
    <w:uiPriority w:val="32"/>
    <w:qFormat/>
    <w:rsid w:val="002A0713"/>
    <w:rPr>
      <w:b/>
      <w:bCs/>
      <w:smallCaps/>
      <w:color w:val="0F4761" w:themeColor="accent1" w:themeShade="BF"/>
      <w:spacing w:val="5"/>
    </w:rPr>
  </w:style>
  <w:style w:type="paragraph" w:styleId="HTML-voorafopgemaakt">
    <w:name w:val="HTML Preformatted"/>
    <w:basedOn w:val="Standaard"/>
    <w:link w:val="HTML-voorafopgemaaktChar"/>
    <w:uiPriority w:val="99"/>
    <w:semiHidden/>
    <w:unhideWhenUsed/>
    <w:rsid w:val="002A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nl-NL"/>
      <w14:ligatures w14:val="none"/>
    </w:rPr>
  </w:style>
  <w:style w:type="character" w:customStyle="1" w:styleId="HTML-voorafopgemaaktChar">
    <w:name w:val="HTML - vooraf opgemaakt Char"/>
    <w:basedOn w:val="Standaardalinea-lettertype"/>
    <w:link w:val="HTML-voorafopgemaakt"/>
    <w:uiPriority w:val="99"/>
    <w:semiHidden/>
    <w:rsid w:val="002A0713"/>
    <w:rPr>
      <w:rFonts w:ascii="Courier New" w:eastAsia="Times New Roman" w:hAnsi="Courier New" w:cs="Courier New"/>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0629">
      <w:bodyDiv w:val="1"/>
      <w:marLeft w:val="0"/>
      <w:marRight w:val="0"/>
      <w:marTop w:val="0"/>
      <w:marBottom w:val="0"/>
      <w:divBdr>
        <w:top w:val="none" w:sz="0" w:space="0" w:color="auto"/>
        <w:left w:val="none" w:sz="0" w:space="0" w:color="auto"/>
        <w:bottom w:val="none" w:sz="0" w:space="0" w:color="auto"/>
        <w:right w:val="none" w:sz="0" w:space="0" w:color="auto"/>
      </w:divBdr>
    </w:div>
    <w:div w:id="118837941">
      <w:bodyDiv w:val="1"/>
      <w:marLeft w:val="0"/>
      <w:marRight w:val="0"/>
      <w:marTop w:val="0"/>
      <w:marBottom w:val="0"/>
      <w:divBdr>
        <w:top w:val="none" w:sz="0" w:space="0" w:color="auto"/>
        <w:left w:val="none" w:sz="0" w:space="0" w:color="auto"/>
        <w:bottom w:val="none" w:sz="0" w:space="0" w:color="auto"/>
        <w:right w:val="none" w:sz="0" w:space="0" w:color="auto"/>
      </w:divBdr>
    </w:div>
    <w:div w:id="246841301">
      <w:bodyDiv w:val="1"/>
      <w:marLeft w:val="0"/>
      <w:marRight w:val="0"/>
      <w:marTop w:val="0"/>
      <w:marBottom w:val="0"/>
      <w:divBdr>
        <w:top w:val="none" w:sz="0" w:space="0" w:color="auto"/>
        <w:left w:val="none" w:sz="0" w:space="0" w:color="auto"/>
        <w:bottom w:val="none" w:sz="0" w:space="0" w:color="auto"/>
        <w:right w:val="none" w:sz="0" w:space="0" w:color="auto"/>
      </w:divBdr>
    </w:div>
    <w:div w:id="341977308">
      <w:bodyDiv w:val="1"/>
      <w:marLeft w:val="0"/>
      <w:marRight w:val="0"/>
      <w:marTop w:val="0"/>
      <w:marBottom w:val="0"/>
      <w:divBdr>
        <w:top w:val="none" w:sz="0" w:space="0" w:color="auto"/>
        <w:left w:val="none" w:sz="0" w:space="0" w:color="auto"/>
        <w:bottom w:val="none" w:sz="0" w:space="0" w:color="auto"/>
        <w:right w:val="none" w:sz="0" w:space="0" w:color="auto"/>
      </w:divBdr>
    </w:div>
    <w:div w:id="342901364">
      <w:bodyDiv w:val="1"/>
      <w:marLeft w:val="0"/>
      <w:marRight w:val="0"/>
      <w:marTop w:val="0"/>
      <w:marBottom w:val="0"/>
      <w:divBdr>
        <w:top w:val="none" w:sz="0" w:space="0" w:color="auto"/>
        <w:left w:val="none" w:sz="0" w:space="0" w:color="auto"/>
        <w:bottom w:val="none" w:sz="0" w:space="0" w:color="auto"/>
        <w:right w:val="none" w:sz="0" w:space="0" w:color="auto"/>
      </w:divBdr>
    </w:div>
    <w:div w:id="465120956">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786510106">
      <w:bodyDiv w:val="1"/>
      <w:marLeft w:val="0"/>
      <w:marRight w:val="0"/>
      <w:marTop w:val="0"/>
      <w:marBottom w:val="0"/>
      <w:divBdr>
        <w:top w:val="none" w:sz="0" w:space="0" w:color="auto"/>
        <w:left w:val="none" w:sz="0" w:space="0" w:color="auto"/>
        <w:bottom w:val="none" w:sz="0" w:space="0" w:color="auto"/>
        <w:right w:val="none" w:sz="0" w:space="0" w:color="auto"/>
      </w:divBdr>
    </w:div>
    <w:div w:id="962734140">
      <w:bodyDiv w:val="1"/>
      <w:marLeft w:val="0"/>
      <w:marRight w:val="0"/>
      <w:marTop w:val="0"/>
      <w:marBottom w:val="0"/>
      <w:divBdr>
        <w:top w:val="none" w:sz="0" w:space="0" w:color="auto"/>
        <w:left w:val="none" w:sz="0" w:space="0" w:color="auto"/>
        <w:bottom w:val="none" w:sz="0" w:space="0" w:color="auto"/>
        <w:right w:val="none" w:sz="0" w:space="0" w:color="auto"/>
      </w:divBdr>
    </w:div>
    <w:div w:id="1071349748">
      <w:bodyDiv w:val="1"/>
      <w:marLeft w:val="0"/>
      <w:marRight w:val="0"/>
      <w:marTop w:val="0"/>
      <w:marBottom w:val="0"/>
      <w:divBdr>
        <w:top w:val="none" w:sz="0" w:space="0" w:color="auto"/>
        <w:left w:val="none" w:sz="0" w:space="0" w:color="auto"/>
        <w:bottom w:val="none" w:sz="0" w:space="0" w:color="auto"/>
        <w:right w:val="none" w:sz="0" w:space="0" w:color="auto"/>
      </w:divBdr>
    </w:div>
    <w:div w:id="1115096370">
      <w:bodyDiv w:val="1"/>
      <w:marLeft w:val="0"/>
      <w:marRight w:val="0"/>
      <w:marTop w:val="0"/>
      <w:marBottom w:val="0"/>
      <w:divBdr>
        <w:top w:val="none" w:sz="0" w:space="0" w:color="auto"/>
        <w:left w:val="none" w:sz="0" w:space="0" w:color="auto"/>
        <w:bottom w:val="none" w:sz="0" w:space="0" w:color="auto"/>
        <w:right w:val="none" w:sz="0" w:space="0" w:color="auto"/>
      </w:divBdr>
    </w:div>
    <w:div w:id="1172256171">
      <w:bodyDiv w:val="1"/>
      <w:marLeft w:val="0"/>
      <w:marRight w:val="0"/>
      <w:marTop w:val="0"/>
      <w:marBottom w:val="0"/>
      <w:divBdr>
        <w:top w:val="none" w:sz="0" w:space="0" w:color="auto"/>
        <w:left w:val="none" w:sz="0" w:space="0" w:color="auto"/>
        <w:bottom w:val="none" w:sz="0" w:space="0" w:color="auto"/>
        <w:right w:val="none" w:sz="0" w:space="0" w:color="auto"/>
      </w:divBdr>
    </w:div>
    <w:div w:id="1195079553">
      <w:bodyDiv w:val="1"/>
      <w:marLeft w:val="0"/>
      <w:marRight w:val="0"/>
      <w:marTop w:val="0"/>
      <w:marBottom w:val="0"/>
      <w:divBdr>
        <w:top w:val="none" w:sz="0" w:space="0" w:color="auto"/>
        <w:left w:val="none" w:sz="0" w:space="0" w:color="auto"/>
        <w:bottom w:val="none" w:sz="0" w:space="0" w:color="auto"/>
        <w:right w:val="none" w:sz="0" w:space="0" w:color="auto"/>
      </w:divBdr>
    </w:div>
    <w:div w:id="1313439551">
      <w:bodyDiv w:val="1"/>
      <w:marLeft w:val="0"/>
      <w:marRight w:val="0"/>
      <w:marTop w:val="0"/>
      <w:marBottom w:val="0"/>
      <w:divBdr>
        <w:top w:val="none" w:sz="0" w:space="0" w:color="auto"/>
        <w:left w:val="none" w:sz="0" w:space="0" w:color="auto"/>
        <w:bottom w:val="none" w:sz="0" w:space="0" w:color="auto"/>
        <w:right w:val="none" w:sz="0" w:space="0" w:color="auto"/>
      </w:divBdr>
    </w:div>
    <w:div w:id="1428772300">
      <w:bodyDiv w:val="1"/>
      <w:marLeft w:val="0"/>
      <w:marRight w:val="0"/>
      <w:marTop w:val="0"/>
      <w:marBottom w:val="0"/>
      <w:divBdr>
        <w:top w:val="none" w:sz="0" w:space="0" w:color="auto"/>
        <w:left w:val="none" w:sz="0" w:space="0" w:color="auto"/>
        <w:bottom w:val="none" w:sz="0" w:space="0" w:color="auto"/>
        <w:right w:val="none" w:sz="0" w:space="0" w:color="auto"/>
      </w:divBdr>
    </w:div>
    <w:div w:id="1447116298">
      <w:bodyDiv w:val="1"/>
      <w:marLeft w:val="0"/>
      <w:marRight w:val="0"/>
      <w:marTop w:val="0"/>
      <w:marBottom w:val="0"/>
      <w:divBdr>
        <w:top w:val="none" w:sz="0" w:space="0" w:color="auto"/>
        <w:left w:val="none" w:sz="0" w:space="0" w:color="auto"/>
        <w:bottom w:val="none" w:sz="0" w:space="0" w:color="auto"/>
        <w:right w:val="none" w:sz="0" w:space="0" w:color="auto"/>
      </w:divBdr>
    </w:div>
    <w:div w:id="1490946680">
      <w:bodyDiv w:val="1"/>
      <w:marLeft w:val="0"/>
      <w:marRight w:val="0"/>
      <w:marTop w:val="0"/>
      <w:marBottom w:val="0"/>
      <w:divBdr>
        <w:top w:val="none" w:sz="0" w:space="0" w:color="auto"/>
        <w:left w:val="none" w:sz="0" w:space="0" w:color="auto"/>
        <w:bottom w:val="none" w:sz="0" w:space="0" w:color="auto"/>
        <w:right w:val="none" w:sz="0" w:space="0" w:color="auto"/>
      </w:divBdr>
    </w:div>
    <w:div w:id="1512602515">
      <w:bodyDiv w:val="1"/>
      <w:marLeft w:val="0"/>
      <w:marRight w:val="0"/>
      <w:marTop w:val="0"/>
      <w:marBottom w:val="0"/>
      <w:divBdr>
        <w:top w:val="none" w:sz="0" w:space="0" w:color="auto"/>
        <w:left w:val="none" w:sz="0" w:space="0" w:color="auto"/>
        <w:bottom w:val="none" w:sz="0" w:space="0" w:color="auto"/>
        <w:right w:val="none" w:sz="0" w:space="0" w:color="auto"/>
      </w:divBdr>
    </w:div>
    <w:div w:id="1616593591">
      <w:bodyDiv w:val="1"/>
      <w:marLeft w:val="0"/>
      <w:marRight w:val="0"/>
      <w:marTop w:val="0"/>
      <w:marBottom w:val="0"/>
      <w:divBdr>
        <w:top w:val="none" w:sz="0" w:space="0" w:color="auto"/>
        <w:left w:val="none" w:sz="0" w:space="0" w:color="auto"/>
        <w:bottom w:val="none" w:sz="0" w:space="0" w:color="auto"/>
        <w:right w:val="none" w:sz="0" w:space="0" w:color="auto"/>
      </w:divBdr>
    </w:div>
    <w:div w:id="1704137050">
      <w:bodyDiv w:val="1"/>
      <w:marLeft w:val="0"/>
      <w:marRight w:val="0"/>
      <w:marTop w:val="0"/>
      <w:marBottom w:val="0"/>
      <w:divBdr>
        <w:top w:val="none" w:sz="0" w:space="0" w:color="auto"/>
        <w:left w:val="none" w:sz="0" w:space="0" w:color="auto"/>
        <w:bottom w:val="none" w:sz="0" w:space="0" w:color="auto"/>
        <w:right w:val="none" w:sz="0" w:space="0" w:color="auto"/>
      </w:divBdr>
    </w:div>
    <w:div w:id="1766613054">
      <w:bodyDiv w:val="1"/>
      <w:marLeft w:val="0"/>
      <w:marRight w:val="0"/>
      <w:marTop w:val="0"/>
      <w:marBottom w:val="0"/>
      <w:divBdr>
        <w:top w:val="none" w:sz="0" w:space="0" w:color="auto"/>
        <w:left w:val="none" w:sz="0" w:space="0" w:color="auto"/>
        <w:bottom w:val="none" w:sz="0" w:space="0" w:color="auto"/>
        <w:right w:val="none" w:sz="0" w:space="0" w:color="auto"/>
      </w:divBdr>
    </w:div>
    <w:div w:id="1800027383">
      <w:bodyDiv w:val="1"/>
      <w:marLeft w:val="0"/>
      <w:marRight w:val="0"/>
      <w:marTop w:val="0"/>
      <w:marBottom w:val="0"/>
      <w:divBdr>
        <w:top w:val="none" w:sz="0" w:space="0" w:color="auto"/>
        <w:left w:val="none" w:sz="0" w:space="0" w:color="auto"/>
        <w:bottom w:val="none" w:sz="0" w:space="0" w:color="auto"/>
        <w:right w:val="none" w:sz="0" w:space="0" w:color="auto"/>
      </w:divBdr>
    </w:div>
    <w:div w:id="1991933277">
      <w:bodyDiv w:val="1"/>
      <w:marLeft w:val="0"/>
      <w:marRight w:val="0"/>
      <w:marTop w:val="0"/>
      <w:marBottom w:val="0"/>
      <w:divBdr>
        <w:top w:val="none" w:sz="0" w:space="0" w:color="auto"/>
        <w:left w:val="none" w:sz="0" w:space="0" w:color="auto"/>
        <w:bottom w:val="none" w:sz="0" w:space="0" w:color="auto"/>
        <w:right w:val="none" w:sz="0" w:space="0" w:color="auto"/>
      </w:divBdr>
    </w:div>
    <w:div w:id="2008895936">
      <w:bodyDiv w:val="1"/>
      <w:marLeft w:val="0"/>
      <w:marRight w:val="0"/>
      <w:marTop w:val="0"/>
      <w:marBottom w:val="0"/>
      <w:divBdr>
        <w:top w:val="none" w:sz="0" w:space="0" w:color="auto"/>
        <w:left w:val="none" w:sz="0" w:space="0" w:color="auto"/>
        <w:bottom w:val="none" w:sz="0" w:space="0" w:color="auto"/>
        <w:right w:val="none" w:sz="0" w:space="0" w:color="auto"/>
      </w:divBdr>
    </w:div>
    <w:div w:id="2092700383">
      <w:bodyDiv w:val="1"/>
      <w:marLeft w:val="0"/>
      <w:marRight w:val="0"/>
      <w:marTop w:val="0"/>
      <w:marBottom w:val="0"/>
      <w:divBdr>
        <w:top w:val="none" w:sz="0" w:space="0" w:color="auto"/>
        <w:left w:val="none" w:sz="0" w:space="0" w:color="auto"/>
        <w:bottom w:val="none" w:sz="0" w:space="0" w:color="auto"/>
        <w:right w:val="none" w:sz="0" w:space="0" w:color="auto"/>
      </w:divBdr>
    </w:div>
    <w:div w:id="209311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1565</Words>
  <Characters>8609</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 Anouk (PHEG - LUMC)</dc:creator>
  <cp:keywords/>
  <dc:description/>
  <cp:lastModifiedBy>Smit, Anouk (PHEG - LUMC)</cp:lastModifiedBy>
  <cp:revision>4</cp:revision>
  <dcterms:created xsi:type="dcterms:W3CDTF">2026-02-27T15:01:00Z</dcterms:created>
  <dcterms:modified xsi:type="dcterms:W3CDTF">2026-03-06T12:41:00Z</dcterms:modified>
</cp:coreProperties>
</file>