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5B8BA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Figure S1. Detailed primer design for Gap-PCR in HBA1/2.</w:t>
      </w:r>
    </w:p>
    <w:p w14:paraId="5F8CA603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The simplified diagram for α-globin gene cluster and the location for represented deletions. The rough location of 8 pairs of Gap-PCR primers (P1-P8) are marked in the diagram. The P1 product represents 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–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  <w:vertAlign w:val="superscript"/>
        </w:rPr>
        <w:t>SEA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;</w:t>
      </w:r>
      <w:r>
        <w:rPr>
          <w:rFonts w:ascii="Times New Roman" w:hAnsi="Times New Roman" w:cs="Times New Roman"/>
          <w:sz w:val="30"/>
          <w:szCs w:val="30"/>
        </w:rPr>
        <w:t xml:space="preserve"> The P6 product represents 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–α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  <w:vertAlign w:val="superscript"/>
        </w:rPr>
        <w:t>3.7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;</w:t>
      </w:r>
      <w:r>
        <w:rPr>
          <w:rFonts w:ascii="Times New Roman" w:hAnsi="Times New Roman" w:cs="Times New Roman"/>
          <w:sz w:val="30"/>
          <w:szCs w:val="30"/>
        </w:rPr>
        <w:t xml:space="preserve"> The P7 product represents 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–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  <w:vertAlign w:val="superscript"/>
        </w:rPr>
        <w:t>4.2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 xml:space="preserve">; </w:t>
      </w:r>
      <w:r>
        <w:rPr>
          <w:rFonts w:ascii="Times New Roman" w:hAnsi="Times New Roman" w:cs="Times New Roman"/>
          <w:sz w:val="30"/>
          <w:szCs w:val="30"/>
        </w:rPr>
        <w:t>Primers P2 and P3 amplified bands located within the SEA deletion region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 xml:space="preserve">; </w:t>
      </w:r>
      <w:r>
        <w:rPr>
          <w:rFonts w:ascii="Times New Roman" w:hAnsi="Times New Roman" w:cs="Times New Roman"/>
          <w:sz w:val="30"/>
          <w:szCs w:val="30"/>
        </w:rPr>
        <w:t xml:space="preserve">Primers P4 and P5 amplified bands located within the 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α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  <w:vertAlign w:val="superscript"/>
        </w:rPr>
        <w:t xml:space="preserve">3.7 </w:t>
      </w:r>
      <w:r>
        <w:rPr>
          <w:rFonts w:ascii="Times New Roman" w:hAnsi="Times New Roman" w:cs="Times New Roman"/>
          <w:sz w:val="30"/>
          <w:szCs w:val="30"/>
        </w:rPr>
        <w:t xml:space="preserve">deletion region; Primers P8 amplified bands located within the 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</w:rPr>
        <w:t>α</w:t>
      </w:r>
      <w:r>
        <w:rPr>
          <w:rFonts w:ascii="Times New Roman" w:eastAsia="FZYaoTi" w:hAnsi="Times New Roman" w:cs="Times New Roman"/>
          <w:bCs/>
          <w:kern w:val="0"/>
          <w:sz w:val="30"/>
          <w:szCs w:val="30"/>
          <w:vertAlign w:val="superscript"/>
        </w:rPr>
        <w:t xml:space="preserve">4.2 </w:t>
      </w:r>
      <w:r>
        <w:rPr>
          <w:rFonts w:ascii="Times New Roman" w:hAnsi="Times New Roman" w:cs="Times New Roman"/>
          <w:sz w:val="30"/>
          <w:szCs w:val="30"/>
        </w:rPr>
        <w:t>deletion region.</w:t>
      </w:r>
    </w:p>
    <w:p w14:paraId="31C9B767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</w:p>
    <w:p w14:paraId="228DBCFE" w14:textId="77777777" w:rsidR="004950BA" w:rsidRDefault="004950BA" w:rsidP="004950BA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Figure S2. Gap-PCR (A) and the ASA haplotyping results (B) for a family with deletional alpha-thalassemia of –SEA and-α3.7.</w:t>
      </w:r>
    </w:p>
    <w:p w14:paraId="32981632" w14:textId="77777777" w:rsidR="004950BA" w:rsidRDefault="004950BA" w:rsidP="004950BA">
      <w:pPr>
        <w:pStyle w:val="ListParagraph"/>
        <w:ind w:firstLine="2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A.</w:t>
      </w:r>
      <w:r>
        <w:rPr>
          <w:rFonts w:ascii="Times New Roman" w:hAnsi="Times New Roman" w:cs="Times New Roman"/>
          <w:sz w:val="30"/>
          <w:szCs w:val="30"/>
        </w:rPr>
        <w:t xml:space="preserve"> Agarose gel electrophoresis for the Gap-PCR products for the parents and 7 embryos. F, M, E1 represents father, mother and the embryos, respectively. The phenotype of Mother and E1-6 is --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SEA</w:t>
      </w:r>
      <w:r>
        <w:rPr>
          <w:rFonts w:ascii="Times New Roman" w:hAnsi="Times New Roman" w:cs="Times New Roman"/>
          <w:sz w:val="30"/>
          <w:szCs w:val="30"/>
        </w:rPr>
        <w:t>/-α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3.7</w:t>
      </w:r>
      <w:r>
        <w:rPr>
          <w:rFonts w:ascii="Times New Roman" w:hAnsi="Times New Roman" w:cs="Times New Roman"/>
          <w:sz w:val="30"/>
          <w:szCs w:val="30"/>
        </w:rPr>
        <w:t>; Father and E1-1 is --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SEA</w:t>
      </w:r>
      <w:r>
        <w:rPr>
          <w:rFonts w:ascii="Times New Roman" w:hAnsi="Times New Roman" w:cs="Times New Roman"/>
          <w:sz w:val="30"/>
          <w:szCs w:val="30"/>
        </w:rPr>
        <w:t>/αα; E1-2 and E1-4 is -α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3.7</w:t>
      </w:r>
      <w:r>
        <w:rPr>
          <w:rFonts w:ascii="Times New Roman" w:hAnsi="Times New Roman" w:cs="Times New Roman"/>
          <w:sz w:val="30"/>
          <w:szCs w:val="30"/>
        </w:rPr>
        <w:t>/αα; E1-3, E1-5 and E1-7 is --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SEA</w:t>
      </w:r>
      <w:r>
        <w:rPr>
          <w:rFonts w:ascii="Times New Roman" w:hAnsi="Times New Roman" w:cs="Times New Roman"/>
          <w:sz w:val="30"/>
          <w:szCs w:val="30"/>
        </w:rPr>
        <w:t>/--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SEA</w:t>
      </w:r>
      <w:r>
        <w:rPr>
          <w:rFonts w:ascii="Times New Roman" w:hAnsi="Times New Roman" w:cs="Times New Roman"/>
          <w:sz w:val="30"/>
          <w:szCs w:val="30"/>
        </w:rPr>
        <w:t xml:space="preserve">. </w:t>
      </w:r>
      <w:r>
        <w:rPr>
          <w:rFonts w:ascii="Times New Roman" w:hAnsi="Times New Roman" w:cs="Times New Roman"/>
          <w:b/>
          <w:bCs/>
          <w:sz w:val="30"/>
          <w:szCs w:val="30"/>
        </w:rPr>
        <w:t>B</w:t>
      </w:r>
      <w:r>
        <w:rPr>
          <w:rFonts w:ascii="Times New Roman" w:hAnsi="Times New Roman" w:cs="Times New Roman"/>
          <w:sz w:val="30"/>
          <w:szCs w:val="30"/>
        </w:rPr>
        <w:t>. The light blue frame with slashes refers to the --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SEA</w:t>
      </w:r>
      <w:r>
        <w:rPr>
          <w:rFonts w:ascii="Times New Roman" w:hAnsi="Times New Roman" w:cs="Times New Roman"/>
          <w:sz w:val="30"/>
          <w:szCs w:val="30"/>
        </w:rPr>
        <w:t xml:space="preserve"> haplotype of Father. And the dark blue frame refers to the normal haplotype. The light orange frame with slashes refers to the --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SEA</w:t>
      </w:r>
      <w:r>
        <w:rPr>
          <w:rFonts w:ascii="Times New Roman" w:hAnsi="Times New Roman" w:cs="Times New Roman"/>
          <w:sz w:val="30"/>
          <w:szCs w:val="30"/>
        </w:rPr>
        <w:t xml:space="preserve"> haplotype of Mother; The dark orange frame with slashes refers to the -α</w:t>
      </w:r>
      <w:r>
        <w:rPr>
          <w:rFonts w:ascii="Times New Roman" w:hAnsi="Times New Roman" w:cs="Times New Roman"/>
          <w:sz w:val="30"/>
          <w:szCs w:val="30"/>
          <w:vertAlign w:val="superscript"/>
        </w:rPr>
        <w:t>3.7</w:t>
      </w:r>
      <w:r>
        <w:rPr>
          <w:rFonts w:ascii="Times New Roman" w:hAnsi="Times New Roman" w:cs="Times New Roman"/>
          <w:sz w:val="30"/>
          <w:szCs w:val="30"/>
        </w:rPr>
        <w:t xml:space="preserve"> haplotype of Mother.</w:t>
      </w:r>
    </w:p>
    <w:p w14:paraId="0F983F4E" w14:textId="77777777" w:rsidR="004950BA" w:rsidRDefault="004950BA" w:rsidP="004950BA">
      <w:pPr>
        <w:pStyle w:val="ListParagraph"/>
        <w:ind w:firstLine="600"/>
        <w:rPr>
          <w:rFonts w:ascii="Times New Roman" w:hAnsi="Times New Roman" w:cs="Times New Roman"/>
          <w:sz w:val="30"/>
          <w:szCs w:val="30"/>
        </w:rPr>
      </w:pPr>
    </w:p>
    <w:p w14:paraId="5EC13D38" w14:textId="77777777" w:rsidR="004950BA" w:rsidRDefault="004950BA" w:rsidP="004950BA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Figure S3. PCR-RFLP (A) and the ASA haplotyping results (B) for a family with exon 7 or 8 deletion in SMN1.</w:t>
      </w:r>
    </w:p>
    <w:p w14:paraId="36567BCA" w14:textId="77777777" w:rsidR="004950BA" w:rsidRDefault="004950BA" w:rsidP="004950BA">
      <w:pPr>
        <w:pStyle w:val="ListParagrap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lastRenderedPageBreak/>
        <w:t>A.</w:t>
      </w:r>
      <w:r>
        <w:rPr>
          <w:rFonts w:ascii="Times New Roman" w:hAnsi="Times New Roman" w:cs="Times New Roman"/>
          <w:sz w:val="30"/>
          <w:szCs w:val="30"/>
        </w:rPr>
        <w:t xml:space="preserve"> Agarose gel electrophoresis for the G1/G2 products after restriction enzyme digestion. For G1 product, the carrier and normal one has the band of 188bp and/or 164bp, while homozygous deletion of exon 7 of the SMN1 gene only have the band of 164bp. For G2 product, the carrier and normal one has the band of 188bp and/or 120bp, while homozygous deletion of exon 8 of the SMN1 gene only have the band of 120bp. </w:t>
      </w:r>
      <w:r>
        <w:rPr>
          <w:rFonts w:ascii="Times New Roman" w:hAnsi="Times New Roman" w:cs="Times New Roman"/>
          <w:b/>
          <w:bCs/>
          <w:sz w:val="30"/>
          <w:szCs w:val="30"/>
        </w:rPr>
        <w:t>B</w:t>
      </w:r>
      <w:r>
        <w:rPr>
          <w:rFonts w:ascii="Times New Roman" w:hAnsi="Times New Roman" w:cs="Times New Roman"/>
          <w:sz w:val="30"/>
          <w:szCs w:val="30"/>
        </w:rPr>
        <w:t>. The light blue frame with slashes refers to the high-risk haplotype of Father. And the dark blue frame refers to the low-risk haplotype. The light orange frame with slashes refers to the high-risk haplotype of Mother; The dark orange frame with slashes refers to the low-risk haplotype of Mother.</w:t>
      </w:r>
    </w:p>
    <w:p w14:paraId="2ED7C42F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</w:p>
    <w:p w14:paraId="268E03B6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Figure S4. Singer sperm haplotyping results for male with c.4205G&gt;T in FBN1 gene (A) and c.843_859dup in FOXL2 gene (B).</w:t>
      </w:r>
      <w:r>
        <w:rPr>
          <w:rFonts w:ascii="Times New Roman" w:hAnsi="Times New Roman" w:cs="Times New Roman"/>
          <w:sz w:val="30"/>
          <w:szCs w:val="30"/>
        </w:rPr>
        <w:fldChar w:fldCharType="begin"/>
      </w:r>
      <w:r>
        <w:rPr>
          <w:rFonts w:ascii="Times New Roman" w:hAnsi="Times New Roman" w:cs="Times New Roman"/>
          <w:sz w:val="30"/>
          <w:szCs w:val="30"/>
        </w:rPr>
        <w:instrText xml:space="preserve"> ADDIN </w:instrText>
      </w:r>
      <w:r>
        <w:rPr>
          <w:rFonts w:ascii="Times New Roman" w:hAnsi="Times New Roman" w:cs="Times New Roman"/>
          <w:sz w:val="30"/>
          <w:szCs w:val="30"/>
        </w:rPr>
        <w:fldChar w:fldCharType="end"/>
      </w:r>
    </w:p>
    <w:p w14:paraId="31311F48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The light blue frame with slashes refers to the high-risk haplotype of the male deduced by single sperm. And the dark blue frame refers to the low-risk haplotype. F, M and </w:t>
      </w:r>
      <w:proofErr w:type="spellStart"/>
      <w:r>
        <w:rPr>
          <w:rFonts w:ascii="Times New Roman" w:hAnsi="Times New Roman" w:cs="Times New Roman"/>
          <w:sz w:val="30"/>
          <w:szCs w:val="30"/>
        </w:rPr>
        <w:t>spm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represent father, mother and singer sperm; The detected SNPs (A/T/C/G) are marked next to the frame, of which ‘0’ represents the loci with failed detection. </w:t>
      </w:r>
    </w:p>
    <w:p w14:paraId="4489CF8B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</w:p>
    <w:p w14:paraId="75EBDEC9" w14:textId="77777777" w:rsidR="004950BA" w:rsidRDefault="004950BA" w:rsidP="004950BA">
      <w:pPr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Figure S5. Precise breakpoint detection by long read sequencing for female with exon46-51 deletion in DMD gene (A) and exon3-47 deletion in FLNA gene (B).</w:t>
      </w:r>
    </w:p>
    <w:p w14:paraId="74CEB64F" w14:textId="77777777" w:rsidR="004950BA" w:rsidRDefault="004950BA" w:rsidP="004950BA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>A</w:t>
      </w:r>
      <w:r>
        <w:rPr>
          <w:rFonts w:ascii="Times New Roman" w:hAnsi="Times New Roman" w:cs="Times New Roman"/>
          <w:sz w:val="30"/>
          <w:szCs w:val="30"/>
        </w:rPr>
        <w:t xml:space="preserve">. The IGV shows the breakpoint of </w:t>
      </w:r>
      <w:proofErr w:type="spellStart"/>
      <w:r>
        <w:rPr>
          <w:rFonts w:ascii="Times New Roman" w:hAnsi="Times New Roman" w:cs="Times New Roman"/>
          <w:sz w:val="30"/>
          <w:szCs w:val="30"/>
        </w:rPr>
        <w:t>chrX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: 31765600 and chrX:31954240 for </w:t>
      </w:r>
      <w:r>
        <w:rPr>
          <w:rFonts w:ascii="Times New Roman" w:hAnsi="Times New Roman" w:cs="Times New Roman"/>
          <w:i/>
          <w:iCs/>
          <w:sz w:val="30"/>
          <w:szCs w:val="30"/>
        </w:rPr>
        <w:t>DMD</w:t>
      </w:r>
      <w:r>
        <w:rPr>
          <w:rFonts w:ascii="Times New Roman" w:hAnsi="Times New Roman" w:cs="Times New Roman"/>
          <w:sz w:val="30"/>
          <w:szCs w:val="30"/>
        </w:rPr>
        <w:t xml:space="preserve"> gene. </w:t>
      </w:r>
      <w:r>
        <w:rPr>
          <w:rFonts w:ascii="Times New Roman" w:hAnsi="Times New Roman" w:cs="Times New Roman"/>
          <w:b/>
          <w:bCs/>
          <w:sz w:val="30"/>
          <w:szCs w:val="30"/>
        </w:rPr>
        <w:t>B</w:t>
      </w:r>
      <w:r>
        <w:rPr>
          <w:rFonts w:ascii="Times New Roman" w:hAnsi="Times New Roman" w:cs="Times New Roman"/>
          <w:sz w:val="30"/>
          <w:szCs w:val="30"/>
        </w:rPr>
        <w:t xml:space="preserve">. The IGV shows the breakpoint of </w:t>
      </w:r>
      <w:proofErr w:type="spellStart"/>
      <w:r>
        <w:rPr>
          <w:rFonts w:ascii="Times New Roman" w:hAnsi="Times New Roman" w:cs="Times New Roman"/>
          <w:sz w:val="30"/>
          <w:szCs w:val="30"/>
        </w:rPr>
        <w:t>chrX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: 153596768 and chrX:153573912 for </w:t>
      </w:r>
      <w:r>
        <w:rPr>
          <w:rFonts w:ascii="Times New Roman" w:hAnsi="Times New Roman" w:cs="Times New Roman"/>
          <w:i/>
          <w:iCs/>
          <w:sz w:val="30"/>
          <w:szCs w:val="30"/>
        </w:rPr>
        <w:t>FLNA</w:t>
      </w:r>
      <w:r>
        <w:rPr>
          <w:rFonts w:ascii="Times New Roman" w:hAnsi="Times New Roman" w:cs="Times New Roman"/>
          <w:sz w:val="30"/>
          <w:szCs w:val="30"/>
        </w:rPr>
        <w:t xml:space="preserve"> gene.</w:t>
      </w:r>
    </w:p>
    <w:p w14:paraId="098CBCB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ZYaoTi">
    <w:altName w:val="SimSun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0BA"/>
    <w:rsid w:val="00066677"/>
    <w:rsid w:val="003A4E89"/>
    <w:rsid w:val="004950BA"/>
    <w:rsid w:val="00556784"/>
    <w:rsid w:val="008B07A6"/>
    <w:rsid w:val="00987B63"/>
    <w:rsid w:val="00C1079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D459E"/>
  <w15:chartTrackingRefBased/>
  <w15:docId w15:val="{284DA673-D5B4-43FA-A51C-AF57CF394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4950BA"/>
    <w:pPr>
      <w:spacing w:after="0" w:line="480" w:lineRule="auto"/>
      <w:ind w:left="-2" w:firstLine="2"/>
      <w:jc w:val="both"/>
    </w:pPr>
    <w:rPr>
      <w:rFonts w:eastAsiaTheme="minorEastAsia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0BA"/>
    <w:pPr>
      <w:keepNext/>
      <w:keepLines/>
      <w:spacing w:before="360" w:after="80" w:line="278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0BA"/>
    <w:pPr>
      <w:keepNext/>
      <w:keepLines/>
      <w:spacing w:before="160" w:after="80" w:line="278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0BA"/>
    <w:pPr>
      <w:keepNext/>
      <w:keepLines/>
      <w:spacing w:before="160" w:after="80" w:line="278" w:lineRule="auto"/>
      <w:ind w:left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0BA"/>
    <w:pPr>
      <w:keepNext/>
      <w:keepLines/>
      <w:spacing w:before="80" w:after="40" w:line="278" w:lineRule="auto"/>
      <w:ind w:left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0BA"/>
    <w:pPr>
      <w:keepNext/>
      <w:keepLines/>
      <w:spacing w:before="80" w:after="40" w:line="278" w:lineRule="auto"/>
      <w:ind w:left="0" w:firstLine="0"/>
      <w:jc w:val="left"/>
      <w:outlineLvl w:val="4"/>
    </w:pPr>
    <w:rPr>
      <w:rFonts w:eastAsiaTheme="majorEastAsia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0BA"/>
    <w:pPr>
      <w:keepNext/>
      <w:keepLines/>
      <w:spacing w:before="40" w:line="278" w:lineRule="auto"/>
      <w:ind w:left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0BA"/>
    <w:pPr>
      <w:keepNext/>
      <w:keepLines/>
      <w:spacing w:before="40" w:line="278" w:lineRule="auto"/>
      <w:ind w:left="0" w:firstLine="0"/>
      <w:jc w:val="left"/>
      <w:outlineLvl w:val="6"/>
    </w:pPr>
    <w:rPr>
      <w:rFonts w:eastAsiaTheme="majorEastAsia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0BA"/>
    <w:pPr>
      <w:keepNext/>
      <w:keepLines/>
      <w:spacing w:line="278" w:lineRule="auto"/>
      <w:ind w:left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0BA"/>
    <w:pPr>
      <w:keepNext/>
      <w:keepLines/>
      <w:spacing w:line="278" w:lineRule="auto"/>
      <w:ind w:left="0" w:firstLine="0"/>
      <w:jc w:val="left"/>
      <w:outlineLvl w:val="8"/>
    </w:pPr>
    <w:rPr>
      <w:rFonts w:eastAsiaTheme="majorEastAsia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0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0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0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0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0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0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0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0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0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0BA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5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0BA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50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0BA"/>
    <w:pPr>
      <w:spacing w:before="160" w:after="160" w:line="278" w:lineRule="auto"/>
      <w:ind w:left="0" w:firstLine="0"/>
      <w:jc w:val="center"/>
    </w:pPr>
    <w:rPr>
      <w:rFonts w:eastAsia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50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4950BA"/>
    <w:pPr>
      <w:spacing w:after="160" w:line="278" w:lineRule="auto"/>
      <w:ind w:left="720" w:firstLine="0"/>
      <w:contextualSpacing/>
      <w:jc w:val="left"/>
    </w:pPr>
    <w:rPr>
      <w:rFonts w:eastAsia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50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0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0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0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413</Words>
  <Characters>2453</Characters>
  <Application>Microsoft Office Word</Application>
  <DocSecurity>0</DocSecurity>
  <Lines>45</Lines>
  <Paragraphs>10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2026-03-19T07:39:00Z</dcterms:created>
  <dcterms:modified xsi:type="dcterms:W3CDTF">2026-03-19T07:40:00Z</dcterms:modified>
</cp:coreProperties>
</file>