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54D30" w14:textId="77777777" w:rsidR="00130A8B" w:rsidRDefault="00000000">
      <w:pPr>
        <w:pStyle w:val="1"/>
        <w:spacing w:line="360" w:lineRule="auto"/>
        <w:jc w:val="lef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Supporting Information</w:t>
      </w:r>
    </w:p>
    <w:p w14:paraId="2A7F12E4" w14:textId="77777777" w:rsidR="00130A8B" w:rsidRDefault="00000000">
      <w:pPr>
        <w:spacing w:line="360" w:lineRule="auto"/>
        <w:rPr>
          <w:b/>
          <w:bCs/>
          <w:color w:val="000000" w:themeColor="text1"/>
          <w:sz w:val="32"/>
          <w:szCs w:val="32"/>
        </w:rPr>
      </w:pPr>
      <w:bookmarkStart w:id="0" w:name="_Hlk182212780"/>
      <w:bookmarkStart w:id="1" w:name="_Hlk186484518"/>
      <w:r>
        <w:rPr>
          <w:b/>
          <w:bCs/>
          <w:color w:val="000000" w:themeColor="text1"/>
          <w:sz w:val="32"/>
          <w:szCs w:val="32"/>
        </w:rPr>
        <w:t>In situ electrochemical activation converts carbon disulfide into an organosulfide cathode material for rechargeable lithium-organosulfide batteries</w:t>
      </w:r>
    </w:p>
    <w:bookmarkEnd w:id="0"/>
    <w:bookmarkEnd w:id="1"/>
    <w:p w14:paraId="2432071D" w14:textId="77777777" w:rsidR="00130A8B" w:rsidRDefault="00130A8B">
      <w:pPr>
        <w:spacing w:line="360" w:lineRule="auto"/>
      </w:pPr>
    </w:p>
    <w:p w14:paraId="2E47A88C" w14:textId="77777777" w:rsidR="00130A8B" w:rsidRDefault="00130A8B">
      <w:pPr>
        <w:spacing w:line="360" w:lineRule="auto"/>
      </w:pPr>
    </w:p>
    <w:p w14:paraId="0E19C181" w14:textId="77777777" w:rsidR="00130A8B" w:rsidRDefault="00130A8B">
      <w:pPr>
        <w:spacing w:line="360" w:lineRule="auto"/>
      </w:pPr>
    </w:p>
    <w:p w14:paraId="0D211FA6" w14:textId="77777777" w:rsidR="00130A8B" w:rsidRDefault="00130A8B">
      <w:pPr>
        <w:spacing w:line="360" w:lineRule="auto"/>
      </w:pPr>
    </w:p>
    <w:p w14:paraId="4AC7D61B" w14:textId="77777777" w:rsidR="00130A8B" w:rsidRDefault="00130A8B">
      <w:pPr>
        <w:spacing w:line="360" w:lineRule="auto"/>
      </w:pPr>
    </w:p>
    <w:p w14:paraId="6F6DA97D" w14:textId="77777777" w:rsidR="00130A8B" w:rsidRDefault="00130A8B">
      <w:pPr>
        <w:spacing w:line="360" w:lineRule="auto"/>
      </w:pPr>
    </w:p>
    <w:p w14:paraId="5D0C1EE3" w14:textId="77777777" w:rsidR="00130A8B" w:rsidRDefault="00000000">
      <w:pPr>
        <w:widowControl/>
        <w:spacing w:line="360" w:lineRule="auto"/>
        <w:jc w:val="left"/>
      </w:pPr>
      <w:r>
        <w:br w:type="page"/>
      </w:r>
    </w:p>
    <w:p w14:paraId="283499D5" w14:textId="77777777" w:rsidR="004D7DE0" w:rsidRDefault="004D7DE0" w:rsidP="004D7DE0">
      <w:pPr>
        <w:widowControl/>
        <w:jc w:val="left"/>
        <w:rPr>
          <w:sz w:val="24"/>
          <w:szCs w:val="24"/>
        </w:rPr>
      </w:pPr>
      <w:r w:rsidRPr="00BD7254">
        <w:rPr>
          <w:noProof/>
        </w:rPr>
        <w:lastRenderedPageBreak/>
        <w:drawing>
          <wp:inline distT="0" distB="0" distL="0" distR="0" wp14:anchorId="29937C0A" wp14:editId="1A0A43D5">
            <wp:extent cx="5274310" cy="2927329"/>
            <wp:effectExtent l="0" t="0" r="2540" b="6985"/>
            <wp:docPr id="172877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79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446B" w14:textId="05A960A5" w:rsidR="004D7DE0" w:rsidRDefault="004D7DE0" w:rsidP="004D7DE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S1.</w:t>
      </w:r>
      <w:r>
        <w:rPr>
          <w:sz w:val="24"/>
          <w:szCs w:val="24"/>
        </w:rPr>
        <w:t xml:space="preserve"> </w:t>
      </w:r>
      <w:r w:rsidRPr="00BD7254">
        <w:rPr>
          <w:rFonts w:hint="eastAsia"/>
          <w:sz w:val="24"/>
          <w:szCs w:val="24"/>
        </w:rPr>
        <w:t>The first-cycle CV in a Li//CS</w:t>
      </w:r>
      <w:r w:rsidRPr="00BD7254">
        <w:rPr>
          <w:rFonts w:hint="eastAsia"/>
          <w:sz w:val="24"/>
          <w:szCs w:val="24"/>
          <w:vertAlign w:val="subscript"/>
        </w:rPr>
        <w:t>2</w:t>
      </w:r>
      <w:r w:rsidRPr="00BD7254">
        <w:rPr>
          <w:rFonts w:hint="eastAsia"/>
          <w:sz w:val="24"/>
          <w:szCs w:val="24"/>
        </w:rPr>
        <w:t xml:space="preserve"> battery under different scanning ranges.</w:t>
      </w:r>
      <w:r w:rsidRPr="00BD7254">
        <w:rPr>
          <w:sz w:val="24"/>
          <w:szCs w:val="24"/>
        </w:rPr>
        <w:t xml:space="preserve"> (</w:t>
      </w:r>
      <w:r w:rsidRPr="00BD7254">
        <w:rPr>
          <w:rFonts w:hint="eastAsia"/>
          <w:sz w:val="24"/>
          <w:szCs w:val="24"/>
        </w:rPr>
        <w:t>a</w:t>
      </w:r>
      <w:r w:rsidRPr="00BD7254">
        <w:rPr>
          <w:sz w:val="24"/>
          <w:szCs w:val="24"/>
        </w:rPr>
        <w:t>) scanning range 3.</w:t>
      </w:r>
      <w:r w:rsidRPr="00BD7254">
        <w:rPr>
          <w:rFonts w:hint="eastAsia"/>
          <w:sz w:val="24"/>
          <w:szCs w:val="24"/>
        </w:rPr>
        <w:t>0</w:t>
      </w:r>
      <w:r w:rsidRPr="00BD7254">
        <w:rPr>
          <w:sz w:val="24"/>
          <w:szCs w:val="24"/>
        </w:rPr>
        <w:t>-1.7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V vs Li/Li</w:t>
      </w:r>
      <w:r w:rsidRPr="00BD7254">
        <w:rPr>
          <w:sz w:val="24"/>
          <w:szCs w:val="24"/>
          <w:vertAlign w:val="superscript"/>
        </w:rPr>
        <w:t>+</w:t>
      </w:r>
      <w:r w:rsidRPr="00BD7254">
        <w:rPr>
          <w:sz w:val="24"/>
          <w:szCs w:val="24"/>
        </w:rPr>
        <w:t>; (</w:t>
      </w:r>
      <w:r w:rsidRPr="00BD7254">
        <w:rPr>
          <w:rFonts w:hint="eastAsia"/>
          <w:sz w:val="24"/>
          <w:szCs w:val="24"/>
        </w:rPr>
        <w:t>b</w:t>
      </w:r>
      <w:r w:rsidRPr="00BD7254">
        <w:rPr>
          <w:sz w:val="24"/>
          <w:szCs w:val="24"/>
        </w:rPr>
        <w:t>) scanning range 3.</w:t>
      </w:r>
      <w:r w:rsidRPr="00BD7254">
        <w:rPr>
          <w:rFonts w:hint="eastAsia"/>
          <w:sz w:val="24"/>
          <w:szCs w:val="24"/>
        </w:rPr>
        <w:t>0</w:t>
      </w:r>
      <w:r w:rsidRPr="00BD7254">
        <w:rPr>
          <w:sz w:val="24"/>
          <w:szCs w:val="24"/>
        </w:rPr>
        <w:t>-1.5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V vs Li/Li</w:t>
      </w:r>
      <w:r w:rsidRPr="00BD7254">
        <w:rPr>
          <w:sz w:val="24"/>
          <w:szCs w:val="24"/>
          <w:vertAlign w:val="superscript"/>
        </w:rPr>
        <w:t>+</w:t>
      </w:r>
      <w:r w:rsidRPr="00BD7254">
        <w:rPr>
          <w:sz w:val="24"/>
          <w:szCs w:val="24"/>
        </w:rPr>
        <w:t>; (</w:t>
      </w:r>
      <w:r w:rsidRPr="00BD7254">
        <w:rPr>
          <w:rFonts w:hint="eastAsia"/>
          <w:sz w:val="24"/>
          <w:szCs w:val="24"/>
        </w:rPr>
        <w:t>c</w:t>
      </w:r>
      <w:r w:rsidRPr="00BD7254">
        <w:rPr>
          <w:sz w:val="24"/>
          <w:szCs w:val="24"/>
        </w:rPr>
        <w:t>) scanning range 3.</w:t>
      </w:r>
      <w:r w:rsidRPr="00BD7254">
        <w:rPr>
          <w:rFonts w:hint="eastAsia"/>
          <w:sz w:val="24"/>
          <w:szCs w:val="24"/>
        </w:rPr>
        <w:t>0</w:t>
      </w:r>
      <w:r w:rsidRPr="00BD7254">
        <w:rPr>
          <w:sz w:val="24"/>
          <w:szCs w:val="24"/>
        </w:rPr>
        <w:t>-1.0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V vs Li/Li</w:t>
      </w:r>
      <w:r w:rsidRPr="00BD7254">
        <w:rPr>
          <w:sz w:val="24"/>
          <w:szCs w:val="24"/>
          <w:vertAlign w:val="superscript"/>
        </w:rPr>
        <w:t>+</w:t>
      </w:r>
      <w:r w:rsidRPr="00BD7254">
        <w:rPr>
          <w:sz w:val="24"/>
          <w:szCs w:val="24"/>
        </w:rPr>
        <w:t xml:space="preserve">; the second cycle cyclic voltammetry of the </w:t>
      </w:r>
      <w:r w:rsidRPr="00BD7254">
        <w:rPr>
          <w:rFonts w:eastAsia="宋体" w:hint="eastAsia"/>
          <w:sz w:val="24"/>
          <w:szCs w:val="24"/>
        </w:rPr>
        <w:t>Li//CS</w:t>
      </w:r>
      <w:r w:rsidRPr="00BD7254">
        <w:rPr>
          <w:rFonts w:eastAsia="宋体" w:hint="eastAsia"/>
          <w:sz w:val="24"/>
          <w:szCs w:val="24"/>
          <w:vertAlign w:val="subscript"/>
        </w:rPr>
        <w:t>2</w:t>
      </w:r>
      <w:r w:rsidRPr="00BD7254">
        <w:rPr>
          <w:rFonts w:eastAsia="宋体" w:hint="eastAsia"/>
          <w:sz w:val="24"/>
          <w:szCs w:val="24"/>
        </w:rPr>
        <w:t xml:space="preserve"> </w:t>
      </w:r>
      <w:r w:rsidRPr="00BD7254">
        <w:rPr>
          <w:rFonts w:eastAsia="宋体"/>
          <w:sz w:val="24"/>
          <w:szCs w:val="24"/>
        </w:rPr>
        <w:t>battery</w:t>
      </w:r>
      <w:r w:rsidRPr="00BD7254">
        <w:rPr>
          <w:sz w:val="24"/>
          <w:szCs w:val="24"/>
        </w:rPr>
        <w:t xml:space="preserve"> in different scanning ranges: (</w:t>
      </w:r>
      <w:r w:rsidRPr="00BD7254">
        <w:rPr>
          <w:rFonts w:hint="eastAsia"/>
          <w:sz w:val="24"/>
          <w:szCs w:val="24"/>
        </w:rPr>
        <w:t>d</w:t>
      </w:r>
      <w:r w:rsidRPr="00BD7254">
        <w:rPr>
          <w:sz w:val="24"/>
          <w:szCs w:val="24"/>
        </w:rPr>
        <w:t>) scanning range 3.</w:t>
      </w:r>
      <w:r w:rsidRPr="00BD7254">
        <w:rPr>
          <w:rFonts w:hint="eastAsia"/>
          <w:sz w:val="24"/>
          <w:szCs w:val="24"/>
        </w:rPr>
        <w:t>0</w:t>
      </w:r>
      <w:r w:rsidRPr="00BD7254">
        <w:rPr>
          <w:sz w:val="24"/>
          <w:szCs w:val="24"/>
        </w:rPr>
        <w:t>-1.7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V vs Li/Li</w:t>
      </w:r>
      <w:r w:rsidRPr="00BD7254">
        <w:rPr>
          <w:sz w:val="24"/>
          <w:szCs w:val="24"/>
          <w:vertAlign w:val="superscript"/>
        </w:rPr>
        <w:t>+</w:t>
      </w:r>
      <w:r w:rsidRPr="00BD7254">
        <w:rPr>
          <w:sz w:val="24"/>
          <w:szCs w:val="24"/>
        </w:rPr>
        <w:t>; (</w:t>
      </w:r>
      <w:r w:rsidRPr="00BD7254">
        <w:rPr>
          <w:rFonts w:hint="eastAsia"/>
          <w:sz w:val="24"/>
          <w:szCs w:val="24"/>
        </w:rPr>
        <w:t>e</w:t>
      </w:r>
      <w:r w:rsidRPr="00BD7254">
        <w:rPr>
          <w:sz w:val="24"/>
          <w:szCs w:val="24"/>
        </w:rPr>
        <w:t>) scanning range 3.</w:t>
      </w:r>
      <w:r w:rsidRPr="00BD7254">
        <w:rPr>
          <w:rFonts w:hint="eastAsia"/>
          <w:sz w:val="24"/>
          <w:szCs w:val="24"/>
        </w:rPr>
        <w:t>0</w:t>
      </w:r>
      <w:r w:rsidRPr="00BD7254">
        <w:rPr>
          <w:sz w:val="24"/>
          <w:szCs w:val="24"/>
        </w:rPr>
        <w:t>-1.5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V vs Li/Li</w:t>
      </w:r>
      <w:r w:rsidRPr="00BD7254">
        <w:rPr>
          <w:sz w:val="24"/>
          <w:szCs w:val="24"/>
          <w:vertAlign w:val="superscript"/>
        </w:rPr>
        <w:t>+</w:t>
      </w:r>
      <w:r w:rsidRPr="00BD7254">
        <w:rPr>
          <w:sz w:val="24"/>
          <w:szCs w:val="24"/>
        </w:rPr>
        <w:t>; (</w:t>
      </w:r>
      <w:r w:rsidRPr="00BD7254">
        <w:rPr>
          <w:rFonts w:hint="eastAsia"/>
          <w:sz w:val="24"/>
          <w:szCs w:val="24"/>
        </w:rPr>
        <w:t>f</w:t>
      </w:r>
      <w:r w:rsidRPr="00BD7254">
        <w:rPr>
          <w:sz w:val="24"/>
          <w:szCs w:val="24"/>
        </w:rPr>
        <w:t>) scanning range 3.</w:t>
      </w:r>
      <w:r w:rsidRPr="00BD7254">
        <w:rPr>
          <w:rFonts w:hint="eastAsia"/>
          <w:sz w:val="24"/>
          <w:szCs w:val="24"/>
        </w:rPr>
        <w:t>0</w:t>
      </w:r>
      <w:r w:rsidRPr="00BD7254">
        <w:rPr>
          <w:sz w:val="24"/>
          <w:szCs w:val="24"/>
        </w:rPr>
        <w:t>-1.0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V vs Li/Li</w:t>
      </w:r>
      <w:r w:rsidRPr="00BD7254">
        <w:rPr>
          <w:sz w:val="24"/>
          <w:szCs w:val="24"/>
          <w:vertAlign w:val="superscript"/>
        </w:rPr>
        <w:t>+</w:t>
      </w:r>
      <w:r>
        <w:rPr>
          <w:rFonts w:hint="eastAsia"/>
          <w:sz w:val="24"/>
          <w:szCs w:val="24"/>
        </w:rPr>
        <w:t xml:space="preserve">. </w:t>
      </w:r>
      <w:r w:rsidRPr="00BD7254">
        <w:rPr>
          <w:rFonts w:hint="eastAsia"/>
          <w:sz w:val="24"/>
          <w:szCs w:val="24"/>
        </w:rPr>
        <w:t>(The background curve is obtained from control batteries using electrolyte without CS</w:t>
      </w:r>
      <w:r w:rsidRPr="00BD7254">
        <w:rPr>
          <w:rFonts w:hint="eastAsia"/>
          <w:sz w:val="24"/>
          <w:szCs w:val="24"/>
          <w:vertAlign w:val="subscript"/>
        </w:rPr>
        <w:t>2</w:t>
      </w:r>
      <w:r w:rsidRPr="00BD7254">
        <w:rPr>
          <w:rFonts w:hint="eastAsia"/>
          <w:sz w:val="24"/>
          <w:szCs w:val="24"/>
        </w:rPr>
        <w:t>, while maintaining identical electrode configurations to those in the Li//CS</w:t>
      </w:r>
      <w:r w:rsidRPr="00BD7254">
        <w:rPr>
          <w:rFonts w:hint="eastAsia"/>
          <w:sz w:val="24"/>
          <w:szCs w:val="24"/>
          <w:vertAlign w:val="subscript"/>
        </w:rPr>
        <w:t>2</w:t>
      </w:r>
      <w:r w:rsidRPr="00BD7254">
        <w:rPr>
          <w:rFonts w:hint="eastAsia"/>
          <w:sz w:val="24"/>
          <w:szCs w:val="24"/>
        </w:rPr>
        <w:t xml:space="preserve"> battery)</w:t>
      </w:r>
    </w:p>
    <w:p w14:paraId="3509DBAF" w14:textId="16D8FEB3" w:rsidR="004D7DE0" w:rsidRDefault="004D7DE0">
      <w:pPr>
        <w:widowControl/>
        <w:jc w:val="left"/>
      </w:pPr>
      <w:r>
        <w:br w:type="page"/>
      </w:r>
    </w:p>
    <w:p w14:paraId="1DAFD4F9" w14:textId="77777777" w:rsidR="00130A8B" w:rsidRPr="004D7DE0" w:rsidRDefault="00130A8B">
      <w:pPr>
        <w:spacing w:line="360" w:lineRule="auto"/>
        <w:jc w:val="center"/>
      </w:pPr>
    </w:p>
    <w:p w14:paraId="563D8DA8" w14:textId="77777777" w:rsidR="00130A8B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43B8688" wp14:editId="4AA4C581">
            <wp:extent cx="5274310" cy="1923415"/>
            <wp:effectExtent l="0" t="0" r="2540" b="635"/>
            <wp:docPr id="853293826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93826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5202" w14:textId="5163692E" w:rsidR="00130A8B" w:rsidRDefault="0000000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4D7DE0">
        <w:rPr>
          <w:rFonts w:hint="eastAsia"/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 xml:space="preserve">(a) </w:t>
      </w:r>
      <w:r>
        <w:rPr>
          <w:sz w:val="24"/>
          <w:szCs w:val="24"/>
        </w:rPr>
        <w:t xml:space="preserve">Graphic of a </w:t>
      </w:r>
      <w:r>
        <w:rPr>
          <w:color w:val="000000" w:themeColor="text1"/>
          <w:sz w:val="24"/>
          <w:szCs w:val="24"/>
          <w:lang w:val="en-GB"/>
        </w:rPr>
        <w:t>collection device</w:t>
      </w:r>
      <w:r>
        <w:rPr>
          <w:rFonts w:hint="eastAsia"/>
          <w:sz w:val="24"/>
          <w:szCs w:val="24"/>
        </w:rPr>
        <w:t xml:space="preserve">; (b) </w:t>
      </w:r>
      <w:r>
        <w:rPr>
          <w:sz w:val="24"/>
          <w:szCs w:val="24"/>
        </w:rPr>
        <w:t xml:space="preserve">Internal structure of </w:t>
      </w:r>
      <w:r>
        <w:rPr>
          <w:color w:val="000000" w:themeColor="text1"/>
          <w:sz w:val="24"/>
          <w:szCs w:val="24"/>
          <w:lang w:val="en-GB"/>
        </w:rPr>
        <w:t>collection device</w:t>
      </w:r>
      <w:r>
        <w:rPr>
          <w:rFonts w:hint="eastAsia"/>
          <w:sz w:val="24"/>
          <w:szCs w:val="24"/>
        </w:rPr>
        <w:t>.</w:t>
      </w:r>
    </w:p>
    <w:p w14:paraId="6744196D" w14:textId="77777777" w:rsidR="00A66645" w:rsidRDefault="00A66645">
      <w:pPr>
        <w:spacing w:line="360" w:lineRule="auto"/>
        <w:rPr>
          <w:sz w:val="24"/>
          <w:szCs w:val="24"/>
        </w:rPr>
      </w:pPr>
    </w:p>
    <w:p w14:paraId="4F784200" w14:textId="2325CDB4" w:rsidR="00A66645" w:rsidRDefault="00A6664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513599" w14:textId="04A6A543" w:rsidR="00A66645" w:rsidRDefault="00A66645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46EB3A" wp14:editId="3B0F202F">
            <wp:extent cx="5274310" cy="3112135"/>
            <wp:effectExtent l="0" t="0" r="2540" b="0"/>
            <wp:docPr id="89261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13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F4A" w:rsidRPr="00543F4A">
        <w:rPr>
          <w:noProof/>
        </w:rPr>
        <w:t xml:space="preserve"> </w:t>
      </w:r>
      <w:r w:rsidR="00543F4A">
        <w:rPr>
          <w:noProof/>
        </w:rPr>
        <w:drawing>
          <wp:inline distT="0" distB="0" distL="0" distR="0" wp14:anchorId="0B3B69FD" wp14:editId="03362F6E">
            <wp:extent cx="5274310" cy="1527175"/>
            <wp:effectExtent l="0" t="0" r="2540" b="0"/>
            <wp:docPr id="1854496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96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8756" w14:textId="22796F08" w:rsidR="00A66645" w:rsidRDefault="00A66645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S3</w:t>
      </w:r>
      <w:r>
        <w:rPr>
          <w:b/>
          <w:bCs/>
          <w:sz w:val="24"/>
          <w:szCs w:val="24"/>
        </w:rPr>
        <w:t xml:space="preserve">. </w:t>
      </w:r>
      <w:r w:rsidR="00AF66D2" w:rsidRPr="00BD7254">
        <w:rPr>
          <w:sz w:val="24"/>
          <w:szCs w:val="24"/>
          <w:vertAlign w:val="superscript"/>
        </w:rPr>
        <w:t>13</w:t>
      </w:r>
      <w:r w:rsidR="00AF66D2" w:rsidRPr="00BD7254">
        <w:rPr>
          <w:sz w:val="24"/>
          <w:szCs w:val="24"/>
        </w:rPr>
        <w:t xml:space="preserve">C NMR spectra of electrolyte during the </w:t>
      </w:r>
      <w:r w:rsidR="00AF66D2">
        <w:rPr>
          <w:rFonts w:hint="eastAsia"/>
          <w:sz w:val="24"/>
          <w:szCs w:val="24"/>
        </w:rPr>
        <w:t xml:space="preserve">first </w:t>
      </w:r>
      <w:r w:rsidR="00AF66D2" w:rsidRPr="00BD7254">
        <w:rPr>
          <w:sz w:val="24"/>
          <w:szCs w:val="24"/>
        </w:rPr>
        <w:t>discharge process</w:t>
      </w:r>
      <w:r w:rsidR="00AF66D2"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 xml:space="preserve">(a) </w:t>
      </w:r>
      <w:r w:rsidR="00AF66D2">
        <w:rPr>
          <w:rFonts w:hint="eastAsia"/>
          <w:sz w:val="24"/>
          <w:szCs w:val="24"/>
        </w:rPr>
        <w:t>2.7 V</w:t>
      </w:r>
      <w:r>
        <w:rPr>
          <w:rFonts w:hint="eastAsia"/>
          <w:sz w:val="24"/>
          <w:szCs w:val="24"/>
        </w:rPr>
        <w:t>; (b)</w:t>
      </w:r>
      <w:r w:rsidR="00AF66D2">
        <w:rPr>
          <w:rFonts w:hint="eastAsia"/>
          <w:sz w:val="24"/>
          <w:szCs w:val="24"/>
        </w:rPr>
        <w:t xml:space="preserve"> 1.6 V; (c) 1.4 V; (d) 1.0 V; </w:t>
      </w:r>
      <w:r w:rsidR="00AF66D2" w:rsidRPr="00742A24">
        <w:rPr>
          <w:sz w:val="24"/>
          <w:szCs w:val="24"/>
        </w:rPr>
        <w:t>HRMS spectra</w:t>
      </w:r>
      <w:r w:rsidR="00AF66D2">
        <w:rPr>
          <w:rFonts w:hint="eastAsia"/>
          <w:sz w:val="24"/>
          <w:szCs w:val="24"/>
        </w:rPr>
        <w:t xml:space="preserve"> of </w:t>
      </w:r>
      <w:r w:rsidR="00AF66D2" w:rsidRPr="00BD7254">
        <w:rPr>
          <w:sz w:val="24"/>
          <w:szCs w:val="24"/>
        </w:rPr>
        <w:t xml:space="preserve">electrolyte </w:t>
      </w:r>
      <w:r w:rsidR="00AF66D2">
        <w:rPr>
          <w:rFonts w:hint="eastAsia"/>
          <w:sz w:val="24"/>
          <w:szCs w:val="24"/>
        </w:rPr>
        <w:t>at first discharge: (e) 1.6 V; (f) 1.0 V.</w:t>
      </w:r>
    </w:p>
    <w:p w14:paraId="1CD966C7" w14:textId="0F07E645" w:rsidR="00130A8B" w:rsidRPr="00E26B0B" w:rsidRDefault="004D7DE0" w:rsidP="004D7DE0">
      <w:pPr>
        <w:widowControl/>
        <w:jc w:val="left"/>
      </w:pPr>
      <w:r>
        <w:br w:type="page"/>
      </w:r>
    </w:p>
    <w:p w14:paraId="47CCD57E" w14:textId="77777777" w:rsidR="00A41486" w:rsidRDefault="00A41486" w:rsidP="00A4148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EBB2DA2" wp14:editId="5DD262B0">
            <wp:extent cx="2858900" cy="2394578"/>
            <wp:effectExtent l="0" t="0" r="0" b="6350"/>
            <wp:docPr id="10115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4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1296" cy="24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1772" w14:textId="1BE358AA" w:rsidR="00A41486" w:rsidRDefault="00A41486" w:rsidP="00A41486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S4</w:t>
      </w:r>
      <w:r>
        <w:rPr>
          <w:b/>
          <w:bCs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 xml:space="preserve">The charge/discharge curves of LTTO. </w:t>
      </w:r>
      <w:r>
        <w:rPr>
          <w:bCs/>
          <w:sz w:val="24"/>
          <w:szCs w:val="24"/>
        </w:rPr>
        <w:t xml:space="preserve">(Preparation method: First synthesize LTTO by chemical method, then disperse LTTO in DME, and drop the mixed solution onto carbon </w:t>
      </w:r>
      <w:r>
        <w:rPr>
          <w:rFonts w:hint="eastAsia"/>
          <w:bCs/>
          <w:sz w:val="24"/>
          <w:szCs w:val="24"/>
        </w:rPr>
        <w:t>paper</w:t>
      </w:r>
      <w:r>
        <w:rPr>
          <w:bCs/>
          <w:sz w:val="24"/>
          <w:szCs w:val="24"/>
        </w:rPr>
        <w:t xml:space="preserve"> to obtain the electrode with LTTO. Subsequently, assemble a coin </w:t>
      </w:r>
      <w:r>
        <w:rPr>
          <w:rFonts w:hint="eastAsia"/>
          <w:bCs/>
          <w:sz w:val="24"/>
          <w:szCs w:val="24"/>
        </w:rPr>
        <w:t>battery</w:t>
      </w:r>
      <w:r>
        <w:rPr>
          <w:bCs/>
          <w:sz w:val="24"/>
          <w:szCs w:val="24"/>
        </w:rPr>
        <w:t xml:space="preserve"> using the Li//CS</w:t>
      </w:r>
      <w:r>
        <w:rPr>
          <w:bCs/>
          <w:sz w:val="24"/>
          <w:szCs w:val="24"/>
          <w:vertAlign w:val="subscript"/>
        </w:rPr>
        <w:t>2</w:t>
      </w:r>
      <w:r>
        <w:rPr>
          <w:bCs/>
          <w:sz w:val="24"/>
          <w:szCs w:val="24"/>
        </w:rPr>
        <w:t xml:space="preserve"> battery preparation method and perform charge/discharge tests.</w:t>
      </w:r>
      <w:r>
        <w:rPr>
          <w:rFonts w:hint="eastAsia"/>
          <w:bCs/>
          <w:sz w:val="24"/>
          <w:szCs w:val="24"/>
        </w:rPr>
        <w:t xml:space="preserve"> The specific capacities mentioned above are calculated based on the mass of LTTO.</w:t>
      </w:r>
      <w:r>
        <w:rPr>
          <w:bCs/>
          <w:sz w:val="24"/>
          <w:szCs w:val="24"/>
        </w:rPr>
        <w:t>)</w:t>
      </w:r>
    </w:p>
    <w:p w14:paraId="614FA72A" w14:textId="6B20D4AC" w:rsidR="00A41486" w:rsidRDefault="00A41486">
      <w:pPr>
        <w:widowControl/>
        <w:jc w:val="left"/>
      </w:pPr>
      <w:r>
        <w:br w:type="page"/>
      </w:r>
    </w:p>
    <w:p w14:paraId="658BC969" w14:textId="77777777" w:rsidR="00A41486" w:rsidRPr="00A41486" w:rsidRDefault="00A41486" w:rsidP="00821713">
      <w:pPr>
        <w:spacing w:line="360" w:lineRule="auto"/>
        <w:jc w:val="center"/>
      </w:pPr>
    </w:p>
    <w:p w14:paraId="7ACA8459" w14:textId="24C98067" w:rsidR="00821713" w:rsidRDefault="00F644CC" w:rsidP="0082171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7FF112C" wp14:editId="7C63A26E">
            <wp:extent cx="5274310" cy="2095500"/>
            <wp:effectExtent l="0" t="0" r="2540" b="0"/>
            <wp:docPr id="2087605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053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3DF2" w14:textId="0A2D2CF3" w:rsidR="00821713" w:rsidRDefault="00821713" w:rsidP="00821713">
      <w:pPr>
        <w:spacing w:line="360" w:lineRule="auto"/>
        <w:rPr>
          <w:color w:val="000000" w:themeColor="text1"/>
          <w:sz w:val="24"/>
          <w:szCs w:val="24"/>
        </w:rPr>
      </w:pPr>
      <w:bookmarkStart w:id="2" w:name="_Hlk183503668"/>
      <w:r>
        <w:rPr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hint="eastAsia"/>
          <w:b/>
          <w:bCs/>
          <w:color w:val="000000" w:themeColor="text1"/>
          <w:sz w:val="24"/>
          <w:szCs w:val="24"/>
        </w:rPr>
        <w:t>S</w:t>
      </w:r>
      <w:r w:rsidR="00A41486">
        <w:rPr>
          <w:rFonts w:hint="eastAsia"/>
          <w:b/>
          <w:bCs/>
          <w:color w:val="000000" w:themeColor="text1"/>
          <w:sz w:val="24"/>
          <w:szCs w:val="24"/>
        </w:rPr>
        <w:t>5</w:t>
      </w:r>
      <w:r>
        <w:rPr>
          <w:rFonts w:hint="eastAsia"/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bookmarkEnd w:id="2"/>
      <w:r>
        <w:rPr>
          <w:color w:val="000000" w:themeColor="text1"/>
          <w:sz w:val="24"/>
          <w:szCs w:val="24"/>
        </w:rPr>
        <w:t>HRMS</w:t>
      </w:r>
      <w:r>
        <w:rPr>
          <w:rFonts w:hint="eastAsia"/>
          <w:color w:val="000000" w:themeColor="text1"/>
          <w:sz w:val="24"/>
          <w:szCs w:val="24"/>
        </w:rPr>
        <w:t xml:space="preserve"> and </w:t>
      </w:r>
      <w:r>
        <w:rPr>
          <w:color w:val="000000" w:themeColor="text1"/>
          <w:sz w:val="24"/>
          <w:szCs w:val="24"/>
        </w:rPr>
        <w:t>molecul</w:t>
      </w:r>
      <w:r>
        <w:rPr>
          <w:rFonts w:hint="eastAsia"/>
          <w:color w:val="000000" w:themeColor="text1"/>
          <w:sz w:val="24"/>
          <w:szCs w:val="24"/>
        </w:rPr>
        <w:t>ar structure</w:t>
      </w:r>
      <w:r>
        <w:rPr>
          <w:color w:val="000000" w:themeColor="text1"/>
          <w:sz w:val="24"/>
          <w:szCs w:val="24"/>
        </w:rPr>
        <w:t xml:space="preserve"> of </w:t>
      </w:r>
      <w:r>
        <w:rPr>
          <w:rFonts w:hint="eastAsia"/>
          <w:color w:val="000000" w:themeColor="text1"/>
          <w:sz w:val="24"/>
          <w:szCs w:val="24"/>
          <w:lang w:val="en-GB"/>
        </w:rPr>
        <w:t xml:space="preserve">different </w:t>
      </w:r>
      <w:r>
        <w:rPr>
          <w:sz w:val="24"/>
          <w:szCs w:val="24"/>
          <w:lang w:val="en-GB"/>
        </w:rPr>
        <w:t>substances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: (</w:t>
      </w:r>
      <w:r>
        <w:rPr>
          <w:rFonts w:eastAsia="宋体" w:hint="eastAsia"/>
          <w:color w:val="000000" w:themeColor="text1"/>
          <w:sz w:val="24"/>
          <w:szCs w:val="24"/>
        </w:rPr>
        <w:t>c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)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eastAsia="宋体"/>
          <w:color w:val="000000" w:themeColor="text1"/>
          <w:sz w:val="24"/>
          <w:szCs w:val="24"/>
          <w:lang w:val="en-GB"/>
        </w:rPr>
        <w:t>Li</w:t>
      </w:r>
      <w:r>
        <w:rPr>
          <w:rFonts w:eastAsia="宋体" w:hint="eastAsia"/>
          <w:color w:val="000000" w:themeColor="text1"/>
          <w:sz w:val="24"/>
          <w:szCs w:val="24"/>
          <w:vertAlign w:val="subscript"/>
          <w:lang w:val="en-GB"/>
        </w:rPr>
        <w:t>2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C</w:t>
      </w:r>
      <w:r>
        <w:rPr>
          <w:rFonts w:eastAsia="宋体" w:hint="eastAsia"/>
          <w:color w:val="000000" w:themeColor="text1"/>
          <w:sz w:val="24"/>
          <w:szCs w:val="24"/>
          <w:vertAlign w:val="subscript"/>
          <w:lang w:val="en-GB"/>
        </w:rPr>
        <w:t>5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S</w:t>
      </w:r>
      <w:r>
        <w:rPr>
          <w:rFonts w:eastAsia="宋体" w:hint="eastAsia"/>
          <w:color w:val="000000" w:themeColor="text1"/>
          <w:sz w:val="24"/>
          <w:szCs w:val="24"/>
          <w:vertAlign w:val="subscript"/>
          <w:lang w:val="en-GB"/>
        </w:rPr>
        <w:t>10</w:t>
      </w:r>
      <w:r>
        <w:rPr>
          <w:rFonts w:hint="eastAsia"/>
          <w:color w:val="000000" w:themeColor="text1"/>
          <w:sz w:val="24"/>
          <w:szCs w:val="24"/>
        </w:rPr>
        <w:t xml:space="preserve">; 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(</w:t>
      </w:r>
      <w:r>
        <w:rPr>
          <w:rFonts w:eastAsia="宋体" w:hint="eastAsia"/>
          <w:color w:val="000000" w:themeColor="text1"/>
          <w:sz w:val="24"/>
          <w:szCs w:val="24"/>
        </w:rPr>
        <w:t>d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)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eastAsia="宋体"/>
          <w:color w:val="000000" w:themeColor="text1"/>
          <w:sz w:val="24"/>
          <w:szCs w:val="24"/>
          <w:lang w:val="en-GB"/>
        </w:rPr>
        <w:t>Li</w:t>
      </w:r>
      <w:r>
        <w:rPr>
          <w:rFonts w:eastAsia="宋体" w:hint="eastAsia"/>
          <w:color w:val="000000" w:themeColor="text1"/>
          <w:sz w:val="24"/>
          <w:szCs w:val="24"/>
          <w:vertAlign w:val="subscript"/>
          <w:lang w:val="en-GB"/>
        </w:rPr>
        <w:t>2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C</w:t>
      </w:r>
      <w:r w:rsidR="00A51769">
        <w:rPr>
          <w:rFonts w:eastAsia="宋体" w:hint="eastAsia"/>
          <w:color w:val="000000" w:themeColor="text1"/>
          <w:sz w:val="24"/>
          <w:szCs w:val="24"/>
          <w:vertAlign w:val="subscript"/>
          <w:lang w:val="en-GB"/>
        </w:rPr>
        <w:t>8</w:t>
      </w:r>
      <w:r>
        <w:rPr>
          <w:rFonts w:eastAsia="宋体" w:hint="eastAsia"/>
          <w:color w:val="000000" w:themeColor="text1"/>
          <w:sz w:val="24"/>
          <w:szCs w:val="24"/>
          <w:lang w:val="en-GB"/>
        </w:rPr>
        <w:t>S</w:t>
      </w:r>
      <w:r w:rsidR="00A51769">
        <w:rPr>
          <w:rFonts w:eastAsia="宋体" w:hint="eastAsia"/>
          <w:color w:val="000000" w:themeColor="text1"/>
          <w:sz w:val="24"/>
          <w:szCs w:val="24"/>
          <w:vertAlign w:val="subscript"/>
          <w:lang w:val="en-GB"/>
        </w:rPr>
        <w:t>16</w:t>
      </w:r>
      <w:r>
        <w:rPr>
          <w:rFonts w:hint="eastAsia"/>
          <w:color w:val="000000" w:themeColor="text1"/>
          <w:sz w:val="24"/>
          <w:szCs w:val="24"/>
        </w:rPr>
        <w:t>.</w:t>
      </w:r>
    </w:p>
    <w:p w14:paraId="1B35841A" w14:textId="77777777" w:rsidR="00130A8B" w:rsidRPr="00821713" w:rsidRDefault="00130A8B">
      <w:pPr>
        <w:spacing w:line="360" w:lineRule="auto"/>
      </w:pPr>
    </w:p>
    <w:p w14:paraId="6F19A3FF" w14:textId="77777777" w:rsidR="00130A8B" w:rsidRDefault="00130A8B">
      <w:pPr>
        <w:spacing w:line="360" w:lineRule="auto"/>
        <w:jc w:val="center"/>
      </w:pPr>
    </w:p>
    <w:p w14:paraId="1EF9A043" w14:textId="7B957BD5" w:rsidR="00130A8B" w:rsidRPr="002D3657" w:rsidRDefault="00000000">
      <w:pPr>
        <w:widowControl/>
        <w:spacing w:line="360" w:lineRule="auto"/>
        <w:jc w:val="left"/>
      </w:pPr>
      <w:r>
        <w:br w:type="page"/>
      </w:r>
    </w:p>
    <w:p w14:paraId="3DD03FF5" w14:textId="62051EBD" w:rsidR="00130A8B" w:rsidRDefault="00A914A4">
      <w:pPr>
        <w:spacing w:line="360" w:lineRule="auto"/>
        <w:jc w:val="center"/>
        <w:rPr>
          <w:b/>
        </w:rPr>
      </w:pPr>
      <w:r w:rsidRPr="00A914A4">
        <w:rPr>
          <w:noProof/>
        </w:rPr>
        <w:lastRenderedPageBreak/>
        <w:t xml:space="preserve"> </w:t>
      </w:r>
      <w:r w:rsidR="00A44076">
        <w:rPr>
          <w:noProof/>
        </w:rPr>
        <w:drawing>
          <wp:inline distT="0" distB="0" distL="0" distR="0" wp14:anchorId="5E61E7D6" wp14:editId="409A8919">
            <wp:extent cx="3319325" cy="3444409"/>
            <wp:effectExtent l="0" t="0" r="0" b="3810"/>
            <wp:docPr id="1255345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50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4400" cy="34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7065" w14:textId="7159D1BF" w:rsidR="00130A8B" w:rsidRDefault="00000000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A41486">
        <w:rPr>
          <w:rFonts w:hint="eastAsia"/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. </w:t>
      </w:r>
      <w:bookmarkStart w:id="3" w:name="_Hlk190417186"/>
      <w:r>
        <w:rPr>
          <w:sz w:val="24"/>
          <w:szCs w:val="24"/>
        </w:rPr>
        <w:t>HRMS</w:t>
      </w:r>
      <w:r>
        <w:rPr>
          <w:rFonts w:hint="eastAsia"/>
          <w:sz w:val="24"/>
          <w:szCs w:val="24"/>
        </w:rPr>
        <w:t xml:space="preserve"> and </w:t>
      </w:r>
      <w:r>
        <w:rPr>
          <w:sz w:val="24"/>
          <w:szCs w:val="24"/>
        </w:rPr>
        <w:t>molecul</w:t>
      </w:r>
      <w:r>
        <w:rPr>
          <w:rFonts w:hint="eastAsia"/>
          <w:sz w:val="24"/>
          <w:szCs w:val="24"/>
        </w:rPr>
        <w:t>ar structure</w:t>
      </w:r>
      <w:r>
        <w:rPr>
          <w:sz w:val="24"/>
          <w:szCs w:val="24"/>
        </w:rPr>
        <w:t xml:space="preserve"> of </w:t>
      </w:r>
      <w:r>
        <w:rPr>
          <w:rFonts w:hint="eastAsia"/>
          <w:sz w:val="24"/>
          <w:szCs w:val="24"/>
          <w:lang w:val="en-GB"/>
        </w:rPr>
        <w:t xml:space="preserve">different </w:t>
      </w:r>
      <w:r w:rsidR="00A914A4" w:rsidRPr="00A06EDA">
        <w:rPr>
          <w:rFonts w:eastAsia="宋体"/>
          <w:sz w:val="24"/>
          <w:szCs w:val="24"/>
          <w:lang w:val="en-GB"/>
        </w:rPr>
        <w:t>Li</w:t>
      </w:r>
      <w:r w:rsidR="00A914A4" w:rsidRPr="00A06EDA">
        <w:rPr>
          <w:rFonts w:eastAsia="宋体" w:hint="eastAsia"/>
          <w:sz w:val="24"/>
          <w:szCs w:val="24"/>
          <w:vertAlign w:val="subscript"/>
          <w:lang w:val="en-GB"/>
        </w:rPr>
        <w:t>2</w:t>
      </w:r>
      <w:r w:rsidR="00A914A4" w:rsidRPr="00A06EDA">
        <w:rPr>
          <w:rFonts w:eastAsia="宋体"/>
          <w:sz w:val="24"/>
          <w:szCs w:val="24"/>
          <w:lang w:val="en-GB"/>
        </w:rPr>
        <w:t>C</w:t>
      </w:r>
      <w:r w:rsidR="00A914A4">
        <w:rPr>
          <w:rFonts w:eastAsia="宋体" w:hint="eastAsia"/>
          <w:sz w:val="24"/>
          <w:szCs w:val="24"/>
          <w:vertAlign w:val="subscript"/>
          <w:lang w:val="en-GB"/>
        </w:rPr>
        <w:t>x</w:t>
      </w:r>
      <w:r w:rsidR="00A914A4" w:rsidRPr="00A06EDA">
        <w:rPr>
          <w:rFonts w:eastAsia="宋体"/>
          <w:sz w:val="24"/>
          <w:szCs w:val="24"/>
          <w:lang w:val="en-GB"/>
        </w:rPr>
        <w:t>S</w:t>
      </w:r>
      <w:r w:rsidR="00A914A4">
        <w:rPr>
          <w:rFonts w:eastAsia="宋体" w:hint="eastAsia"/>
          <w:sz w:val="24"/>
          <w:szCs w:val="24"/>
          <w:vertAlign w:val="subscript"/>
          <w:lang w:val="en-GB"/>
        </w:rPr>
        <w:t>y</w:t>
      </w:r>
      <w:r>
        <w:rPr>
          <w:rFonts w:eastAsia="宋体" w:hint="eastAsia"/>
          <w:sz w:val="24"/>
          <w:szCs w:val="24"/>
          <w:lang w:val="en-GB"/>
        </w:rPr>
        <w:t>: (a)</w:t>
      </w:r>
      <w:r>
        <w:rPr>
          <w:rFonts w:hint="eastAsia"/>
          <w:sz w:val="24"/>
          <w:szCs w:val="24"/>
        </w:rPr>
        <w:t xml:space="preserve"> </w:t>
      </w:r>
      <w:r w:rsidR="00A914A4" w:rsidRPr="00A06EDA">
        <w:rPr>
          <w:rFonts w:eastAsia="宋体"/>
          <w:sz w:val="24"/>
          <w:szCs w:val="24"/>
          <w:lang w:val="en-GB"/>
        </w:rPr>
        <w:t>Li</w:t>
      </w:r>
      <w:r w:rsidR="00A914A4" w:rsidRPr="00A06EDA">
        <w:rPr>
          <w:rFonts w:eastAsia="宋体" w:hint="eastAsia"/>
          <w:sz w:val="24"/>
          <w:szCs w:val="24"/>
          <w:vertAlign w:val="subscript"/>
          <w:lang w:val="en-GB"/>
        </w:rPr>
        <w:t>2</w:t>
      </w:r>
      <w:r w:rsidR="00A914A4" w:rsidRPr="00A06EDA">
        <w:rPr>
          <w:rFonts w:eastAsia="宋体"/>
          <w:sz w:val="24"/>
          <w:szCs w:val="24"/>
          <w:lang w:val="en-GB"/>
        </w:rPr>
        <w:t>C</w:t>
      </w:r>
      <w:r w:rsidR="00A914A4">
        <w:rPr>
          <w:rFonts w:eastAsia="宋体" w:hint="eastAsia"/>
          <w:sz w:val="24"/>
          <w:szCs w:val="24"/>
          <w:vertAlign w:val="subscript"/>
          <w:lang w:val="en-GB"/>
        </w:rPr>
        <w:t>12</w:t>
      </w:r>
      <w:r w:rsidR="00A914A4" w:rsidRPr="00A06EDA">
        <w:rPr>
          <w:rFonts w:eastAsia="宋体"/>
          <w:sz w:val="24"/>
          <w:szCs w:val="24"/>
          <w:lang w:val="en-GB"/>
        </w:rPr>
        <w:t>S</w:t>
      </w:r>
      <w:r w:rsidR="00A914A4">
        <w:rPr>
          <w:rFonts w:eastAsia="宋体" w:hint="eastAsia"/>
          <w:sz w:val="24"/>
          <w:szCs w:val="24"/>
          <w:vertAlign w:val="subscript"/>
          <w:lang w:val="en-GB"/>
        </w:rPr>
        <w:t>24</w:t>
      </w:r>
      <w:r>
        <w:rPr>
          <w:rFonts w:hint="eastAsia"/>
          <w:sz w:val="24"/>
          <w:szCs w:val="24"/>
        </w:rPr>
        <w:t xml:space="preserve">; </w:t>
      </w:r>
      <w:r>
        <w:rPr>
          <w:rFonts w:eastAsia="宋体" w:hint="eastAsia"/>
          <w:sz w:val="24"/>
          <w:szCs w:val="24"/>
          <w:lang w:val="en-GB"/>
        </w:rPr>
        <w:t>(b)</w:t>
      </w:r>
      <w:r>
        <w:rPr>
          <w:rFonts w:hint="eastAsia"/>
          <w:sz w:val="24"/>
          <w:szCs w:val="24"/>
        </w:rPr>
        <w:t xml:space="preserve"> </w:t>
      </w:r>
      <w:r w:rsidR="00A914A4" w:rsidRPr="00A06EDA">
        <w:rPr>
          <w:rFonts w:eastAsia="宋体"/>
          <w:sz w:val="24"/>
          <w:szCs w:val="24"/>
          <w:lang w:val="en-GB"/>
        </w:rPr>
        <w:t>Li</w:t>
      </w:r>
      <w:r w:rsidR="00A914A4" w:rsidRPr="00A06EDA">
        <w:rPr>
          <w:rFonts w:eastAsia="宋体" w:hint="eastAsia"/>
          <w:sz w:val="24"/>
          <w:szCs w:val="24"/>
          <w:vertAlign w:val="subscript"/>
          <w:lang w:val="en-GB"/>
        </w:rPr>
        <w:t>2</w:t>
      </w:r>
      <w:r w:rsidR="00A914A4" w:rsidRPr="00A06EDA">
        <w:rPr>
          <w:rFonts w:eastAsia="宋体"/>
          <w:sz w:val="24"/>
          <w:szCs w:val="24"/>
          <w:lang w:val="en-GB"/>
        </w:rPr>
        <w:t>C</w:t>
      </w:r>
      <w:r w:rsidR="00A914A4">
        <w:rPr>
          <w:rFonts w:eastAsia="宋体" w:hint="eastAsia"/>
          <w:sz w:val="24"/>
          <w:szCs w:val="24"/>
          <w:vertAlign w:val="subscript"/>
          <w:lang w:val="en-GB"/>
        </w:rPr>
        <w:t>14</w:t>
      </w:r>
      <w:r w:rsidR="00A914A4" w:rsidRPr="00A06EDA">
        <w:rPr>
          <w:rFonts w:eastAsia="宋体"/>
          <w:sz w:val="24"/>
          <w:szCs w:val="24"/>
          <w:lang w:val="en-GB"/>
        </w:rPr>
        <w:t>S</w:t>
      </w:r>
      <w:r w:rsidR="00A914A4">
        <w:rPr>
          <w:rFonts w:eastAsia="宋体" w:hint="eastAsia"/>
          <w:sz w:val="24"/>
          <w:szCs w:val="24"/>
          <w:vertAlign w:val="subscript"/>
          <w:lang w:val="en-GB"/>
        </w:rPr>
        <w:t>28</w:t>
      </w:r>
      <w:bookmarkEnd w:id="3"/>
      <w:r>
        <w:rPr>
          <w:rFonts w:hint="eastAsia"/>
          <w:sz w:val="24"/>
          <w:szCs w:val="24"/>
        </w:rPr>
        <w:t>.</w:t>
      </w:r>
    </w:p>
    <w:p w14:paraId="1F0EBD18" w14:textId="77777777" w:rsidR="00130A8B" w:rsidRDefault="00130A8B">
      <w:pPr>
        <w:spacing w:line="360" w:lineRule="auto"/>
        <w:rPr>
          <w:sz w:val="24"/>
          <w:szCs w:val="24"/>
        </w:rPr>
      </w:pPr>
    </w:p>
    <w:p w14:paraId="6535BDF0" w14:textId="219166C7" w:rsidR="008653A9" w:rsidRDefault="00A44076" w:rsidP="00860A2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BC0B30" w14:textId="5E676AD4" w:rsidR="00571F51" w:rsidRDefault="00571F51" w:rsidP="00571F51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7A27D3" wp14:editId="460222DD">
            <wp:extent cx="3467100" cy="1801589"/>
            <wp:effectExtent l="0" t="0" r="0" b="8255"/>
            <wp:docPr id="1007908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088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6588" cy="180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DBA6" w14:textId="2C34916F" w:rsidR="00D23CE4" w:rsidRDefault="00D23CE4" w:rsidP="00E816C6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DD7B63">
        <w:rPr>
          <w:rFonts w:hint="eastAsia"/>
          <w:b/>
          <w:bCs/>
          <w:sz w:val="24"/>
          <w:szCs w:val="24"/>
        </w:rPr>
        <w:t>7</w:t>
      </w:r>
      <w:r>
        <w:rPr>
          <w:rFonts w:hint="eastAsia"/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23CE4">
        <w:rPr>
          <w:sz w:val="24"/>
          <w:szCs w:val="24"/>
        </w:rPr>
        <w:t>Cycle Performance of the Li//CS₂ Battery with a 48-Hour Rest Period at the 45th Cycle</w:t>
      </w:r>
      <w:r>
        <w:rPr>
          <w:rFonts w:hint="eastAsia"/>
          <w:sz w:val="24"/>
          <w:szCs w:val="24"/>
        </w:rPr>
        <w:t>.</w:t>
      </w:r>
    </w:p>
    <w:p w14:paraId="176541F3" w14:textId="4AAC8854" w:rsidR="008653A9" w:rsidRDefault="00860A2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E7C6E2" w14:textId="13591AFC" w:rsidR="00904DAF" w:rsidRDefault="00AB6DB6" w:rsidP="00904DAF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6CE4E6" wp14:editId="6330BE75">
            <wp:extent cx="5274310" cy="1303020"/>
            <wp:effectExtent l="0" t="0" r="2540" b="0"/>
            <wp:docPr id="2029560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602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B24E" w14:textId="406AF080" w:rsidR="00904DAF" w:rsidRDefault="00904DAF" w:rsidP="00904DA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B95DBE">
        <w:rPr>
          <w:rFonts w:hint="eastAsia"/>
          <w:b/>
          <w:bCs/>
          <w:sz w:val="24"/>
          <w:szCs w:val="24"/>
        </w:rPr>
        <w:t>8</w:t>
      </w:r>
      <w:r>
        <w:rPr>
          <w:rFonts w:hint="eastAsia"/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(a) Temporal voltage evolution in GITT studies </w:t>
      </w:r>
      <w:r>
        <w:rPr>
          <w:rFonts w:hint="eastAsia"/>
          <w:sz w:val="24"/>
          <w:szCs w:val="24"/>
        </w:rPr>
        <w:t xml:space="preserve">during the first discharge </w:t>
      </w:r>
      <w:r>
        <w:rPr>
          <w:sz w:val="24"/>
          <w:szCs w:val="24"/>
        </w:rPr>
        <w:t>with the corresponding Li-ion diﬀusion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coeﬃcients; (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 xml:space="preserve">) Temporal voltage evolution in GITT studies </w:t>
      </w:r>
      <w:r>
        <w:rPr>
          <w:rFonts w:hint="eastAsia"/>
          <w:sz w:val="24"/>
          <w:szCs w:val="24"/>
        </w:rPr>
        <w:t xml:space="preserve">during the first charge </w:t>
      </w:r>
      <w:r>
        <w:rPr>
          <w:sz w:val="24"/>
          <w:szCs w:val="24"/>
        </w:rPr>
        <w:t>with the corresponding Li-ion diﬀusion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coeﬃcients</w:t>
      </w:r>
      <w:r w:rsidR="003854BA">
        <w:rPr>
          <w:rFonts w:hint="eastAsia"/>
          <w:sz w:val="24"/>
          <w:szCs w:val="24"/>
        </w:rPr>
        <w:t xml:space="preserve">; (c) </w:t>
      </w:r>
      <w:r w:rsidR="003854BA">
        <w:rPr>
          <w:sz w:val="24"/>
          <w:szCs w:val="24"/>
        </w:rPr>
        <w:t xml:space="preserve">Temporal voltage evolution in GITT studies </w:t>
      </w:r>
      <w:r w:rsidR="003854BA">
        <w:rPr>
          <w:rFonts w:hint="eastAsia"/>
          <w:sz w:val="24"/>
          <w:szCs w:val="24"/>
        </w:rPr>
        <w:t xml:space="preserve">during the second discharge </w:t>
      </w:r>
      <w:r w:rsidR="003854BA">
        <w:rPr>
          <w:sz w:val="24"/>
          <w:szCs w:val="24"/>
        </w:rPr>
        <w:t>with the corresponding Li-ion diﬀusion</w:t>
      </w:r>
      <w:r w:rsidR="003854BA">
        <w:rPr>
          <w:rFonts w:hint="eastAsia"/>
          <w:sz w:val="24"/>
          <w:szCs w:val="24"/>
        </w:rPr>
        <w:t xml:space="preserve"> </w:t>
      </w:r>
      <w:r w:rsidR="003854BA">
        <w:rPr>
          <w:sz w:val="24"/>
          <w:szCs w:val="24"/>
        </w:rPr>
        <w:t>coeﬃcients</w:t>
      </w:r>
      <w:r w:rsidR="00A949BF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(</w:t>
      </w:r>
      <w:r>
        <w:rPr>
          <w:sz w:val="24"/>
          <w:szCs w:val="24"/>
        </w:rPr>
        <w:t xml:space="preserve">The </w:t>
      </w: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 xml:space="preserve">pecific capacity of the </w:t>
      </w:r>
      <w:r>
        <w:rPr>
          <w:rFonts w:hint="eastAsia"/>
          <w:sz w:val="24"/>
          <w:szCs w:val="24"/>
        </w:rPr>
        <w:t>battery</w:t>
      </w:r>
      <w:r>
        <w:rPr>
          <w:sz w:val="24"/>
          <w:szCs w:val="24"/>
        </w:rPr>
        <w:t xml:space="preserve"> is calculated based on the mass of CS</w:t>
      </w:r>
      <w:r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>)</w:t>
      </w:r>
    </w:p>
    <w:p w14:paraId="6F3D76CA" w14:textId="44E46949" w:rsidR="004D233E" w:rsidRDefault="004D233E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B705EC" w14:textId="77777777" w:rsidR="004D233E" w:rsidRDefault="004D233E" w:rsidP="004D233E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C92C354" wp14:editId="055C66E7">
            <wp:extent cx="5266055" cy="2651125"/>
            <wp:effectExtent l="0" t="0" r="444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2C63" w14:textId="28C25B57" w:rsidR="004D233E" w:rsidRDefault="004D233E" w:rsidP="004D233E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S9</w:t>
      </w:r>
      <w:r>
        <w:rPr>
          <w:b/>
          <w:bCs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 xml:space="preserve">Solubility tests of LTTO and LTAT:(a) Dissolution behavior of 10 </w:t>
      </w:r>
      <w:proofErr w:type="spellStart"/>
      <w:r>
        <w:rPr>
          <w:rFonts w:hint="eastAsia"/>
          <w:sz w:val="24"/>
          <w:szCs w:val="24"/>
        </w:rPr>
        <w:t>wt</w:t>
      </w:r>
      <w:proofErr w:type="spellEnd"/>
      <w:r>
        <w:rPr>
          <w:rFonts w:hint="eastAsia"/>
          <w:sz w:val="24"/>
          <w:szCs w:val="24"/>
        </w:rPr>
        <w:t>% LTTO in DME/DOL solvent;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Dissolution behavior of LTAT in DME/DOL solvent. (The LTAT solution is obtained through the reaction of 5 </w:t>
      </w:r>
      <w:proofErr w:type="spellStart"/>
      <w:r>
        <w:rPr>
          <w:rFonts w:hint="eastAsia"/>
          <w:sz w:val="24"/>
          <w:szCs w:val="24"/>
        </w:rPr>
        <w:t>wt</w:t>
      </w:r>
      <w:proofErr w:type="spellEnd"/>
      <w:r>
        <w:rPr>
          <w:rFonts w:hint="eastAsia"/>
          <w:sz w:val="24"/>
          <w:szCs w:val="24"/>
        </w:rPr>
        <w:t xml:space="preserve">% LTTO with 5 </w:t>
      </w:r>
      <w:proofErr w:type="spellStart"/>
      <w:r>
        <w:rPr>
          <w:rFonts w:hint="eastAsia"/>
          <w:sz w:val="24"/>
          <w:szCs w:val="24"/>
        </w:rPr>
        <w:t>wt</w:t>
      </w:r>
      <w:proofErr w:type="spellEnd"/>
      <w:r>
        <w:rPr>
          <w:rFonts w:hint="eastAsia"/>
          <w:sz w:val="24"/>
          <w:szCs w:val="24"/>
        </w:rPr>
        <w:t>% CS</w:t>
      </w:r>
      <w:r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catalyzed by lithium metal)</w:t>
      </w:r>
    </w:p>
    <w:p w14:paraId="163E5F3F" w14:textId="71D8A137" w:rsidR="004D233E" w:rsidRPr="004D233E" w:rsidRDefault="004D233E" w:rsidP="004D233E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24D2F12" w14:textId="77777777" w:rsidR="004D233E" w:rsidRDefault="004D233E" w:rsidP="004D233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CCD043" wp14:editId="055E5071">
            <wp:extent cx="5274310" cy="2969895"/>
            <wp:effectExtent l="0" t="0" r="2540" b="1905"/>
            <wp:docPr id="73218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812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B9D5" w14:textId="309865F1" w:rsidR="004D233E" w:rsidRDefault="004D233E" w:rsidP="004D233E">
      <w:pPr>
        <w:spacing w:line="360" w:lineRule="auto"/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S10</w:t>
      </w:r>
      <w:r>
        <w:rPr>
          <w:b/>
          <w:bCs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High-resolution XPS spectra of </w:t>
      </w:r>
      <w:r>
        <w:rPr>
          <w:rFonts w:hint="eastAsia"/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 2p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at different </w:t>
      </w:r>
      <w:r>
        <w:rPr>
          <w:rFonts w:hint="eastAsia"/>
          <w:color w:val="000000" w:themeColor="text1"/>
          <w:sz w:val="24"/>
          <w:szCs w:val="24"/>
        </w:rPr>
        <w:t xml:space="preserve">first </w:t>
      </w:r>
      <w:r>
        <w:rPr>
          <w:color w:val="000000" w:themeColor="text1"/>
          <w:sz w:val="24"/>
          <w:szCs w:val="24"/>
        </w:rPr>
        <w:t xml:space="preserve">discharge </w:t>
      </w:r>
      <w:r>
        <w:rPr>
          <w:rFonts w:hint="eastAsia"/>
          <w:color w:val="000000" w:themeColor="text1"/>
          <w:sz w:val="24"/>
          <w:szCs w:val="24"/>
        </w:rPr>
        <w:t>states</w:t>
      </w:r>
      <w:r>
        <w:rPr>
          <w:color w:val="000000" w:themeColor="text1"/>
          <w:sz w:val="24"/>
          <w:szCs w:val="24"/>
        </w:rPr>
        <w:t xml:space="preserve">: (a) </w:t>
      </w:r>
      <w:r>
        <w:rPr>
          <w:rFonts w:hint="eastAsia"/>
          <w:color w:val="000000" w:themeColor="text1"/>
          <w:sz w:val="24"/>
          <w:szCs w:val="24"/>
        </w:rPr>
        <w:t>DOD 30%</w:t>
      </w:r>
      <w:r>
        <w:rPr>
          <w:color w:val="000000" w:themeColor="text1"/>
          <w:sz w:val="24"/>
          <w:szCs w:val="24"/>
        </w:rPr>
        <w:t xml:space="preserve">; (b) </w:t>
      </w:r>
      <w:r>
        <w:rPr>
          <w:rFonts w:hint="eastAsia"/>
          <w:color w:val="000000" w:themeColor="text1"/>
          <w:sz w:val="24"/>
          <w:szCs w:val="24"/>
        </w:rPr>
        <w:t>DOD 60%</w:t>
      </w:r>
      <w:r>
        <w:rPr>
          <w:color w:val="000000" w:themeColor="text1"/>
          <w:sz w:val="24"/>
          <w:szCs w:val="24"/>
        </w:rPr>
        <w:t xml:space="preserve">; (c) </w:t>
      </w:r>
      <w:r>
        <w:rPr>
          <w:rFonts w:hint="eastAsia"/>
          <w:color w:val="000000" w:themeColor="text1"/>
          <w:sz w:val="24"/>
          <w:szCs w:val="24"/>
        </w:rPr>
        <w:t xml:space="preserve">DOD 100% </w:t>
      </w:r>
      <w:r>
        <w:rPr>
          <w:color w:val="000000" w:themeColor="text1"/>
          <w:sz w:val="24"/>
          <w:szCs w:val="24"/>
        </w:rPr>
        <w:t xml:space="preserve">and </w:t>
      </w:r>
      <w:r>
        <w:rPr>
          <w:rFonts w:hint="eastAsia"/>
          <w:color w:val="000000" w:themeColor="text1"/>
          <w:sz w:val="24"/>
          <w:szCs w:val="24"/>
        </w:rPr>
        <w:t>first</w:t>
      </w:r>
      <w:r>
        <w:rPr>
          <w:color w:val="000000" w:themeColor="text1"/>
          <w:sz w:val="24"/>
          <w:szCs w:val="24"/>
        </w:rPr>
        <w:t xml:space="preserve"> charge </w:t>
      </w:r>
      <w:r>
        <w:rPr>
          <w:rFonts w:hint="eastAsia"/>
          <w:color w:val="000000" w:themeColor="text1"/>
          <w:sz w:val="24"/>
          <w:szCs w:val="24"/>
        </w:rPr>
        <w:t>potentials</w:t>
      </w:r>
      <w:r>
        <w:rPr>
          <w:color w:val="000000" w:themeColor="text1"/>
          <w:sz w:val="24"/>
          <w:szCs w:val="24"/>
        </w:rPr>
        <w:t xml:space="preserve">: (d) </w:t>
      </w:r>
      <w:r>
        <w:rPr>
          <w:rFonts w:hint="eastAsia"/>
          <w:color w:val="000000" w:themeColor="text1"/>
          <w:sz w:val="24"/>
          <w:szCs w:val="24"/>
        </w:rPr>
        <w:t>DOC 30%</w:t>
      </w:r>
      <w:r>
        <w:rPr>
          <w:color w:val="000000" w:themeColor="text1"/>
          <w:sz w:val="24"/>
          <w:szCs w:val="24"/>
        </w:rPr>
        <w:t xml:space="preserve">; (e) </w:t>
      </w:r>
      <w:r>
        <w:rPr>
          <w:rFonts w:hint="eastAsia"/>
          <w:color w:val="000000" w:themeColor="text1"/>
          <w:sz w:val="24"/>
          <w:szCs w:val="24"/>
        </w:rPr>
        <w:t>DOC 60%</w:t>
      </w:r>
      <w:r>
        <w:rPr>
          <w:color w:val="000000" w:themeColor="text1"/>
          <w:sz w:val="24"/>
          <w:szCs w:val="24"/>
        </w:rPr>
        <w:t xml:space="preserve">; (f) </w:t>
      </w:r>
      <w:r>
        <w:rPr>
          <w:rFonts w:hint="eastAsia"/>
          <w:color w:val="000000" w:themeColor="text1"/>
          <w:sz w:val="24"/>
          <w:szCs w:val="24"/>
        </w:rPr>
        <w:t>DOC 100%</w:t>
      </w:r>
      <w:r>
        <w:rPr>
          <w:color w:val="000000" w:themeColor="text1"/>
          <w:sz w:val="24"/>
          <w:szCs w:val="24"/>
        </w:rPr>
        <w:t>.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</w:p>
    <w:p w14:paraId="248AC512" w14:textId="77777777" w:rsidR="004D233E" w:rsidRPr="004D233E" w:rsidRDefault="004D233E" w:rsidP="00904DAF">
      <w:pPr>
        <w:spacing w:line="360" w:lineRule="auto"/>
        <w:rPr>
          <w:sz w:val="24"/>
          <w:szCs w:val="24"/>
        </w:rPr>
      </w:pPr>
    </w:p>
    <w:p w14:paraId="50B63A4F" w14:textId="6C8072E9" w:rsidR="00904DAF" w:rsidRDefault="00904DA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F4FD69" w14:textId="77777777" w:rsidR="00904DAF" w:rsidRDefault="00904DAF" w:rsidP="00904DAF">
      <w:pPr>
        <w:widowControl/>
        <w:spacing w:line="360" w:lineRule="auto"/>
        <w:jc w:val="left"/>
        <w:rPr>
          <w:sz w:val="24"/>
          <w:szCs w:val="24"/>
        </w:rPr>
      </w:pPr>
    </w:p>
    <w:p w14:paraId="2CAA52A1" w14:textId="3C668F58" w:rsidR="00904DAF" w:rsidRDefault="004F6E46" w:rsidP="00904DA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595E9ED" wp14:editId="793D65F2">
            <wp:extent cx="5274310" cy="2714625"/>
            <wp:effectExtent l="0" t="0" r="2540" b="9525"/>
            <wp:docPr id="499577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772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A7C8" w14:textId="16F40F41" w:rsidR="00904DAF" w:rsidRDefault="00904DAF" w:rsidP="00904DA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4D233E">
        <w:rPr>
          <w:rFonts w:hint="eastAsia"/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Results of in-situ </w:t>
      </w:r>
      <w:r>
        <w:rPr>
          <w:rFonts w:hint="eastAsia"/>
          <w:sz w:val="24"/>
          <w:szCs w:val="24"/>
        </w:rPr>
        <w:t>EIS</w:t>
      </w:r>
      <w:r>
        <w:rPr>
          <w:sz w:val="24"/>
          <w:szCs w:val="24"/>
        </w:rPr>
        <w:t xml:space="preserve"> testing of the Li//CS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battery during the first cycle of charge and discharge.</w:t>
      </w:r>
    </w:p>
    <w:p w14:paraId="6EA16D75" w14:textId="692C8977" w:rsidR="001B3250" w:rsidRDefault="001B3250">
      <w:pPr>
        <w:widowControl/>
        <w:jc w:val="left"/>
      </w:pPr>
      <w:r>
        <w:br w:type="page"/>
      </w:r>
    </w:p>
    <w:p w14:paraId="1157168A" w14:textId="4BE112F4" w:rsidR="001B3250" w:rsidRDefault="005E227A" w:rsidP="00904DA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4A0FD66" wp14:editId="05FA0C38">
            <wp:extent cx="5274310" cy="2924810"/>
            <wp:effectExtent l="0" t="0" r="2540" b="8890"/>
            <wp:docPr id="523924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241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49A2" w14:textId="0ED75C2D" w:rsidR="001B3250" w:rsidRDefault="001B3250" w:rsidP="00904DA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</w:t>
      </w:r>
      <w:r w:rsidR="004D233E">
        <w:rPr>
          <w:rFonts w:hint="eastAsia"/>
          <w:b/>
          <w:bCs/>
          <w:sz w:val="24"/>
          <w:szCs w:val="24"/>
        </w:rPr>
        <w:t>12</w:t>
      </w:r>
      <w:r>
        <w:rPr>
          <w:b/>
          <w:bCs/>
          <w:sz w:val="24"/>
          <w:szCs w:val="24"/>
        </w:rPr>
        <w:t>.</w:t>
      </w:r>
      <w:r w:rsidRPr="00BD7254">
        <w:rPr>
          <w:rFonts w:hint="eastAsia"/>
          <w:sz w:val="24"/>
          <w:szCs w:val="24"/>
        </w:rPr>
        <w:t xml:space="preserve"> (</w:t>
      </w:r>
      <w:r w:rsidR="00B5649F">
        <w:rPr>
          <w:rFonts w:hint="eastAsia"/>
          <w:sz w:val="24"/>
          <w:szCs w:val="24"/>
        </w:rPr>
        <w:t>a</w:t>
      </w:r>
      <w:r w:rsidRPr="00BD7254">
        <w:rPr>
          <w:rFonts w:hint="eastAsia"/>
          <w:sz w:val="24"/>
          <w:szCs w:val="24"/>
        </w:rPr>
        <w:t>) EIS curve and equivalent circuit diagram of Li//CS</w:t>
      </w:r>
      <w:r w:rsidRPr="00BD7254">
        <w:rPr>
          <w:rFonts w:hint="eastAsia"/>
          <w:sz w:val="24"/>
          <w:szCs w:val="24"/>
          <w:vertAlign w:val="subscript"/>
        </w:rPr>
        <w:t>2</w:t>
      </w:r>
      <w:r w:rsidRPr="00BD7254">
        <w:rPr>
          <w:rFonts w:hint="eastAsia"/>
          <w:sz w:val="24"/>
          <w:szCs w:val="24"/>
        </w:rPr>
        <w:t xml:space="preserve"> battery at </w:t>
      </w:r>
      <w:r w:rsidR="005E227A"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 xml:space="preserve">% </w:t>
      </w:r>
      <w:r w:rsidR="005E227A">
        <w:rPr>
          <w:rFonts w:hint="eastAsia"/>
          <w:sz w:val="24"/>
          <w:szCs w:val="24"/>
        </w:rPr>
        <w:t>DOC</w:t>
      </w:r>
      <w:r w:rsidRPr="00BD7254">
        <w:rPr>
          <w:rFonts w:hint="eastAsia"/>
          <w:sz w:val="24"/>
          <w:szCs w:val="24"/>
        </w:rPr>
        <w:t xml:space="preserve">; </w:t>
      </w:r>
      <w:r w:rsidRPr="00BD7254">
        <w:rPr>
          <w:sz w:val="24"/>
          <w:szCs w:val="24"/>
        </w:rPr>
        <w:t>(</w:t>
      </w:r>
      <w:r w:rsidR="00B5649F">
        <w:rPr>
          <w:rFonts w:hint="eastAsia"/>
          <w:sz w:val="24"/>
          <w:szCs w:val="24"/>
        </w:rPr>
        <w:t>b</w:t>
      </w:r>
      <w:r w:rsidRPr="00BD7254">
        <w:rPr>
          <w:sz w:val="24"/>
          <w:szCs w:val="24"/>
        </w:rPr>
        <w:t>)</w:t>
      </w:r>
      <w:r w:rsidRPr="00BD7254">
        <w:t xml:space="preserve"> </w:t>
      </w:r>
      <w:r w:rsidRPr="00BD7254">
        <w:rPr>
          <w:sz w:val="24"/>
          <w:szCs w:val="24"/>
        </w:rPr>
        <w:t>Plots of electrolyte solution</w:t>
      </w:r>
      <w:r w:rsidRPr="00BD7254">
        <w:rPr>
          <w:rFonts w:hint="eastAsia"/>
          <w:sz w:val="24"/>
          <w:szCs w:val="24"/>
        </w:rPr>
        <w:t xml:space="preserve"> </w:t>
      </w:r>
      <w:r w:rsidRPr="00BD7254">
        <w:rPr>
          <w:sz w:val="24"/>
          <w:szCs w:val="24"/>
        </w:rPr>
        <w:t>resistance (</w:t>
      </w:r>
      <w:r w:rsidRPr="00BD7254">
        <w:rPr>
          <w:b/>
          <w:bCs/>
          <w:i/>
          <w:iCs/>
          <w:sz w:val="24"/>
          <w:szCs w:val="24"/>
        </w:rPr>
        <w:t>R</w:t>
      </w:r>
      <w:r w:rsidRPr="00BD7254">
        <w:rPr>
          <w:b/>
          <w:bCs/>
          <w:i/>
          <w:iCs/>
          <w:sz w:val="24"/>
          <w:szCs w:val="24"/>
          <w:vertAlign w:val="subscript"/>
        </w:rPr>
        <w:t>s</w:t>
      </w:r>
      <w:r w:rsidRPr="00BD7254">
        <w:rPr>
          <w:sz w:val="24"/>
          <w:szCs w:val="24"/>
        </w:rPr>
        <w:t xml:space="preserve">), </w:t>
      </w:r>
      <w:proofErr w:type="spellStart"/>
      <w:r w:rsidRPr="00BD7254">
        <w:rPr>
          <w:b/>
          <w:i/>
          <w:sz w:val="24"/>
          <w:szCs w:val="24"/>
        </w:rPr>
        <w:t>R</w:t>
      </w:r>
      <w:r w:rsidRPr="00BD7254">
        <w:rPr>
          <w:b/>
          <w:i/>
          <w:sz w:val="24"/>
          <w:szCs w:val="24"/>
          <w:vertAlign w:val="subscript"/>
        </w:rPr>
        <w:t>suf</w:t>
      </w:r>
      <w:proofErr w:type="spellEnd"/>
      <w:r w:rsidRPr="00BD7254">
        <w:rPr>
          <w:sz w:val="24"/>
          <w:szCs w:val="24"/>
        </w:rPr>
        <w:t xml:space="preserve"> and </w:t>
      </w:r>
      <w:proofErr w:type="spellStart"/>
      <w:r w:rsidRPr="00BD7254">
        <w:rPr>
          <w:b/>
          <w:i/>
          <w:sz w:val="24"/>
          <w:szCs w:val="24"/>
        </w:rPr>
        <w:t>R</w:t>
      </w:r>
      <w:r w:rsidRPr="00BD7254">
        <w:rPr>
          <w:b/>
          <w:i/>
          <w:sz w:val="24"/>
          <w:szCs w:val="24"/>
          <w:vertAlign w:val="subscript"/>
        </w:rPr>
        <w:t>ct</w:t>
      </w:r>
      <w:proofErr w:type="spellEnd"/>
      <w:r w:rsidRPr="00BD7254">
        <w:rPr>
          <w:sz w:val="24"/>
          <w:szCs w:val="24"/>
        </w:rPr>
        <w:t xml:space="preserve"> against </w:t>
      </w:r>
      <w:r w:rsidRPr="00BD7254">
        <w:rPr>
          <w:rFonts w:hint="eastAsia"/>
          <w:sz w:val="24"/>
          <w:szCs w:val="24"/>
        </w:rPr>
        <w:t>diff</w:t>
      </w:r>
      <w:r w:rsidRPr="00BD26A5">
        <w:rPr>
          <w:rFonts w:hint="eastAsia"/>
          <w:sz w:val="24"/>
          <w:szCs w:val="24"/>
        </w:rPr>
        <w:t xml:space="preserve">erent </w:t>
      </w:r>
      <w:r w:rsidRPr="00BD26A5">
        <w:rPr>
          <w:sz w:val="24"/>
          <w:szCs w:val="24"/>
        </w:rPr>
        <w:t>extent</w:t>
      </w:r>
      <w:r w:rsidRPr="00BD26A5">
        <w:rPr>
          <w:rFonts w:hint="eastAsia"/>
          <w:sz w:val="24"/>
          <w:szCs w:val="24"/>
        </w:rPr>
        <w:t xml:space="preserve"> of</w:t>
      </w:r>
      <w:r>
        <w:rPr>
          <w:rFonts w:hint="eastAsia"/>
          <w:sz w:val="24"/>
          <w:szCs w:val="24"/>
        </w:rPr>
        <w:t xml:space="preserve"> </w:t>
      </w:r>
      <w:r w:rsidRPr="00BD7254">
        <w:rPr>
          <w:rFonts w:hint="eastAsia"/>
          <w:sz w:val="24"/>
          <w:szCs w:val="24"/>
        </w:rPr>
        <w:t>discharge/charge</w:t>
      </w:r>
      <w:r>
        <w:rPr>
          <w:rFonts w:hint="eastAsia"/>
          <w:sz w:val="24"/>
          <w:szCs w:val="24"/>
        </w:rPr>
        <w:t xml:space="preserve"> (</w:t>
      </w:r>
      <w:r w:rsidR="005E227A">
        <w:rPr>
          <w:rFonts w:hint="eastAsia"/>
          <w:sz w:val="24"/>
          <w:szCs w:val="24"/>
        </w:rPr>
        <w:t>DOD</w:t>
      </w:r>
      <w:r>
        <w:rPr>
          <w:rFonts w:hint="eastAsia"/>
          <w:sz w:val="24"/>
          <w:szCs w:val="24"/>
        </w:rPr>
        <w:t>/</w:t>
      </w:r>
      <w:r w:rsidR="005E227A">
        <w:rPr>
          <w:rFonts w:hint="eastAsia"/>
          <w:sz w:val="24"/>
          <w:szCs w:val="24"/>
        </w:rPr>
        <w:t>DOC</w:t>
      </w:r>
      <w:r>
        <w:rPr>
          <w:rFonts w:hint="eastAsia"/>
          <w:sz w:val="24"/>
          <w:szCs w:val="24"/>
        </w:rPr>
        <w:t>)</w:t>
      </w:r>
      <w:r w:rsidRPr="00BD7254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states</w:t>
      </w:r>
      <w:r w:rsidRPr="00BD7254">
        <w:rPr>
          <w:rFonts w:hint="eastAsia"/>
          <w:sz w:val="24"/>
          <w:szCs w:val="24"/>
        </w:rPr>
        <w:t>.</w:t>
      </w:r>
    </w:p>
    <w:p w14:paraId="1D69F895" w14:textId="05721EB6" w:rsidR="00B5649F" w:rsidRDefault="00B5649F" w:rsidP="00B5649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9F49118" w14:textId="7C16BDEB" w:rsidR="00B5649F" w:rsidRDefault="00A5219F" w:rsidP="00B5649F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80DB1B" wp14:editId="0C00C159">
            <wp:extent cx="5274310" cy="1808480"/>
            <wp:effectExtent l="0" t="0" r="2540" b="1270"/>
            <wp:docPr id="427004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041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F068" w14:textId="4B2E2352" w:rsidR="00B5649F" w:rsidRPr="00B5649F" w:rsidRDefault="00B5649F" w:rsidP="00904DAF">
      <w:pPr>
        <w:spacing w:line="360" w:lineRule="auto"/>
      </w:pPr>
      <w:r>
        <w:rPr>
          <w:b/>
          <w:bCs/>
          <w:sz w:val="24"/>
          <w:szCs w:val="24"/>
        </w:rPr>
        <w:t xml:space="preserve">Figure </w:t>
      </w:r>
      <w:r>
        <w:rPr>
          <w:rFonts w:hint="eastAsia"/>
          <w:b/>
          <w:bCs/>
          <w:sz w:val="24"/>
          <w:szCs w:val="24"/>
        </w:rPr>
        <w:t>S13</w:t>
      </w:r>
      <w:r>
        <w:rPr>
          <w:b/>
          <w:bCs/>
          <w:sz w:val="24"/>
          <w:szCs w:val="24"/>
        </w:rPr>
        <w:t>.</w:t>
      </w:r>
      <w:r w:rsidRPr="00BD7254">
        <w:rPr>
          <w:rFonts w:hint="eastAsia"/>
          <w:sz w:val="24"/>
          <w:szCs w:val="24"/>
        </w:rPr>
        <w:t xml:space="preserve"> </w:t>
      </w:r>
      <w:r w:rsidRPr="00B5649F">
        <w:rPr>
          <w:sz w:val="24"/>
          <w:szCs w:val="24"/>
        </w:rPr>
        <w:t>(a) The second-cycle charge/discharge curves of the Li//CS</w:t>
      </w:r>
      <w:r w:rsidRPr="008E2E56">
        <w:rPr>
          <w:sz w:val="24"/>
          <w:szCs w:val="24"/>
          <w:vertAlign w:val="subscript"/>
        </w:rPr>
        <w:t>2</w:t>
      </w:r>
      <w:r w:rsidRPr="00B5649F">
        <w:rPr>
          <w:sz w:val="24"/>
          <w:szCs w:val="24"/>
        </w:rPr>
        <w:t xml:space="preserve"> battery; (b) The cycling performance of the Li//CS</w:t>
      </w:r>
      <w:r w:rsidRPr="008E2E56">
        <w:rPr>
          <w:sz w:val="24"/>
          <w:szCs w:val="24"/>
          <w:vertAlign w:val="subscript"/>
        </w:rPr>
        <w:t>2</w:t>
      </w:r>
      <w:r w:rsidRPr="00B5649F">
        <w:rPr>
          <w:sz w:val="24"/>
          <w:szCs w:val="24"/>
        </w:rPr>
        <w:t xml:space="preserve"> battery.</w:t>
      </w:r>
    </w:p>
    <w:p w14:paraId="63AFF2E3" w14:textId="18081209" w:rsidR="00130A8B" w:rsidRDefault="00904DAF" w:rsidP="00B5649F">
      <w:pPr>
        <w:widowControl/>
        <w:spacing w:line="360" w:lineRule="auto"/>
        <w:jc w:val="left"/>
      </w:pPr>
      <w:r>
        <w:br w:type="page"/>
      </w:r>
    </w:p>
    <w:p w14:paraId="036A595B" w14:textId="5F927EDA" w:rsidR="00130A8B" w:rsidRPr="00555CCA" w:rsidRDefault="00130A8B" w:rsidP="004836A4">
      <w:pPr>
        <w:spacing w:line="360" w:lineRule="auto"/>
      </w:pPr>
    </w:p>
    <w:tbl>
      <w:tblPr>
        <w:tblStyle w:val="a9"/>
        <w:tblpPr w:leftFromText="180" w:rightFromText="180" w:vertAnchor="text" w:horzAnchor="margin" w:tblpXSpec="center" w:tblpY="128"/>
        <w:tblW w:w="10527" w:type="dxa"/>
        <w:tblLayout w:type="fixed"/>
        <w:tblLook w:val="04A0" w:firstRow="1" w:lastRow="0" w:firstColumn="1" w:lastColumn="0" w:noHBand="0" w:noVBand="1"/>
      </w:tblPr>
      <w:tblGrid>
        <w:gridCol w:w="1347"/>
        <w:gridCol w:w="858"/>
        <w:gridCol w:w="909"/>
        <w:gridCol w:w="1417"/>
        <w:gridCol w:w="1276"/>
        <w:gridCol w:w="992"/>
        <w:gridCol w:w="1418"/>
        <w:gridCol w:w="1233"/>
        <w:gridCol w:w="1077"/>
      </w:tblGrid>
      <w:tr w:rsidR="00130A8B" w14:paraId="61EDDF7C" w14:textId="77777777">
        <w:trPr>
          <w:trHeight w:val="1569"/>
        </w:trPr>
        <w:tc>
          <w:tcPr>
            <w:tcW w:w="1347" w:type="dxa"/>
            <w:vAlign w:val="center"/>
          </w:tcPr>
          <w:p w14:paraId="21F2ACE3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>M</w:t>
            </w:r>
            <w:r>
              <w:rPr>
                <w:rFonts w:hint="eastAsia"/>
                <w:b/>
                <w:bCs/>
                <w:sz w:val="13"/>
                <w:szCs w:val="15"/>
              </w:rPr>
              <w:t>aterial</w:t>
            </w:r>
          </w:p>
        </w:tc>
        <w:tc>
          <w:tcPr>
            <w:tcW w:w="858" w:type="dxa"/>
            <w:vAlign w:val="center"/>
          </w:tcPr>
          <w:p w14:paraId="75DF361C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>State of matter</w:t>
            </w:r>
          </w:p>
        </w:tc>
        <w:tc>
          <w:tcPr>
            <w:tcW w:w="909" w:type="dxa"/>
            <w:vAlign w:val="center"/>
          </w:tcPr>
          <w:p w14:paraId="0F2BD27A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>Can it be dissolved in electrolyte?</w:t>
            </w:r>
          </w:p>
        </w:tc>
        <w:tc>
          <w:tcPr>
            <w:tcW w:w="1417" w:type="dxa"/>
            <w:vAlign w:val="center"/>
          </w:tcPr>
          <w:p w14:paraId="1F364101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 xml:space="preserve">Mass fraction of </w:t>
            </w:r>
            <w:r>
              <w:rPr>
                <w:rFonts w:hint="eastAsia"/>
                <w:b/>
                <w:bCs/>
                <w:sz w:val="13"/>
                <w:szCs w:val="15"/>
              </w:rPr>
              <w:t xml:space="preserve">sulfur </w:t>
            </w:r>
            <w:r>
              <w:rPr>
                <w:b/>
                <w:bCs/>
                <w:sz w:val="13"/>
                <w:szCs w:val="15"/>
              </w:rPr>
              <w:t xml:space="preserve">element that can be </w:t>
            </w:r>
            <w:proofErr w:type="spellStart"/>
            <w:r>
              <w:rPr>
                <w:b/>
                <w:bCs/>
                <w:sz w:val="13"/>
                <w:szCs w:val="15"/>
              </w:rPr>
              <w:t>lithiated</w:t>
            </w:r>
            <w:proofErr w:type="spellEnd"/>
          </w:p>
        </w:tc>
        <w:tc>
          <w:tcPr>
            <w:tcW w:w="1276" w:type="dxa"/>
            <w:vAlign w:val="center"/>
          </w:tcPr>
          <w:p w14:paraId="7F687D0E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>Theoretical capacity (mAh g</w:t>
            </w:r>
            <w:r>
              <w:rPr>
                <w:b/>
                <w:bCs/>
                <w:sz w:val="13"/>
                <w:szCs w:val="15"/>
                <w:vertAlign w:val="superscript"/>
              </w:rPr>
              <w:t>-1</w:t>
            </w:r>
            <w:r>
              <w:rPr>
                <w:b/>
                <w:bCs/>
                <w:sz w:val="13"/>
                <w:szCs w:val="15"/>
              </w:rPr>
              <w:t>)</w:t>
            </w:r>
          </w:p>
        </w:tc>
        <w:tc>
          <w:tcPr>
            <w:tcW w:w="992" w:type="dxa"/>
            <w:vAlign w:val="center"/>
          </w:tcPr>
          <w:p w14:paraId="66927D0B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>Loading (mg cm</w:t>
            </w:r>
            <w:r>
              <w:rPr>
                <w:b/>
                <w:bCs/>
                <w:sz w:val="13"/>
                <w:szCs w:val="15"/>
                <w:vertAlign w:val="superscript"/>
              </w:rPr>
              <w:t>-2</w:t>
            </w:r>
            <w:r>
              <w:rPr>
                <w:b/>
                <w:bCs/>
                <w:sz w:val="13"/>
                <w:szCs w:val="15"/>
              </w:rPr>
              <w:t>)</w:t>
            </w:r>
          </w:p>
        </w:tc>
        <w:tc>
          <w:tcPr>
            <w:tcW w:w="1418" w:type="dxa"/>
            <w:vAlign w:val="center"/>
          </w:tcPr>
          <w:p w14:paraId="1CD3EBAF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b/>
                <w:bCs/>
                <w:sz w:val="13"/>
                <w:szCs w:val="15"/>
              </w:rPr>
              <w:t>Cycling performance (Initial capacity (mAh g</w:t>
            </w:r>
            <w:r>
              <w:rPr>
                <w:b/>
                <w:bCs/>
                <w:sz w:val="13"/>
                <w:szCs w:val="15"/>
                <w:vertAlign w:val="superscript"/>
              </w:rPr>
              <w:t>-1</w:t>
            </w:r>
            <w:r>
              <w:rPr>
                <w:b/>
                <w:bCs/>
                <w:sz w:val="13"/>
                <w:szCs w:val="15"/>
              </w:rPr>
              <w:t>))</w:t>
            </w:r>
          </w:p>
        </w:tc>
        <w:tc>
          <w:tcPr>
            <w:tcW w:w="1233" w:type="dxa"/>
            <w:vAlign w:val="center"/>
          </w:tcPr>
          <w:p w14:paraId="09056681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N</w:t>
            </w:r>
            <w:r>
              <w:rPr>
                <w:b/>
                <w:bCs/>
                <w:sz w:val="13"/>
                <w:szCs w:val="15"/>
              </w:rPr>
              <w:t>umber of cycles (Capacity retention)</w:t>
            </w:r>
          </w:p>
        </w:tc>
        <w:tc>
          <w:tcPr>
            <w:tcW w:w="1077" w:type="dxa"/>
            <w:vAlign w:val="center"/>
          </w:tcPr>
          <w:p w14:paraId="2F3A12BE" w14:textId="77777777" w:rsidR="00130A8B" w:rsidRDefault="00000000">
            <w:pPr>
              <w:spacing w:line="360" w:lineRule="auto"/>
              <w:jc w:val="center"/>
              <w:rPr>
                <w:b/>
                <w:bCs/>
                <w:sz w:val="13"/>
                <w:szCs w:val="15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R</w:t>
            </w:r>
            <w:r>
              <w:rPr>
                <w:b/>
                <w:bCs/>
                <w:sz w:val="13"/>
                <w:szCs w:val="15"/>
              </w:rPr>
              <w:t>ef</w:t>
            </w:r>
          </w:p>
        </w:tc>
      </w:tr>
      <w:tr w:rsidR="00130A8B" w14:paraId="6BBF2A65" w14:textId="77777777">
        <w:trPr>
          <w:trHeight w:val="941"/>
        </w:trPr>
        <w:tc>
          <w:tcPr>
            <w:tcW w:w="1347" w:type="dxa"/>
            <w:vAlign w:val="center"/>
          </w:tcPr>
          <w:p w14:paraId="7DA3776D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T</w:t>
            </w:r>
            <w:r>
              <w:rPr>
                <w:sz w:val="13"/>
                <w:szCs w:val="15"/>
              </w:rPr>
              <w:t xml:space="preserve">etramethyl thiuram </w:t>
            </w:r>
            <w:proofErr w:type="spellStart"/>
            <w:r>
              <w:rPr>
                <w:sz w:val="13"/>
                <w:szCs w:val="15"/>
              </w:rPr>
              <w:t>monosulfide</w:t>
            </w:r>
            <w:proofErr w:type="spellEnd"/>
          </w:p>
        </w:tc>
        <w:tc>
          <w:tcPr>
            <w:tcW w:w="858" w:type="dxa"/>
            <w:vAlign w:val="center"/>
          </w:tcPr>
          <w:p w14:paraId="03299992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Solid</w:t>
            </w:r>
          </w:p>
        </w:tc>
        <w:tc>
          <w:tcPr>
            <w:tcW w:w="909" w:type="dxa"/>
            <w:vAlign w:val="center"/>
          </w:tcPr>
          <w:p w14:paraId="6DF52B03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Yes</w:t>
            </w:r>
          </w:p>
        </w:tc>
        <w:tc>
          <w:tcPr>
            <w:tcW w:w="1417" w:type="dxa"/>
            <w:vAlign w:val="center"/>
          </w:tcPr>
          <w:p w14:paraId="717FFC0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-</w:t>
            </w:r>
          </w:p>
        </w:tc>
        <w:tc>
          <w:tcPr>
            <w:tcW w:w="1276" w:type="dxa"/>
            <w:vAlign w:val="center"/>
          </w:tcPr>
          <w:p w14:paraId="55F4F66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-</w:t>
            </w:r>
          </w:p>
        </w:tc>
        <w:tc>
          <w:tcPr>
            <w:tcW w:w="992" w:type="dxa"/>
            <w:vAlign w:val="center"/>
          </w:tcPr>
          <w:p w14:paraId="319DC77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.0</w:t>
            </w:r>
          </w:p>
        </w:tc>
        <w:tc>
          <w:tcPr>
            <w:tcW w:w="1418" w:type="dxa"/>
            <w:vAlign w:val="center"/>
          </w:tcPr>
          <w:p w14:paraId="0CFA690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25 (10C)</w:t>
            </w:r>
          </w:p>
        </w:tc>
        <w:tc>
          <w:tcPr>
            <w:tcW w:w="1233" w:type="dxa"/>
            <w:vAlign w:val="center"/>
          </w:tcPr>
          <w:p w14:paraId="7D9C76AD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 xml:space="preserve">8000 </w:t>
            </w:r>
            <w:r>
              <w:rPr>
                <w:rFonts w:hint="eastAsia"/>
                <w:sz w:val="13"/>
                <w:szCs w:val="15"/>
              </w:rPr>
              <w:t>(</w:t>
            </w:r>
            <w:r>
              <w:rPr>
                <w:sz w:val="13"/>
                <w:szCs w:val="15"/>
              </w:rPr>
              <w:t>70%)</w:t>
            </w:r>
          </w:p>
        </w:tc>
        <w:tc>
          <w:tcPr>
            <w:tcW w:w="1077" w:type="dxa"/>
            <w:vAlign w:val="center"/>
          </w:tcPr>
          <w:p w14:paraId="7681C713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&lt;EndNote&gt;&lt;Cite&gt;&lt;Author&gt;Chen&lt;/Author&gt;&lt;Year&gt;2022&lt;/Year&gt;&lt;RecNum&gt;2456&lt;/RecNum&gt;&lt;DisplayText&gt;&lt;style face="superscript"&gt;1&lt;/style&gt;&lt;/DisplayText&gt;&lt;record&gt;&lt;rec-number&gt;2456&lt;/rec-number&gt;&lt;foreign-keys&gt;&lt;key app="EN" db-id="ptaff0fa6sptz8ed0pc5x5xuwa00refxs2wd" timestamp="1699514619"&gt;2456&lt;/key&gt;&lt;key app="ENWeb" db-id=""&gt;0&lt;/key&gt;&lt;/foreign-keys&gt;&lt;ref-type name="Journal Article"&gt;17&lt;/ref-type&gt;&lt;contributors&gt;&lt;authors&gt;&lt;author&gt;Chen, Q.&lt;/author&gt;&lt;author&gt;Li, L.&lt;/author&gt;&lt;author&gt;Wang, W.&lt;/author&gt;&lt;author&gt;Li, X.&lt;/author&gt;&lt;author&gt;Guo, W.&lt;/author&gt;&lt;author&gt;Fu, Y.&lt;/author&gt;&lt;/authors&gt;&lt;/contributors&gt;&lt;auth-address&gt;College of Chemistry, Zhengzhou University, Zhengzhou 450001, P. R. China.&amp;#xD;Hefei National Research Center for Physical Sciences at the Microscale, University of Science and Technology of China, Hefei 230026, P. R. China.&lt;/auth-address&gt;&lt;titles&gt;&lt;title&gt;Thiuram Monosulfide with Ultrahigh Redox Activity Triggered by Electrochemical Oxidation&lt;/title&gt;&lt;secondary-title&gt;Journal of the American Chemical Society&lt;/secondary-title&gt;&lt;/titles&gt;&lt;periodical&gt;&lt;full-title&gt;Journal of the American Chemical Society&lt;/full-title&gt;&lt;/periodical&gt;&lt;pages&gt;18918-18926&lt;/pages&gt;&lt;volume&gt;144&lt;/volume&gt;&lt;number&gt;41&lt;/number&gt;&lt;edition&gt;2022/10/05&lt;/edition&gt;&lt;keywords&gt;&lt;keyword&gt;*Lithium&lt;/keyword&gt;&lt;keyword&gt;*Thiram&lt;/keyword&gt;&lt;keyword&gt;Electric Power Supplies&lt;/keyword&gt;&lt;keyword&gt;Oxidation-Reduction&lt;/keyword&gt;&lt;keyword&gt;Ions&lt;/keyword&gt;&lt;/keywords&gt;&lt;dates&gt;&lt;year&gt;2022&lt;/year&gt;&lt;pub-dates&gt;&lt;date&gt;Oct 19&lt;/date&gt;&lt;/pub-dates&gt;&lt;/dates&gt;&lt;isbn&gt;1520-5126 (Electronic)&amp;#xD;0002-7863 (Linking)&lt;/isbn&gt;&lt;accession-num&gt;36194783&lt;/accession-num&gt;&lt;urls&gt;&lt;related-urls&gt;&lt;url&gt;https://www.ncbi.nlm.nih.gov/pubmed/36194783&lt;/url&gt;&lt;/related-urls&gt;&lt;/urls&gt;&lt;electronic-resource-num&gt;10.1021/jacs.2c06550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1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2FF8555A" w14:textId="77777777">
        <w:trPr>
          <w:trHeight w:val="313"/>
        </w:trPr>
        <w:tc>
          <w:tcPr>
            <w:tcW w:w="1347" w:type="dxa"/>
            <w:vAlign w:val="center"/>
          </w:tcPr>
          <w:p w14:paraId="1FCA66B2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C6S6</w:t>
            </w:r>
          </w:p>
        </w:tc>
        <w:tc>
          <w:tcPr>
            <w:tcW w:w="858" w:type="dxa"/>
            <w:vAlign w:val="center"/>
          </w:tcPr>
          <w:p w14:paraId="32D273D6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Solid</w:t>
            </w:r>
          </w:p>
        </w:tc>
        <w:tc>
          <w:tcPr>
            <w:tcW w:w="909" w:type="dxa"/>
            <w:vAlign w:val="center"/>
          </w:tcPr>
          <w:p w14:paraId="4EB2A2EC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N</w:t>
            </w:r>
            <w:r>
              <w:rPr>
                <w:sz w:val="13"/>
                <w:szCs w:val="15"/>
              </w:rPr>
              <w:t>o</w:t>
            </w:r>
          </w:p>
        </w:tc>
        <w:tc>
          <w:tcPr>
            <w:tcW w:w="1417" w:type="dxa"/>
            <w:vAlign w:val="center"/>
          </w:tcPr>
          <w:p w14:paraId="36210AD5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72.7%</w:t>
            </w:r>
          </w:p>
        </w:tc>
        <w:tc>
          <w:tcPr>
            <w:tcW w:w="1276" w:type="dxa"/>
            <w:vAlign w:val="center"/>
          </w:tcPr>
          <w:p w14:paraId="2CA951B7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609.0</w:t>
            </w:r>
          </w:p>
        </w:tc>
        <w:tc>
          <w:tcPr>
            <w:tcW w:w="992" w:type="dxa"/>
            <w:vAlign w:val="center"/>
          </w:tcPr>
          <w:p w14:paraId="76B0A621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0</w:t>
            </w:r>
            <w:r>
              <w:rPr>
                <w:sz w:val="13"/>
                <w:szCs w:val="15"/>
              </w:rPr>
              <w:t>.8-1.2</w:t>
            </w:r>
          </w:p>
        </w:tc>
        <w:tc>
          <w:tcPr>
            <w:tcW w:w="1418" w:type="dxa"/>
            <w:vAlign w:val="center"/>
          </w:tcPr>
          <w:p w14:paraId="71E2393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25 (0.1C)</w:t>
            </w:r>
          </w:p>
        </w:tc>
        <w:tc>
          <w:tcPr>
            <w:tcW w:w="1233" w:type="dxa"/>
            <w:vAlign w:val="center"/>
          </w:tcPr>
          <w:p w14:paraId="0EBA15A7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200 (-60%)</w:t>
            </w:r>
          </w:p>
        </w:tc>
        <w:tc>
          <w:tcPr>
            <w:tcW w:w="1077" w:type="dxa"/>
            <w:vAlign w:val="center"/>
          </w:tcPr>
          <w:p w14:paraId="13DD6856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&lt;EndNote&gt;&lt;Cite&gt;&lt;Author&gt;Preefer&lt;/Author&gt;&lt;Year&gt;2017&lt;/Year&gt;&lt;RecNum&gt;2333&lt;/RecNum&gt;&lt;DisplayText&gt;&lt;style face="superscript"&gt;2&lt;/style&gt;&lt;/DisplayText&gt;&lt;record&gt;&lt;rec-number&gt;2333&lt;/rec-number&gt;&lt;foreign-keys&gt;&lt;key app="EN" db-id="ptaff0fa6sptz8ed0pc5x5xuwa00refxs2wd" timestamp="1675067895"&gt;2333&lt;/key&gt;&lt;key app="ENWeb" db-id=""&gt;0&lt;/key&gt;&lt;/foreign-keys&gt;&lt;ref-type name="Journal Article"&gt;17&lt;/ref-type&gt;&lt;contributors&gt;&lt;authors&gt;&lt;author&gt;Preefer, M. B.&lt;/author&gt;&lt;author&gt;Oschmann, B.&lt;/author&gt;&lt;author&gt;Hawker, C. J.&lt;/author&gt;&lt;author&gt;Seshadri, R.&lt;/author&gt;&lt;author&gt;Wudl, F.&lt;/author&gt;&lt;/authors&gt;&lt;/contributors&gt;&lt;auth-address&gt;Department of Chemistry and Biochemistry, University of California, Santa Barbara, CA, 93106, USA.&amp;#xD;Materials Research Laboratory, University of California, Santa Barbara, CA, 93106, USA.&amp;#xD;Mitsubishi Chemical Center for Advanced Materials, University of California, Santa Barbara, CA, 93106, USA.&amp;#xD;Materials Department, University of California, Santa Barbara, CA, 93106, USA.&lt;/auth-address&gt;&lt;titles&gt;&lt;title&gt;High Sulfur Content Material with Stable Cycling in Lithium-Sulfur Batteries&lt;/title&gt;&lt;secondary-title&gt;Angew. Chem., Int. Ed.&lt;/secondary-title&gt;&lt;/titles&gt;&lt;periodical&gt;&lt;full-title&gt;Angew. Chem., Int. Ed.&lt;/full-title&gt;&lt;/periodical&gt;&lt;pages&gt;15118-15122&lt;/pages&gt;&lt;volume&gt;56&lt;/volume&gt;&lt;number&gt;47&lt;/number&gt;&lt;edition&gt;2017/10/07&lt;/edition&gt;&lt;keywords&gt;&lt;keyword&gt;battery&lt;/keyword&gt;&lt;keyword&gt;cathode&lt;/keyword&gt;&lt;keyword&gt;disulfide&lt;/keyword&gt;&lt;keyword&gt;lithium-sulfur battery&lt;/keyword&gt;&lt;/keywords&gt;&lt;dates&gt;&lt;year&gt;2017&lt;/year&gt;&lt;pub-dates&gt;&lt;date&gt;Nov 20&lt;/date&gt;&lt;/pub-dates&gt;&lt;/dates&gt;&lt;isbn&gt;1521-3773 (Electronic)&amp;#xD;1433-7851 (Linking)&lt;/isbn&gt;&lt;accession-num&gt;28984016&lt;/accession-num&gt;&lt;urls&gt;&lt;related-urls&gt;&lt;url&gt;https://www.ncbi.nlm.nih.gov/pubmed/28984016&lt;/url&gt;&lt;/related-urls&gt;&lt;/urls&gt;&lt;electronic-resource-num&gt;10.1002/anie.201708746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2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76857E1B" w14:textId="77777777">
        <w:trPr>
          <w:trHeight w:val="313"/>
        </w:trPr>
        <w:tc>
          <w:tcPr>
            <w:tcW w:w="1347" w:type="dxa"/>
            <w:vAlign w:val="center"/>
          </w:tcPr>
          <w:p w14:paraId="64EF3AAE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bookmarkStart w:id="4" w:name="_Hlk181696906"/>
            <w:r>
              <w:rPr>
                <w:rFonts w:hint="eastAsia"/>
                <w:sz w:val="13"/>
                <w:szCs w:val="15"/>
              </w:rPr>
              <w:t>P</w:t>
            </w:r>
            <w:r>
              <w:rPr>
                <w:sz w:val="13"/>
                <w:szCs w:val="15"/>
              </w:rPr>
              <w:t>henyl disulfide</w:t>
            </w:r>
            <w:bookmarkEnd w:id="4"/>
          </w:p>
        </w:tc>
        <w:tc>
          <w:tcPr>
            <w:tcW w:w="858" w:type="dxa"/>
            <w:vAlign w:val="center"/>
          </w:tcPr>
          <w:p w14:paraId="48AB0F02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S</w:t>
            </w:r>
            <w:r>
              <w:rPr>
                <w:sz w:val="13"/>
                <w:szCs w:val="15"/>
              </w:rPr>
              <w:t>olid</w:t>
            </w:r>
          </w:p>
        </w:tc>
        <w:tc>
          <w:tcPr>
            <w:tcW w:w="909" w:type="dxa"/>
            <w:vAlign w:val="center"/>
          </w:tcPr>
          <w:p w14:paraId="656BABD9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N</w:t>
            </w:r>
            <w:r>
              <w:rPr>
                <w:sz w:val="13"/>
                <w:szCs w:val="15"/>
              </w:rPr>
              <w:t>o</w:t>
            </w:r>
          </w:p>
        </w:tc>
        <w:tc>
          <w:tcPr>
            <w:tcW w:w="1417" w:type="dxa"/>
            <w:vAlign w:val="center"/>
          </w:tcPr>
          <w:p w14:paraId="6EAC81C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27.8%</w:t>
            </w:r>
          </w:p>
        </w:tc>
        <w:tc>
          <w:tcPr>
            <w:tcW w:w="1276" w:type="dxa"/>
            <w:vAlign w:val="center"/>
          </w:tcPr>
          <w:p w14:paraId="6AFC1A0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245.5</w:t>
            </w:r>
          </w:p>
        </w:tc>
        <w:tc>
          <w:tcPr>
            <w:tcW w:w="992" w:type="dxa"/>
            <w:vAlign w:val="center"/>
          </w:tcPr>
          <w:p w14:paraId="647FF4F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5</w:t>
            </w:r>
            <w:r>
              <w:rPr>
                <w:sz w:val="13"/>
                <w:szCs w:val="15"/>
              </w:rPr>
              <w:t>.0</w:t>
            </w:r>
          </w:p>
        </w:tc>
        <w:tc>
          <w:tcPr>
            <w:tcW w:w="1418" w:type="dxa"/>
            <w:vAlign w:val="center"/>
          </w:tcPr>
          <w:p w14:paraId="1BE62B0F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18 (1C)</w:t>
            </w:r>
          </w:p>
        </w:tc>
        <w:tc>
          <w:tcPr>
            <w:tcW w:w="1233" w:type="dxa"/>
            <w:vAlign w:val="center"/>
          </w:tcPr>
          <w:p w14:paraId="680EAB2C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150 (70%)</w:t>
            </w:r>
          </w:p>
        </w:tc>
        <w:tc>
          <w:tcPr>
            <w:tcW w:w="1077" w:type="dxa"/>
            <w:vAlign w:val="center"/>
          </w:tcPr>
          <w:p w14:paraId="15C9B731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&lt;EndNote&gt;&lt;Cite&gt;&lt;Author&gt;Bhargav&lt;/Author&gt;&lt;Year&gt;2017&lt;/Year&gt;&lt;RecNum&gt;2512&lt;/RecNum&gt;&lt;DisplayText&gt;&lt;style face="superscript"&gt;3&lt;/style&gt;&lt;/DisplayText&gt;&lt;record&gt;&lt;rec-number&gt;2512&lt;/rec-number&gt;&lt;foreign-keys&gt;&lt;key app="EN" db-id="ptaff0fa6sptz8ed0pc5x5xuwa00refxs2wd" timestamp="1703746310"&gt;2512&lt;/key&gt;&lt;key app="ENWeb" db-id=""&gt;0&lt;/key&gt;&lt;/foreign-keys&gt;&lt;ref-type name="Journal Article"&gt;17&lt;/ref-type&gt;&lt;contributors&gt;&lt;authors&gt;&lt;author&gt;Bhargav, Amruth&lt;/author&gt;&lt;author&gt;Patil, Shravan V.&lt;/author&gt;&lt;author&gt;Fu, Yongzhu&lt;/author&gt;&lt;/authors&gt;&lt;/contributors&gt;&lt;titles&gt;&lt;title&gt;A phenyl disulfide@CNT composite cathode for rechargeable lithium batteries&lt;/title&gt;&lt;secondary-title&gt;Sustainable Energy &amp;amp; Fuels&lt;/secondary-title&gt;&lt;/titles&gt;&lt;periodical&gt;&lt;full-title&gt;Sustainable Energy &amp;amp; Fuels&lt;/full-title&gt;&lt;/periodical&gt;&lt;pages&gt;1007-1012&lt;/pages&gt;&lt;volume&gt;1&lt;/volume&gt;&lt;number&gt;5&lt;/number&gt;&lt;section&gt;1007&lt;/section&gt;&lt;dates&gt;&lt;year&gt;2017&lt;/year&gt;&lt;/dates&gt;&lt;isbn&gt;2398-4902&lt;/isbn&gt;&lt;urls&gt;&lt;/urls&gt;&lt;electronic-resource-num&gt;10.1039/c7se00135e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3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65947002" w14:textId="77777777">
        <w:trPr>
          <w:trHeight w:val="627"/>
        </w:trPr>
        <w:tc>
          <w:tcPr>
            <w:tcW w:w="1347" w:type="dxa"/>
            <w:vAlign w:val="center"/>
          </w:tcPr>
          <w:p w14:paraId="7A43D18F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1,2-</w:t>
            </w:r>
            <w:r>
              <w:rPr>
                <w:rFonts w:hint="eastAsia"/>
                <w:sz w:val="13"/>
                <w:szCs w:val="15"/>
              </w:rPr>
              <w:t>b</w:t>
            </w:r>
            <w:r>
              <w:rPr>
                <w:sz w:val="13"/>
                <w:szCs w:val="15"/>
              </w:rPr>
              <w:t>enzenedithiol</w:t>
            </w:r>
          </w:p>
        </w:tc>
        <w:tc>
          <w:tcPr>
            <w:tcW w:w="858" w:type="dxa"/>
            <w:vAlign w:val="center"/>
          </w:tcPr>
          <w:p w14:paraId="16CB4F9E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S</w:t>
            </w:r>
            <w:r>
              <w:rPr>
                <w:sz w:val="13"/>
                <w:szCs w:val="15"/>
              </w:rPr>
              <w:t>olid</w:t>
            </w:r>
          </w:p>
        </w:tc>
        <w:tc>
          <w:tcPr>
            <w:tcW w:w="909" w:type="dxa"/>
            <w:vAlign w:val="center"/>
          </w:tcPr>
          <w:p w14:paraId="10BA0CD6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Y</w:t>
            </w:r>
            <w:r>
              <w:rPr>
                <w:sz w:val="13"/>
                <w:szCs w:val="15"/>
              </w:rPr>
              <w:t>es</w:t>
            </w:r>
          </w:p>
        </w:tc>
        <w:tc>
          <w:tcPr>
            <w:tcW w:w="1417" w:type="dxa"/>
            <w:vAlign w:val="center"/>
          </w:tcPr>
          <w:p w14:paraId="4C8B1634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45.7%</w:t>
            </w:r>
          </w:p>
        </w:tc>
        <w:tc>
          <w:tcPr>
            <w:tcW w:w="1276" w:type="dxa"/>
            <w:vAlign w:val="center"/>
          </w:tcPr>
          <w:p w14:paraId="0EDFA60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3</w:t>
            </w:r>
            <w:r>
              <w:rPr>
                <w:sz w:val="13"/>
                <w:szCs w:val="15"/>
              </w:rPr>
              <w:t>47.8</w:t>
            </w:r>
          </w:p>
        </w:tc>
        <w:tc>
          <w:tcPr>
            <w:tcW w:w="992" w:type="dxa"/>
            <w:vAlign w:val="center"/>
          </w:tcPr>
          <w:p w14:paraId="34F12BE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.0</w:t>
            </w:r>
          </w:p>
        </w:tc>
        <w:tc>
          <w:tcPr>
            <w:tcW w:w="1418" w:type="dxa"/>
            <w:vAlign w:val="center"/>
          </w:tcPr>
          <w:p w14:paraId="232E93E4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3</w:t>
            </w:r>
            <w:r>
              <w:rPr>
                <w:sz w:val="13"/>
                <w:szCs w:val="15"/>
              </w:rPr>
              <w:t>36.8 (1C)</w:t>
            </w:r>
          </w:p>
        </w:tc>
        <w:tc>
          <w:tcPr>
            <w:tcW w:w="1233" w:type="dxa"/>
            <w:vAlign w:val="center"/>
          </w:tcPr>
          <w:p w14:paraId="4CEC4A2C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50 (70%)</w:t>
            </w:r>
          </w:p>
        </w:tc>
        <w:tc>
          <w:tcPr>
            <w:tcW w:w="1077" w:type="dxa"/>
            <w:vAlign w:val="center"/>
          </w:tcPr>
          <w:p w14:paraId="1FE66A9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&lt;EndNote&gt;&lt;Cite&gt;&lt;Author&gt;Li&lt;/Author&gt;&lt;Year&gt;2019&lt;/Year&gt;&lt;RecNum&gt;2513&lt;/RecNum&gt;&lt;DisplayText&gt;&lt;style face="superscript"&gt;4&lt;/style&gt;&lt;/DisplayText&gt;&lt;record&gt;&lt;rec-number&gt;2513&lt;/rec-number&gt;&lt;foreign-keys&gt;&lt;key app="EN" db-id="ptaff0fa6sptz8ed0pc5x5xuwa00refxs2wd" timestamp="1703746831"&gt;2513&lt;/key&gt;&lt;key app="ENWeb" db-id=""&gt;0&lt;/key&gt;&lt;/foreign-keys&gt;&lt;ref-type name="Journal Article"&gt;17&lt;/ref-type&gt;&lt;contributors&gt;&lt;authors&gt;&lt;author&gt;Li, Fengli&lt;/author&gt;&lt;author&gt;Si, Yubing&lt;/author&gt;&lt;author&gt;Liu, Bingjie&lt;/author&gt;&lt;author&gt;Li, Zhongjun&lt;/author&gt;&lt;author&gt;Fu, Yongzhu&lt;/author&gt;&lt;/authors&gt;&lt;/contributors&gt;&lt;titles&gt;&lt;title&gt;Lithium Benzenedithiolate Catholytes for Rechargeable Lithium Batteries&lt;/title&gt;&lt;secondary-title&gt;Advanced Functional Materials&lt;/secondary-title&gt;&lt;/titles&gt;&lt;periodical&gt;&lt;full-title&gt;Advanced Functional Materials&lt;/full-title&gt;&lt;/periodical&gt;&lt;volume&gt;29&lt;/volume&gt;&lt;number&gt;32&lt;/number&gt;&lt;dates&gt;&lt;year&gt;2019&lt;/year&gt;&lt;/dates&gt;&lt;isbn&gt;1616-301X&amp;#xD;1616-3028&lt;/isbn&gt;&lt;urls&gt;&lt;/urls&gt;&lt;electronic-resource-num&gt;10.1002/adfm.201902223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4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7098BA09" w14:textId="77777777">
        <w:trPr>
          <w:trHeight w:val="313"/>
        </w:trPr>
        <w:tc>
          <w:tcPr>
            <w:tcW w:w="1347" w:type="dxa"/>
            <w:vAlign w:val="center"/>
          </w:tcPr>
          <w:p w14:paraId="0A99E34F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 xml:space="preserve">Phenyl </w:t>
            </w:r>
            <w:proofErr w:type="spellStart"/>
            <w:r>
              <w:rPr>
                <w:sz w:val="13"/>
                <w:szCs w:val="15"/>
              </w:rPr>
              <w:t>selenosulfide</w:t>
            </w:r>
            <w:proofErr w:type="spellEnd"/>
          </w:p>
        </w:tc>
        <w:tc>
          <w:tcPr>
            <w:tcW w:w="858" w:type="dxa"/>
            <w:vAlign w:val="center"/>
          </w:tcPr>
          <w:p w14:paraId="4CB1F45D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S</w:t>
            </w:r>
            <w:r>
              <w:rPr>
                <w:sz w:val="13"/>
                <w:szCs w:val="15"/>
              </w:rPr>
              <w:t>olid</w:t>
            </w:r>
          </w:p>
        </w:tc>
        <w:tc>
          <w:tcPr>
            <w:tcW w:w="909" w:type="dxa"/>
            <w:vAlign w:val="center"/>
          </w:tcPr>
          <w:p w14:paraId="61F86322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Y</w:t>
            </w:r>
            <w:r>
              <w:rPr>
                <w:sz w:val="13"/>
                <w:szCs w:val="15"/>
              </w:rPr>
              <w:t>es</w:t>
            </w:r>
          </w:p>
        </w:tc>
        <w:tc>
          <w:tcPr>
            <w:tcW w:w="1417" w:type="dxa"/>
            <w:vAlign w:val="center"/>
          </w:tcPr>
          <w:p w14:paraId="10FFF6E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43.5%</w:t>
            </w:r>
          </w:p>
        </w:tc>
        <w:tc>
          <w:tcPr>
            <w:tcW w:w="1276" w:type="dxa"/>
            <w:vAlign w:val="center"/>
          </w:tcPr>
          <w:p w14:paraId="46AFD6CE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02.1</w:t>
            </w:r>
          </w:p>
        </w:tc>
        <w:tc>
          <w:tcPr>
            <w:tcW w:w="992" w:type="dxa"/>
            <w:vAlign w:val="center"/>
          </w:tcPr>
          <w:p w14:paraId="62D08356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.7</w:t>
            </w:r>
          </w:p>
        </w:tc>
        <w:tc>
          <w:tcPr>
            <w:tcW w:w="1418" w:type="dxa"/>
            <w:vAlign w:val="center"/>
          </w:tcPr>
          <w:p w14:paraId="744B66A9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52 (0.2)</w:t>
            </w:r>
          </w:p>
        </w:tc>
        <w:tc>
          <w:tcPr>
            <w:tcW w:w="1233" w:type="dxa"/>
            <w:vAlign w:val="center"/>
          </w:tcPr>
          <w:p w14:paraId="0BAE5B3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00 (52%)</w:t>
            </w:r>
          </w:p>
        </w:tc>
        <w:tc>
          <w:tcPr>
            <w:tcW w:w="1077" w:type="dxa"/>
            <w:vAlign w:val="center"/>
          </w:tcPr>
          <w:p w14:paraId="3AEEA766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&lt;EndNote&gt;&lt;Cite&gt;&lt;Author&gt;Guo&lt;/Author&gt;&lt;Year&gt;2018&lt;/Year&gt;&lt;RecNum&gt;2515&lt;/RecNum&gt;&lt;DisplayText&gt;&lt;style face="superscript"&gt;5&lt;/style&gt;&lt;/DisplayText&gt;&lt;record&gt;&lt;rec-number&gt;2515&lt;/rec-number&gt;&lt;foreign-keys&gt;&lt;key app="EN" db-id="ptaff0fa6sptz8ed0pc5x5xuwa00refxs2wd" timestamp="1703761657"&gt;2515&lt;/key&gt;&lt;key app="ENWeb" db-id=""&gt;0&lt;/key&gt;&lt;/foreign-keys&gt;&lt;ref-type name="Journal Article"&gt;17&lt;/ref-type&gt;&lt;contributors&gt;&lt;authors&gt;&lt;author&gt;Guo, W.&lt;/author&gt;&lt;author&gt;Bhargav, A.&lt;/author&gt;&lt;author&gt;Ackerson, J. D.&lt;/author&gt;&lt;author&gt;Cui, Y.&lt;/author&gt;&lt;author&gt;Ma, Y.&lt;/author&gt;&lt;author&gt;Fu, Y.&lt;/author&gt;&lt;/authors&gt;&lt;/contributors&gt;&lt;auth-address&gt;College of Chemistry and Molecular Engineering, Zhengzhou University, Zhengzhou 450001, China. yfu@zzu.edu.cn.&lt;/auth-address&gt;&lt;titles&gt;&lt;title&gt;Mixture is better: enhanced electrochemical performance of phenyl selenosulfide in rechargeable lithium batteries&lt;/title&gt;&lt;secondary-title&gt;Chem Commun (Camb)&lt;/secondary-title&gt;&lt;/titles&gt;&lt;periodical&gt;&lt;full-title&gt;Chem Commun (Camb)&lt;/full-title&gt;&lt;/periodical&gt;&lt;pages&gt;8873-8876&lt;/pages&gt;&lt;volume&gt;54&lt;/volume&gt;&lt;number&gt;64&lt;/number&gt;&lt;edition&gt;2018/07/26&lt;/edition&gt;&lt;dates&gt;&lt;year&gt;2018&lt;/year&gt;&lt;pub-dates&gt;&lt;date&gt;Aug 7&lt;/date&gt;&lt;/pub-dates&gt;&lt;/dates&gt;&lt;isbn&gt;1364-548X (Electronic)&amp;#xD;1359-7345 (Linking)&lt;/isbn&gt;&lt;accession-num&gt;30042997&lt;/accession-num&gt;&lt;urls&gt;&lt;related-urls&gt;&lt;url&gt;https://www.ncbi.nlm.nih.gov/pubmed/30042997&lt;/url&gt;&lt;/related-urls&gt;&lt;/urls&gt;&lt;electronic-resource-num&gt;10.1039/c8cc04076a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5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5CECC33E" w14:textId="77777777">
        <w:trPr>
          <w:trHeight w:val="627"/>
        </w:trPr>
        <w:tc>
          <w:tcPr>
            <w:tcW w:w="1347" w:type="dxa"/>
            <w:vAlign w:val="center"/>
          </w:tcPr>
          <w:p w14:paraId="2E25DE23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2,2</w:t>
            </w:r>
            <w:r>
              <w:rPr>
                <w:sz w:val="13"/>
                <w:szCs w:val="15"/>
              </w:rPr>
              <w:t>’</w:t>
            </w:r>
            <w:r>
              <w:rPr>
                <w:rFonts w:hint="eastAsia"/>
                <w:sz w:val="13"/>
                <w:szCs w:val="15"/>
              </w:rPr>
              <w:t xml:space="preserve">-dipyridyl </w:t>
            </w:r>
            <w:proofErr w:type="gramStart"/>
            <w:r>
              <w:rPr>
                <w:rFonts w:hint="eastAsia"/>
                <w:sz w:val="13"/>
                <w:szCs w:val="15"/>
              </w:rPr>
              <w:t>disulfide</w:t>
            </w:r>
            <w:proofErr w:type="gramEnd"/>
          </w:p>
        </w:tc>
        <w:tc>
          <w:tcPr>
            <w:tcW w:w="858" w:type="dxa"/>
            <w:vAlign w:val="center"/>
          </w:tcPr>
          <w:p w14:paraId="7DC7A9B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S</w:t>
            </w:r>
            <w:r>
              <w:rPr>
                <w:sz w:val="13"/>
                <w:szCs w:val="15"/>
              </w:rPr>
              <w:t>olid</w:t>
            </w:r>
          </w:p>
        </w:tc>
        <w:tc>
          <w:tcPr>
            <w:tcW w:w="909" w:type="dxa"/>
            <w:vAlign w:val="center"/>
          </w:tcPr>
          <w:p w14:paraId="6FC70335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Y</w:t>
            </w:r>
            <w:r>
              <w:rPr>
                <w:sz w:val="13"/>
                <w:szCs w:val="15"/>
              </w:rPr>
              <w:t>es</w:t>
            </w:r>
          </w:p>
        </w:tc>
        <w:tc>
          <w:tcPr>
            <w:tcW w:w="1417" w:type="dxa"/>
            <w:vAlign w:val="center"/>
          </w:tcPr>
          <w:p w14:paraId="40D302C3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29.1%</w:t>
            </w:r>
          </w:p>
        </w:tc>
        <w:tc>
          <w:tcPr>
            <w:tcW w:w="1276" w:type="dxa"/>
            <w:vAlign w:val="center"/>
          </w:tcPr>
          <w:p w14:paraId="7A1DCC14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43</w:t>
            </w:r>
          </w:p>
        </w:tc>
        <w:tc>
          <w:tcPr>
            <w:tcW w:w="992" w:type="dxa"/>
            <w:vAlign w:val="center"/>
          </w:tcPr>
          <w:p w14:paraId="642B01E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.1</w:t>
            </w:r>
          </w:p>
        </w:tc>
        <w:tc>
          <w:tcPr>
            <w:tcW w:w="1418" w:type="dxa"/>
            <w:vAlign w:val="center"/>
          </w:tcPr>
          <w:p w14:paraId="60F56884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</w:t>
            </w:r>
            <w:r>
              <w:rPr>
                <w:sz w:val="13"/>
                <w:szCs w:val="15"/>
              </w:rPr>
              <w:t>37 (0.5C)</w:t>
            </w:r>
          </w:p>
        </w:tc>
        <w:tc>
          <w:tcPr>
            <w:tcW w:w="1233" w:type="dxa"/>
            <w:vAlign w:val="center"/>
          </w:tcPr>
          <w:p w14:paraId="41B7691E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5</w:t>
            </w:r>
            <w:r>
              <w:rPr>
                <w:sz w:val="13"/>
                <w:szCs w:val="15"/>
              </w:rPr>
              <w:t>00 (69%)</w:t>
            </w:r>
          </w:p>
        </w:tc>
        <w:tc>
          <w:tcPr>
            <w:tcW w:w="1077" w:type="dxa"/>
            <w:vAlign w:val="center"/>
          </w:tcPr>
          <w:p w14:paraId="34488395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&lt;EndNote&gt;&lt;Cite&gt;&lt;Author&gt;Wang&lt;/Author&gt;&lt;Year&gt;2019&lt;/Year&gt;&lt;RecNum&gt;2516&lt;/RecNum&gt;&lt;DisplayText&gt;&lt;style face="superscript"&gt;6&lt;/style&gt;&lt;/DisplayText&gt;&lt;record&gt;&lt;rec-number&gt;2516&lt;/rec-number&gt;&lt;foreign-keys&gt;&lt;key app="EN" db-id="ptaff0fa6sptz8ed0pc5x5xuwa00refxs2wd" timestamp="1703762334"&gt;2516&lt;/key&gt;&lt;key app="ENWeb" db-id=""&gt;0&lt;/key&gt;&lt;/foreign-keys&gt;&lt;ref-type name="Journal Article"&gt;17&lt;/ref-type&gt;&lt;contributors&gt;&lt;authors&gt;&lt;author&gt;Wang, Dan-Yang&lt;/author&gt;&lt;author&gt;Si, Yubing&lt;/author&gt;&lt;author&gt;Li, Junjie&lt;/author&gt;&lt;author&gt;Fu, Yongzhu&lt;/author&gt;&lt;/authors&gt;&lt;/contributors&gt;&lt;titles&gt;&lt;title&gt;Tuning the electrochemical behavior of organodisulfides in rechargeable lithium batteries using N-containing heterocycles&lt;/title&gt;&lt;secondary-title&gt;Journal of Materials Chemistry A&lt;/secondary-title&gt;&lt;/titles&gt;&lt;periodical&gt;&lt;full-title&gt;Journal of Materials Chemistry A&lt;/full-title&gt;&lt;/periodical&gt;&lt;pages&gt;7423-7429&lt;/pages&gt;&lt;volume&gt;7&lt;/volume&gt;&lt;number&gt;13&lt;/number&gt;&lt;section&gt;7423&lt;/section&gt;&lt;dates&gt;&lt;year&gt;2019&lt;/year&gt;&lt;/dates&gt;&lt;isbn&gt;2050-7488&amp;#xD;2050-7496&lt;/isbn&gt;&lt;urls&gt;&lt;/urls&gt;&lt;electronic-resource-num&gt;10.1039/c9ta01273g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6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083FCCB5" w14:textId="77777777">
        <w:trPr>
          <w:trHeight w:val="627"/>
        </w:trPr>
        <w:tc>
          <w:tcPr>
            <w:tcW w:w="1347" w:type="dxa"/>
            <w:vAlign w:val="center"/>
          </w:tcPr>
          <w:p w14:paraId="020B12BF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proofErr w:type="spellStart"/>
            <w:r>
              <w:rPr>
                <w:sz w:val="13"/>
                <w:szCs w:val="15"/>
              </w:rPr>
              <w:t>Tetramethylthiuram</w:t>
            </w:r>
            <w:proofErr w:type="spellEnd"/>
            <w:r>
              <w:rPr>
                <w:sz w:val="13"/>
                <w:szCs w:val="15"/>
              </w:rPr>
              <w:t xml:space="preserve"> disulfide</w:t>
            </w:r>
          </w:p>
        </w:tc>
        <w:tc>
          <w:tcPr>
            <w:tcW w:w="858" w:type="dxa"/>
            <w:vAlign w:val="center"/>
          </w:tcPr>
          <w:p w14:paraId="7DDAC81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S</w:t>
            </w:r>
            <w:r>
              <w:rPr>
                <w:sz w:val="13"/>
                <w:szCs w:val="15"/>
              </w:rPr>
              <w:t>olid</w:t>
            </w:r>
          </w:p>
        </w:tc>
        <w:tc>
          <w:tcPr>
            <w:tcW w:w="909" w:type="dxa"/>
            <w:vAlign w:val="center"/>
          </w:tcPr>
          <w:p w14:paraId="4D3B9FC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No</w:t>
            </w:r>
          </w:p>
        </w:tc>
        <w:tc>
          <w:tcPr>
            <w:tcW w:w="1417" w:type="dxa"/>
            <w:vAlign w:val="center"/>
          </w:tcPr>
          <w:p w14:paraId="036DA2B0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29.6%</w:t>
            </w:r>
          </w:p>
        </w:tc>
        <w:tc>
          <w:tcPr>
            <w:tcW w:w="1276" w:type="dxa"/>
            <w:vAlign w:val="center"/>
          </w:tcPr>
          <w:p w14:paraId="2006E40D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4</w:t>
            </w:r>
            <w:r>
              <w:rPr>
                <w:sz w:val="13"/>
                <w:szCs w:val="15"/>
              </w:rPr>
              <w:t>96.3</w:t>
            </w:r>
          </w:p>
        </w:tc>
        <w:tc>
          <w:tcPr>
            <w:tcW w:w="992" w:type="dxa"/>
            <w:vAlign w:val="center"/>
          </w:tcPr>
          <w:p w14:paraId="43677D5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.8</w:t>
            </w:r>
          </w:p>
        </w:tc>
        <w:tc>
          <w:tcPr>
            <w:tcW w:w="1418" w:type="dxa"/>
            <w:vAlign w:val="center"/>
          </w:tcPr>
          <w:p w14:paraId="744082C4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~</w:t>
            </w:r>
            <w:r>
              <w:rPr>
                <w:sz w:val="13"/>
                <w:szCs w:val="15"/>
              </w:rPr>
              <w:t>300</w:t>
            </w:r>
            <w:r>
              <w:rPr>
                <w:rFonts w:hint="eastAsia"/>
                <w:sz w:val="13"/>
                <w:szCs w:val="15"/>
              </w:rPr>
              <w:t xml:space="preserve"> </w:t>
            </w:r>
            <w:r>
              <w:rPr>
                <w:sz w:val="13"/>
                <w:szCs w:val="15"/>
              </w:rPr>
              <w:t>(0.2C)</w:t>
            </w:r>
          </w:p>
        </w:tc>
        <w:tc>
          <w:tcPr>
            <w:tcW w:w="1233" w:type="dxa"/>
            <w:vAlign w:val="center"/>
          </w:tcPr>
          <w:p w14:paraId="69E58553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200 (75%)</w:t>
            </w:r>
          </w:p>
        </w:tc>
        <w:tc>
          <w:tcPr>
            <w:tcW w:w="1077" w:type="dxa"/>
            <w:vAlign w:val="center"/>
          </w:tcPr>
          <w:p w14:paraId="25389F30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&lt;EndNote&gt;&lt;Cite&gt;&lt;Author&gt;Xu&lt;/Author&gt;&lt;Year&gt;2019&lt;/Year&gt;&lt;RecNum&gt;2517&lt;/RecNum&gt;&lt;DisplayText&gt;&lt;style face="superscript"&gt;7&lt;/style&gt;&lt;/DisplayText&gt;&lt;record&gt;&lt;rec-number&gt;2517&lt;/rec-number&gt;&lt;foreign-keys&gt;&lt;key app="EN" db-id="ptaff0fa6sptz8ed0pc5x5xuwa00refxs2wd" timestamp="1703763363"&gt;2517&lt;/key&gt;&lt;key app="ENWeb" db-id=""&gt;0&lt;/key&gt;&lt;/foreign-keys&gt;&lt;ref-type name="Journal Article"&gt;17&lt;/ref-type&gt;&lt;contributors&gt;&lt;authors&gt;&lt;author&gt;Xu, Hongfei&lt;/author&gt;&lt;author&gt;Shi, Yongzheng&lt;/author&gt;&lt;author&gt;Yang, Shubin&lt;/author&gt;&lt;author&gt;Li, Bin&lt;/author&gt;&lt;/authors&gt;&lt;/contributors&gt;&lt;titles&gt;&lt;title&gt;A linear molecule sulfur-rich organic cathode material for high performance lithium</w:instrText>
            </w:r>
            <w:r>
              <w:rPr>
                <w:rFonts w:hint="eastAsia"/>
                <w:sz w:val="13"/>
                <w:szCs w:val="15"/>
              </w:rPr>
              <w:instrText>–</w:instrText>
            </w:r>
            <w:r>
              <w:rPr>
                <w:rFonts w:hint="eastAsia"/>
                <w:sz w:val="13"/>
                <w:szCs w:val="15"/>
              </w:rPr>
              <w:instrText>sulfur batteries&lt;/title&gt;&lt;secondary-title&gt;Journal of Power Sources&lt;/secondary-title&gt;&lt;/titles&gt;&lt;periodical&gt;&lt;full-title&gt;Journal of Power Sources&lt;/full-title&gt;&lt;/periodical&gt;&lt;pages&gt;210-217&lt;/pages&gt;&lt;volume&gt;430&lt;/volume&gt;&lt;section&gt;210&lt;/section&gt;&lt;dates&gt;&lt;year&gt;2019&lt;/year&gt;&lt;/dates&gt;&lt;isbn&gt;03787753&lt;/isbn&gt;&lt;urls&gt;&lt;/urls&gt;&lt;electronic-resource-num&gt;10.1016/j.jpowsour.2019.05.022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7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52A3CD67" w14:textId="77777777">
        <w:trPr>
          <w:trHeight w:val="180"/>
        </w:trPr>
        <w:tc>
          <w:tcPr>
            <w:tcW w:w="1347" w:type="dxa"/>
            <w:vAlign w:val="center"/>
          </w:tcPr>
          <w:p w14:paraId="129CEE2F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proofErr w:type="gramStart"/>
            <w:r>
              <w:rPr>
                <w:sz w:val="13"/>
                <w:szCs w:val="15"/>
              </w:rPr>
              <w:t>Diphenyl  trisulﬁde</w:t>
            </w:r>
            <w:proofErr w:type="gramEnd"/>
          </w:p>
        </w:tc>
        <w:tc>
          <w:tcPr>
            <w:tcW w:w="858" w:type="dxa"/>
            <w:vAlign w:val="center"/>
          </w:tcPr>
          <w:p w14:paraId="296A3DE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Solid</w:t>
            </w:r>
          </w:p>
        </w:tc>
        <w:tc>
          <w:tcPr>
            <w:tcW w:w="909" w:type="dxa"/>
            <w:vAlign w:val="center"/>
          </w:tcPr>
          <w:p w14:paraId="6BD626B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Y</w:t>
            </w:r>
            <w:r>
              <w:rPr>
                <w:rFonts w:hint="eastAsia"/>
                <w:sz w:val="13"/>
                <w:szCs w:val="15"/>
              </w:rPr>
              <w:t>es</w:t>
            </w:r>
          </w:p>
        </w:tc>
        <w:tc>
          <w:tcPr>
            <w:tcW w:w="1417" w:type="dxa"/>
            <w:vAlign w:val="center"/>
          </w:tcPr>
          <w:p w14:paraId="11989CEB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53.9%</w:t>
            </w:r>
          </w:p>
        </w:tc>
        <w:tc>
          <w:tcPr>
            <w:tcW w:w="1276" w:type="dxa"/>
            <w:vAlign w:val="center"/>
          </w:tcPr>
          <w:p w14:paraId="26C893DA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4</w:t>
            </w:r>
            <w:r>
              <w:rPr>
                <w:sz w:val="13"/>
                <w:szCs w:val="15"/>
              </w:rPr>
              <w:t>28.8</w:t>
            </w:r>
          </w:p>
        </w:tc>
        <w:tc>
          <w:tcPr>
            <w:tcW w:w="992" w:type="dxa"/>
            <w:vAlign w:val="center"/>
          </w:tcPr>
          <w:p w14:paraId="77DCD9AC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3</w:t>
            </w:r>
            <w:r>
              <w:rPr>
                <w:sz w:val="13"/>
                <w:szCs w:val="15"/>
              </w:rPr>
              <w:t>.9</w:t>
            </w:r>
          </w:p>
        </w:tc>
        <w:tc>
          <w:tcPr>
            <w:tcW w:w="1418" w:type="dxa"/>
            <w:vAlign w:val="center"/>
          </w:tcPr>
          <w:p w14:paraId="6E97A6A0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3</w:t>
            </w:r>
            <w:r>
              <w:rPr>
                <w:sz w:val="13"/>
                <w:szCs w:val="15"/>
              </w:rPr>
              <w:t>30 (0.5C)</w:t>
            </w:r>
          </w:p>
        </w:tc>
        <w:tc>
          <w:tcPr>
            <w:tcW w:w="1233" w:type="dxa"/>
            <w:vAlign w:val="center"/>
          </w:tcPr>
          <w:p w14:paraId="4AE02DCD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>
              <w:rPr>
                <w:sz w:val="13"/>
                <w:szCs w:val="15"/>
              </w:rPr>
              <w:t>00 (79%)</w:t>
            </w:r>
          </w:p>
        </w:tc>
        <w:tc>
          <w:tcPr>
            <w:tcW w:w="1077" w:type="dxa"/>
            <w:vAlign w:val="center"/>
          </w:tcPr>
          <w:p w14:paraId="1549FE0C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fldChar w:fldCharType="begin"/>
            </w:r>
            <w:r>
              <w:rPr>
                <w:rFonts w:hint="eastAsia"/>
                <w:sz w:val="13"/>
                <w:szCs w:val="15"/>
              </w:rPr>
              <w:instrText xml:space="preserve"> ADDIN EN.CITE &lt;EndNote&gt;&lt;Cite&gt;&lt;Author&gt;Wu&lt;/Author&gt;&lt;Year&gt;2016&lt;/Year&gt;&lt;RecNum&gt;2520&lt;/RecNum&gt;&lt;DisplayText&gt;&lt;style face="superscript"&gt;8&lt;/style&gt;&lt;/DisplayText&gt;&lt;record&gt;&lt;rec-number&gt;2520&lt;/rec-number&gt;&lt;foreign-keys&gt;&lt;key app="EN" db-id="ptaff0fa6sptz8ed0pc5x5xuwa00refxs2wd" timestamp="1703857145"&gt;2520&lt;/key&gt;&lt;key app="ENWeb" db-id=""&gt;0&lt;/key&gt;&lt;/foreign-keys&gt;&lt;ref-type name="Journal Article"&gt;17&lt;/ref-type&gt;&lt;contributors&gt;&lt;authors&gt;&lt;author&gt;Wu, Min&lt;/author&gt;&lt;author&gt;Bhargav, Amruth&lt;/author&gt;&lt;author&gt;Cui, Yi&lt;/author&gt;&lt;author&gt;Siegel, Amanda&lt;/author&gt;&lt;author&gt;Agarwal, Mangilal&lt;/author&gt;&lt;author&gt;Ma, Ying&lt;/author&gt;&lt;author&gt;Fu, Yongzhu&lt;/author&gt;&lt;/authors&gt;&lt;/contributors&gt;&lt;titles&gt;&lt;title&gt;Highly Reversible Diphenyl Trisulfide Catholyte for Rechargeable Lithium Batteries&lt;/title&gt;&lt;secondary-title&gt;ACS Energy Letters&lt;/secondary-title&gt;&lt;/titles&gt;&lt;periodical&gt;&lt;full-title&gt;ACS Energy Letters&lt;/full-title&gt;&lt;/periodical&gt;&lt;pages&gt;1221-1226&lt;/pages&gt;&lt;volume&gt;1&lt;/volume&gt;&lt;number&gt;6&lt;/number&gt;&lt;section&gt;1221&lt;/section&gt;&lt;dates&gt;&lt;year&gt;2016&lt;/year&gt;&lt;/dates&gt;&lt;isbn&gt;2380-8195&amp;#xD;2380-8195&lt;/isbn&gt;&lt;urls&gt;&lt;/urls&gt;&lt;electronic-resource-num&gt;10.1021/acsenergylett.6b00533&lt;/electronic-resource-num&gt;&lt;/record&gt;&lt;/Cite&gt;&lt;/EndNote&gt;</w:instrText>
            </w:r>
            <w:r>
              <w:rPr>
                <w:sz w:val="13"/>
                <w:szCs w:val="15"/>
              </w:rPr>
              <w:fldChar w:fldCharType="separate"/>
            </w:r>
            <w:r>
              <w:rPr>
                <w:rFonts w:hint="eastAsia"/>
                <w:sz w:val="13"/>
                <w:szCs w:val="15"/>
                <w:vertAlign w:val="superscript"/>
              </w:rPr>
              <w:t>8</w:t>
            </w:r>
            <w:r>
              <w:rPr>
                <w:sz w:val="13"/>
                <w:szCs w:val="15"/>
              </w:rPr>
              <w:fldChar w:fldCharType="end"/>
            </w:r>
          </w:p>
        </w:tc>
      </w:tr>
      <w:tr w:rsidR="00130A8B" w14:paraId="5B18F2EB" w14:textId="77777777">
        <w:trPr>
          <w:trHeight w:val="278"/>
        </w:trPr>
        <w:tc>
          <w:tcPr>
            <w:tcW w:w="1347" w:type="dxa"/>
            <w:vAlign w:val="center"/>
          </w:tcPr>
          <w:p w14:paraId="4E7D7A96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Carbon disulfide</w:t>
            </w:r>
          </w:p>
        </w:tc>
        <w:tc>
          <w:tcPr>
            <w:tcW w:w="858" w:type="dxa"/>
            <w:vAlign w:val="center"/>
          </w:tcPr>
          <w:p w14:paraId="3ED498FF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L</w:t>
            </w:r>
            <w:r>
              <w:rPr>
                <w:rFonts w:hint="eastAsia"/>
                <w:sz w:val="13"/>
                <w:szCs w:val="15"/>
              </w:rPr>
              <w:t>iquid</w:t>
            </w:r>
          </w:p>
        </w:tc>
        <w:tc>
          <w:tcPr>
            <w:tcW w:w="909" w:type="dxa"/>
            <w:vAlign w:val="center"/>
          </w:tcPr>
          <w:p w14:paraId="7CFE3391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Yes</w:t>
            </w:r>
          </w:p>
        </w:tc>
        <w:tc>
          <w:tcPr>
            <w:tcW w:w="1417" w:type="dxa"/>
            <w:vAlign w:val="center"/>
          </w:tcPr>
          <w:p w14:paraId="3F0D4613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42.1%</w:t>
            </w:r>
          </w:p>
        </w:tc>
        <w:tc>
          <w:tcPr>
            <w:tcW w:w="1276" w:type="dxa"/>
            <w:vAlign w:val="center"/>
          </w:tcPr>
          <w:p w14:paraId="7B461F3D" w14:textId="25C2A1B3" w:rsidR="00130A8B" w:rsidRDefault="00B8361D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235</w:t>
            </w:r>
          </w:p>
        </w:tc>
        <w:tc>
          <w:tcPr>
            <w:tcW w:w="992" w:type="dxa"/>
            <w:vAlign w:val="center"/>
          </w:tcPr>
          <w:p w14:paraId="4C296D48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5.8</w:t>
            </w:r>
          </w:p>
        </w:tc>
        <w:tc>
          <w:tcPr>
            <w:tcW w:w="1418" w:type="dxa"/>
            <w:vAlign w:val="center"/>
          </w:tcPr>
          <w:p w14:paraId="6C524263" w14:textId="1F3E1860" w:rsidR="00130A8B" w:rsidRDefault="00B8361D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1</w:t>
            </w:r>
            <w:r w:rsidR="004836A4">
              <w:rPr>
                <w:rFonts w:hint="eastAsia"/>
                <w:sz w:val="13"/>
                <w:szCs w:val="15"/>
              </w:rPr>
              <w:t>63</w:t>
            </w:r>
            <w:r>
              <w:rPr>
                <w:sz w:val="13"/>
                <w:szCs w:val="15"/>
              </w:rPr>
              <w:t xml:space="preserve"> (</w:t>
            </w:r>
            <w:r>
              <w:rPr>
                <w:rFonts w:hint="eastAsia"/>
                <w:sz w:val="13"/>
                <w:szCs w:val="15"/>
              </w:rPr>
              <w:t>1.0</w:t>
            </w:r>
            <w:r w:rsidR="0045176D">
              <w:rPr>
                <w:rFonts w:hint="eastAsia"/>
                <w:sz w:val="13"/>
                <w:szCs w:val="15"/>
              </w:rPr>
              <w:t xml:space="preserve"> mA cm-2</w:t>
            </w:r>
            <w:r>
              <w:rPr>
                <w:sz w:val="13"/>
                <w:szCs w:val="15"/>
              </w:rPr>
              <w:t>)</w:t>
            </w:r>
          </w:p>
        </w:tc>
        <w:tc>
          <w:tcPr>
            <w:tcW w:w="1233" w:type="dxa"/>
            <w:vAlign w:val="center"/>
          </w:tcPr>
          <w:p w14:paraId="2AC9CB00" w14:textId="2E8F57F8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rFonts w:hint="eastAsia"/>
                <w:sz w:val="13"/>
                <w:szCs w:val="15"/>
              </w:rPr>
              <w:t>6</w:t>
            </w:r>
            <w:r>
              <w:rPr>
                <w:sz w:val="13"/>
                <w:szCs w:val="15"/>
              </w:rPr>
              <w:t xml:space="preserve">000 </w:t>
            </w:r>
            <w:r>
              <w:rPr>
                <w:rFonts w:hint="eastAsia"/>
                <w:sz w:val="13"/>
                <w:szCs w:val="15"/>
              </w:rPr>
              <w:t>(</w:t>
            </w:r>
            <w:r w:rsidR="00B8361D">
              <w:rPr>
                <w:rFonts w:hint="eastAsia"/>
                <w:sz w:val="13"/>
                <w:szCs w:val="15"/>
              </w:rPr>
              <w:t>6</w:t>
            </w:r>
            <w:r>
              <w:rPr>
                <w:sz w:val="13"/>
                <w:szCs w:val="15"/>
              </w:rPr>
              <w:t>0%)</w:t>
            </w:r>
          </w:p>
        </w:tc>
        <w:tc>
          <w:tcPr>
            <w:tcW w:w="1077" w:type="dxa"/>
            <w:vAlign w:val="center"/>
          </w:tcPr>
          <w:p w14:paraId="1A7D7C5E" w14:textId="77777777" w:rsidR="00130A8B" w:rsidRDefault="00000000">
            <w:pPr>
              <w:spacing w:line="360" w:lineRule="auto"/>
              <w:jc w:val="center"/>
              <w:rPr>
                <w:sz w:val="13"/>
                <w:szCs w:val="15"/>
              </w:rPr>
            </w:pPr>
            <w:r>
              <w:rPr>
                <w:sz w:val="13"/>
                <w:szCs w:val="15"/>
              </w:rPr>
              <w:t>This work</w:t>
            </w:r>
          </w:p>
        </w:tc>
      </w:tr>
    </w:tbl>
    <w:p w14:paraId="672C1A3A" w14:textId="77777777" w:rsidR="00130A8B" w:rsidRDefault="00130A8B">
      <w:pPr>
        <w:spacing w:line="360" w:lineRule="auto"/>
      </w:pPr>
    </w:p>
    <w:p w14:paraId="21F722C0" w14:textId="77777777" w:rsidR="00130A8B" w:rsidRDefault="00000000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>
        <w:t>(1)</w:t>
      </w:r>
      <w:r>
        <w:tab/>
        <w:t xml:space="preserve">Chen, Q.; Li, L.; Wang, W.; Li, X.; Guo, W.; Fu, Y. Thiuram Monosulfide with Ultrahigh Redox Activity Triggered by Electrochemical Oxidation. </w:t>
      </w:r>
      <w:r>
        <w:rPr>
          <w:i/>
        </w:rPr>
        <w:t xml:space="preserve">Journal of the American Chemical Society </w:t>
      </w:r>
      <w:r>
        <w:rPr>
          <w:b/>
        </w:rPr>
        <w:t>2022,</w:t>
      </w:r>
      <w:r>
        <w:t xml:space="preserve"> </w:t>
      </w:r>
      <w:r>
        <w:rPr>
          <w:i/>
        </w:rPr>
        <w:t>144</w:t>
      </w:r>
      <w:r>
        <w:t xml:space="preserve"> (41), 18918.</w:t>
      </w:r>
    </w:p>
    <w:p w14:paraId="20FCE702" w14:textId="77777777" w:rsidR="00130A8B" w:rsidRDefault="00000000">
      <w:pPr>
        <w:pStyle w:val="EndNoteBibliography"/>
        <w:ind w:left="720" w:hanging="720"/>
      </w:pPr>
      <w:r>
        <w:t>(2)</w:t>
      </w:r>
      <w:r>
        <w:tab/>
        <w:t xml:space="preserve">Preefer, M. B.; Oschmann, B.; Hawker, C. J.; Seshadri, R.; Wudl, F. High Sulfur Content Material with Stable Cycling in Lithium-Sulfur Batteries. </w:t>
      </w:r>
      <w:r>
        <w:rPr>
          <w:i/>
        </w:rPr>
        <w:t xml:space="preserve">Angew. Chem., Int. Ed. </w:t>
      </w:r>
      <w:r>
        <w:rPr>
          <w:b/>
        </w:rPr>
        <w:t>2017,</w:t>
      </w:r>
      <w:r>
        <w:t xml:space="preserve"> </w:t>
      </w:r>
      <w:r>
        <w:rPr>
          <w:i/>
        </w:rPr>
        <w:t>56</w:t>
      </w:r>
      <w:r>
        <w:t xml:space="preserve"> (47), 15118.</w:t>
      </w:r>
    </w:p>
    <w:p w14:paraId="2137079A" w14:textId="77777777" w:rsidR="00130A8B" w:rsidRDefault="00000000">
      <w:pPr>
        <w:pStyle w:val="EndNoteBibliography"/>
        <w:ind w:left="720" w:hanging="720"/>
      </w:pPr>
      <w:r>
        <w:t>(3)</w:t>
      </w:r>
      <w:r>
        <w:tab/>
        <w:t xml:space="preserve">Bhargav, A.; Patil, S. V.; Fu, Y. A phenyl disulfide@CNT composite cathode for rechargeable lithium batteries. </w:t>
      </w:r>
      <w:r>
        <w:rPr>
          <w:i/>
        </w:rPr>
        <w:t xml:space="preserve">Sustainable Energy &amp; Fuels </w:t>
      </w:r>
      <w:r>
        <w:rPr>
          <w:b/>
        </w:rPr>
        <w:t>2017,</w:t>
      </w:r>
      <w:r>
        <w:t xml:space="preserve"> </w:t>
      </w:r>
      <w:r>
        <w:rPr>
          <w:i/>
        </w:rPr>
        <w:t>1</w:t>
      </w:r>
      <w:r>
        <w:t xml:space="preserve"> (5), 1007.</w:t>
      </w:r>
    </w:p>
    <w:p w14:paraId="572B6A8C" w14:textId="77777777" w:rsidR="00130A8B" w:rsidRDefault="00000000">
      <w:pPr>
        <w:pStyle w:val="EndNoteBibliography"/>
        <w:ind w:left="720" w:hanging="720"/>
      </w:pPr>
      <w:r>
        <w:t>(4)</w:t>
      </w:r>
      <w:r>
        <w:tab/>
        <w:t xml:space="preserve">Li, F.; Si, Y.; Liu, B.; Li, Z.; Fu, Y. Lithium Benzenedithiolate Catholytes for Rechargeable Lithium Batteries. </w:t>
      </w:r>
      <w:r>
        <w:rPr>
          <w:i/>
        </w:rPr>
        <w:t xml:space="preserve">Advanced Functional Materials </w:t>
      </w:r>
      <w:r>
        <w:rPr>
          <w:b/>
        </w:rPr>
        <w:t>2019,</w:t>
      </w:r>
      <w:r>
        <w:t xml:space="preserve"> </w:t>
      </w:r>
      <w:r>
        <w:rPr>
          <w:i/>
        </w:rPr>
        <w:t>29</w:t>
      </w:r>
      <w:r>
        <w:t xml:space="preserve"> (32).</w:t>
      </w:r>
    </w:p>
    <w:p w14:paraId="37A36144" w14:textId="77777777" w:rsidR="00130A8B" w:rsidRDefault="00000000">
      <w:pPr>
        <w:pStyle w:val="EndNoteBibliography"/>
        <w:ind w:left="720" w:hanging="720"/>
      </w:pPr>
      <w:r>
        <w:t>(5)</w:t>
      </w:r>
      <w:r>
        <w:tab/>
        <w:t xml:space="preserve">Guo, W.; Bhargav, A.; Ackerson, J. D.; Cui, Y.; Ma, Y.; Fu, Y. Mixture is better: enhanced electrochemical performance of phenyl selenosulfide in rechargeable lithium batteries. </w:t>
      </w:r>
      <w:r>
        <w:rPr>
          <w:i/>
        </w:rPr>
        <w:t xml:space="preserve">Chem Commun (Camb) </w:t>
      </w:r>
      <w:r>
        <w:rPr>
          <w:b/>
        </w:rPr>
        <w:t>2018,</w:t>
      </w:r>
      <w:r>
        <w:t xml:space="preserve"> </w:t>
      </w:r>
      <w:r>
        <w:rPr>
          <w:i/>
        </w:rPr>
        <w:t>54</w:t>
      </w:r>
      <w:r>
        <w:t xml:space="preserve"> (64), 8873.</w:t>
      </w:r>
    </w:p>
    <w:p w14:paraId="11D73078" w14:textId="77777777" w:rsidR="00130A8B" w:rsidRDefault="00000000">
      <w:pPr>
        <w:pStyle w:val="EndNoteBibliography"/>
        <w:ind w:left="720" w:hanging="720"/>
      </w:pPr>
      <w:r>
        <w:t>(6)</w:t>
      </w:r>
      <w:r>
        <w:tab/>
        <w:t xml:space="preserve">Wang, D.-Y.; Si, Y.; Li, J.; Fu, Y. Tuning the electrochemical behavior of organodisulfides in rechargeable lithium batteries using N-containing heterocycles. </w:t>
      </w:r>
      <w:r>
        <w:rPr>
          <w:i/>
        </w:rPr>
        <w:t xml:space="preserve">Journal of Materials Chemistry A </w:t>
      </w:r>
      <w:r>
        <w:rPr>
          <w:b/>
        </w:rPr>
        <w:t>2019,</w:t>
      </w:r>
      <w:r>
        <w:t xml:space="preserve"> </w:t>
      </w:r>
      <w:r>
        <w:rPr>
          <w:i/>
        </w:rPr>
        <w:t>7</w:t>
      </w:r>
      <w:r>
        <w:t xml:space="preserve"> (13), 7423.</w:t>
      </w:r>
    </w:p>
    <w:p w14:paraId="076B1901" w14:textId="77777777" w:rsidR="00130A8B" w:rsidRDefault="00000000">
      <w:pPr>
        <w:pStyle w:val="EndNoteBibliography"/>
        <w:ind w:left="720" w:hanging="720"/>
      </w:pPr>
      <w:r>
        <w:t>(7)</w:t>
      </w:r>
      <w:r>
        <w:tab/>
        <w:t xml:space="preserve">Xu, H.; Shi, Y.; Yang, S.; Li, B. A linear molecule sulfur-rich organic cathode material for high </w:t>
      </w:r>
      <w:r>
        <w:lastRenderedPageBreak/>
        <w:t xml:space="preserve">performance lithium–sulfur batteries. </w:t>
      </w:r>
      <w:r>
        <w:rPr>
          <w:i/>
        </w:rPr>
        <w:t xml:space="preserve">Journal of Power Sources </w:t>
      </w:r>
      <w:r>
        <w:rPr>
          <w:b/>
        </w:rPr>
        <w:t>2019,</w:t>
      </w:r>
      <w:r>
        <w:t xml:space="preserve"> </w:t>
      </w:r>
      <w:r>
        <w:rPr>
          <w:i/>
        </w:rPr>
        <w:t>430</w:t>
      </w:r>
      <w:r>
        <w:t>, 210.</w:t>
      </w:r>
    </w:p>
    <w:p w14:paraId="32AAF1B0" w14:textId="77777777" w:rsidR="00130A8B" w:rsidRDefault="00000000">
      <w:pPr>
        <w:pStyle w:val="EndNoteBibliography"/>
        <w:ind w:left="720" w:hanging="720"/>
      </w:pPr>
      <w:r>
        <w:t>(8)</w:t>
      </w:r>
      <w:r>
        <w:tab/>
        <w:t xml:space="preserve">Wu, M.; Bhargav, A.; Cui, Y.; Siegel, A.; Agarwal, M.; Ma, Y.; Fu, Y. Highly Reversible Diphenyl Trisulfide Catholyte for Rechargeable Lithium Batteries. </w:t>
      </w:r>
      <w:r>
        <w:rPr>
          <w:i/>
        </w:rPr>
        <w:t xml:space="preserve">ACS Energy Letters </w:t>
      </w:r>
      <w:r>
        <w:rPr>
          <w:b/>
        </w:rPr>
        <w:t>2016,</w:t>
      </w:r>
      <w:r>
        <w:t xml:space="preserve"> </w:t>
      </w:r>
      <w:r>
        <w:rPr>
          <w:i/>
        </w:rPr>
        <w:t>1</w:t>
      </w:r>
      <w:r>
        <w:t xml:space="preserve"> (6), 1221.</w:t>
      </w:r>
    </w:p>
    <w:p w14:paraId="6306BADC" w14:textId="73D00308" w:rsidR="00130A8B" w:rsidRDefault="00000000">
      <w:pPr>
        <w:spacing w:line="360" w:lineRule="auto"/>
      </w:pPr>
      <w:r>
        <w:fldChar w:fldCharType="end"/>
      </w:r>
    </w:p>
    <w:sectPr w:rsidR="00130A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BC10D" w14:textId="77777777" w:rsidR="005B464F" w:rsidRDefault="005B464F">
      <w:r>
        <w:separator/>
      </w:r>
    </w:p>
  </w:endnote>
  <w:endnote w:type="continuationSeparator" w:id="0">
    <w:p w14:paraId="0734BF59" w14:textId="77777777" w:rsidR="005B464F" w:rsidRDefault="005B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D3601" w14:textId="77777777" w:rsidR="005B464F" w:rsidRDefault="005B464F">
      <w:r>
        <w:separator/>
      </w:r>
    </w:p>
  </w:footnote>
  <w:footnote w:type="continuationSeparator" w:id="0">
    <w:p w14:paraId="16B9876D" w14:textId="77777777" w:rsidR="005B464F" w:rsidRDefault="005B46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Review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taff0fa6sptz8ed0pc5x5xuwa00refxs2wd&quot;&gt;My EndNote Library&lt;record-ids&gt;&lt;item&gt;2333&lt;/item&gt;&lt;item&gt;2456&lt;/item&gt;&lt;item&gt;2512&lt;/item&gt;&lt;item&gt;2513&lt;/item&gt;&lt;item&gt;2515&lt;/item&gt;&lt;item&gt;2516&lt;/item&gt;&lt;item&gt;2517&lt;/item&gt;&lt;item&gt;2520&lt;/item&gt;&lt;/record-ids&gt;&lt;/item&gt;&lt;/Libraries&gt;"/>
  </w:docVars>
  <w:rsids>
    <w:rsidRoot w:val="00786478"/>
    <w:rsid w:val="000020F8"/>
    <w:rsid w:val="0000504F"/>
    <w:rsid w:val="00026810"/>
    <w:rsid w:val="00040EF5"/>
    <w:rsid w:val="00045D98"/>
    <w:rsid w:val="00052929"/>
    <w:rsid w:val="00056BF3"/>
    <w:rsid w:val="000621C2"/>
    <w:rsid w:val="00067B0C"/>
    <w:rsid w:val="0007575D"/>
    <w:rsid w:val="00081099"/>
    <w:rsid w:val="00082566"/>
    <w:rsid w:val="000830C5"/>
    <w:rsid w:val="0008551E"/>
    <w:rsid w:val="00091780"/>
    <w:rsid w:val="000934FE"/>
    <w:rsid w:val="000A1BA6"/>
    <w:rsid w:val="000B05AA"/>
    <w:rsid w:val="000B42B1"/>
    <w:rsid w:val="000B4702"/>
    <w:rsid w:val="000B5965"/>
    <w:rsid w:val="000D29F7"/>
    <w:rsid w:val="000D77D5"/>
    <w:rsid w:val="000E32E2"/>
    <w:rsid w:val="000E36BC"/>
    <w:rsid w:val="000E7CAD"/>
    <w:rsid w:val="000F51E3"/>
    <w:rsid w:val="00130A8B"/>
    <w:rsid w:val="0013498B"/>
    <w:rsid w:val="001614E8"/>
    <w:rsid w:val="0017112B"/>
    <w:rsid w:val="00172A7D"/>
    <w:rsid w:val="00174C98"/>
    <w:rsid w:val="00185EAE"/>
    <w:rsid w:val="0018622A"/>
    <w:rsid w:val="00195FF3"/>
    <w:rsid w:val="0019720C"/>
    <w:rsid w:val="001A10EF"/>
    <w:rsid w:val="001A17C1"/>
    <w:rsid w:val="001A5BD1"/>
    <w:rsid w:val="001B3250"/>
    <w:rsid w:val="001B49DB"/>
    <w:rsid w:val="001C068E"/>
    <w:rsid w:val="001C362D"/>
    <w:rsid w:val="001C5FE3"/>
    <w:rsid w:val="001D4972"/>
    <w:rsid w:val="001E749E"/>
    <w:rsid w:val="001F01A7"/>
    <w:rsid w:val="001F0B1D"/>
    <w:rsid w:val="001F632D"/>
    <w:rsid w:val="001F6F9F"/>
    <w:rsid w:val="0020370F"/>
    <w:rsid w:val="0020592A"/>
    <w:rsid w:val="00210C1A"/>
    <w:rsid w:val="00216168"/>
    <w:rsid w:val="002242EE"/>
    <w:rsid w:val="00227A49"/>
    <w:rsid w:val="002408D7"/>
    <w:rsid w:val="00240B9D"/>
    <w:rsid w:val="002415A3"/>
    <w:rsid w:val="00243488"/>
    <w:rsid w:val="00251EA2"/>
    <w:rsid w:val="00252690"/>
    <w:rsid w:val="002608E8"/>
    <w:rsid w:val="0026486D"/>
    <w:rsid w:val="002758B0"/>
    <w:rsid w:val="00292F41"/>
    <w:rsid w:val="002A02CF"/>
    <w:rsid w:val="002A09A8"/>
    <w:rsid w:val="002A0F94"/>
    <w:rsid w:val="002A7A2B"/>
    <w:rsid w:val="002C5232"/>
    <w:rsid w:val="002D01F9"/>
    <w:rsid w:val="002D3657"/>
    <w:rsid w:val="002D67B7"/>
    <w:rsid w:val="002E3D47"/>
    <w:rsid w:val="002F45EE"/>
    <w:rsid w:val="00300228"/>
    <w:rsid w:val="00304841"/>
    <w:rsid w:val="003070F8"/>
    <w:rsid w:val="00311666"/>
    <w:rsid w:val="00312FD5"/>
    <w:rsid w:val="00317574"/>
    <w:rsid w:val="0032465B"/>
    <w:rsid w:val="003351C6"/>
    <w:rsid w:val="003531C4"/>
    <w:rsid w:val="00354F1E"/>
    <w:rsid w:val="00357ED5"/>
    <w:rsid w:val="00370348"/>
    <w:rsid w:val="00380232"/>
    <w:rsid w:val="00383F5E"/>
    <w:rsid w:val="003854BA"/>
    <w:rsid w:val="00385693"/>
    <w:rsid w:val="003865B2"/>
    <w:rsid w:val="003C4DC6"/>
    <w:rsid w:val="003D2A9C"/>
    <w:rsid w:val="003E4627"/>
    <w:rsid w:val="003E585E"/>
    <w:rsid w:val="003F2134"/>
    <w:rsid w:val="003F3364"/>
    <w:rsid w:val="003F5EF5"/>
    <w:rsid w:val="00400909"/>
    <w:rsid w:val="00401F5A"/>
    <w:rsid w:val="004046C9"/>
    <w:rsid w:val="00406FB6"/>
    <w:rsid w:val="004509B0"/>
    <w:rsid w:val="0045176D"/>
    <w:rsid w:val="00456182"/>
    <w:rsid w:val="004567E7"/>
    <w:rsid w:val="004606AC"/>
    <w:rsid w:val="00460C38"/>
    <w:rsid w:val="0046513B"/>
    <w:rsid w:val="00466EA8"/>
    <w:rsid w:val="0047466F"/>
    <w:rsid w:val="004836A4"/>
    <w:rsid w:val="00494ACC"/>
    <w:rsid w:val="00497D56"/>
    <w:rsid w:val="004A53C8"/>
    <w:rsid w:val="004A6B2C"/>
    <w:rsid w:val="004B0E8B"/>
    <w:rsid w:val="004B14BC"/>
    <w:rsid w:val="004B3CA0"/>
    <w:rsid w:val="004B502F"/>
    <w:rsid w:val="004C0DA9"/>
    <w:rsid w:val="004C0F9B"/>
    <w:rsid w:val="004C7131"/>
    <w:rsid w:val="004D0DDC"/>
    <w:rsid w:val="004D233E"/>
    <w:rsid w:val="004D2590"/>
    <w:rsid w:val="004D5139"/>
    <w:rsid w:val="004D7DE0"/>
    <w:rsid w:val="004E6DE1"/>
    <w:rsid w:val="004F6E46"/>
    <w:rsid w:val="00506DAD"/>
    <w:rsid w:val="00511B3A"/>
    <w:rsid w:val="00512BBF"/>
    <w:rsid w:val="00515A53"/>
    <w:rsid w:val="00515A75"/>
    <w:rsid w:val="00524A63"/>
    <w:rsid w:val="005258BF"/>
    <w:rsid w:val="00526F74"/>
    <w:rsid w:val="00527636"/>
    <w:rsid w:val="00530F36"/>
    <w:rsid w:val="00543F4A"/>
    <w:rsid w:val="0055099B"/>
    <w:rsid w:val="00553325"/>
    <w:rsid w:val="00555CCA"/>
    <w:rsid w:val="00555F2B"/>
    <w:rsid w:val="005572F6"/>
    <w:rsid w:val="0056690B"/>
    <w:rsid w:val="00571F51"/>
    <w:rsid w:val="005843BD"/>
    <w:rsid w:val="00586A06"/>
    <w:rsid w:val="005950EB"/>
    <w:rsid w:val="005B3C1C"/>
    <w:rsid w:val="005B464F"/>
    <w:rsid w:val="005C04C7"/>
    <w:rsid w:val="005D55E9"/>
    <w:rsid w:val="005D69D3"/>
    <w:rsid w:val="005E227A"/>
    <w:rsid w:val="005F503C"/>
    <w:rsid w:val="006128FC"/>
    <w:rsid w:val="00614202"/>
    <w:rsid w:val="00615716"/>
    <w:rsid w:val="00617B92"/>
    <w:rsid w:val="00624887"/>
    <w:rsid w:val="0063136E"/>
    <w:rsid w:val="00636B94"/>
    <w:rsid w:val="0063757D"/>
    <w:rsid w:val="00646A81"/>
    <w:rsid w:val="00651765"/>
    <w:rsid w:val="00651D17"/>
    <w:rsid w:val="00652BA3"/>
    <w:rsid w:val="00655885"/>
    <w:rsid w:val="00663EFC"/>
    <w:rsid w:val="0067157D"/>
    <w:rsid w:val="0067210F"/>
    <w:rsid w:val="00673F05"/>
    <w:rsid w:val="00675264"/>
    <w:rsid w:val="006761F8"/>
    <w:rsid w:val="00677F90"/>
    <w:rsid w:val="00691D89"/>
    <w:rsid w:val="006960AD"/>
    <w:rsid w:val="006A30CB"/>
    <w:rsid w:val="006A4176"/>
    <w:rsid w:val="006A6A4A"/>
    <w:rsid w:val="006C0BF7"/>
    <w:rsid w:val="006C4A39"/>
    <w:rsid w:val="006D593C"/>
    <w:rsid w:val="006E67CB"/>
    <w:rsid w:val="007032EE"/>
    <w:rsid w:val="00704356"/>
    <w:rsid w:val="007043B5"/>
    <w:rsid w:val="0071064B"/>
    <w:rsid w:val="00710988"/>
    <w:rsid w:val="00710D9C"/>
    <w:rsid w:val="00711BFD"/>
    <w:rsid w:val="0071763A"/>
    <w:rsid w:val="0073264E"/>
    <w:rsid w:val="00733644"/>
    <w:rsid w:val="00733B88"/>
    <w:rsid w:val="00733E49"/>
    <w:rsid w:val="007349C9"/>
    <w:rsid w:val="0073708F"/>
    <w:rsid w:val="007562A4"/>
    <w:rsid w:val="007738A1"/>
    <w:rsid w:val="00775CAB"/>
    <w:rsid w:val="00782E83"/>
    <w:rsid w:val="007830AD"/>
    <w:rsid w:val="00783230"/>
    <w:rsid w:val="007842A4"/>
    <w:rsid w:val="00786478"/>
    <w:rsid w:val="0079105E"/>
    <w:rsid w:val="007917CB"/>
    <w:rsid w:val="007925CD"/>
    <w:rsid w:val="00792D78"/>
    <w:rsid w:val="00793AB5"/>
    <w:rsid w:val="007A2FF3"/>
    <w:rsid w:val="007C4E97"/>
    <w:rsid w:val="007F1517"/>
    <w:rsid w:val="00806C95"/>
    <w:rsid w:val="00813F6D"/>
    <w:rsid w:val="008142CF"/>
    <w:rsid w:val="00814B08"/>
    <w:rsid w:val="00821713"/>
    <w:rsid w:val="00833B37"/>
    <w:rsid w:val="00836516"/>
    <w:rsid w:val="00840EEA"/>
    <w:rsid w:val="00845420"/>
    <w:rsid w:val="00850031"/>
    <w:rsid w:val="00852E35"/>
    <w:rsid w:val="008540EB"/>
    <w:rsid w:val="00860A22"/>
    <w:rsid w:val="00862969"/>
    <w:rsid w:val="008653A9"/>
    <w:rsid w:val="0086661E"/>
    <w:rsid w:val="008919BD"/>
    <w:rsid w:val="00896419"/>
    <w:rsid w:val="008A51AF"/>
    <w:rsid w:val="008C1600"/>
    <w:rsid w:val="008C295D"/>
    <w:rsid w:val="008D09B0"/>
    <w:rsid w:val="008D2E35"/>
    <w:rsid w:val="008D3454"/>
    <w:rsid w:val="008E079B"/>
    <w:rsid w:val="008E1227"/>
    <w:rsid w:val="008E2E56"/>
    <w:rsid w:val="008F053B"/>
    <w:rsid w:val="008F37FF"/>
    <w:rsid w:val="00904DAF"/>
    <w:rsid w:val="00907396"/>
    <w:rsid w:val="00914078"/>
    <w:rsid w:val="00915A02"/>
    <w:rsid w:val="00922EC4"/>
    <w:rsid w:val="00933CA5"/>
    <w:rsid w:val="0094321A"/>
    <w:rsid w:val="00950266"/>
    <w:rsid w:val="00955C26"/>
    <w:rsid w:val="00961A50"/>
    <w:rsid w:val="009645F8"/>
    <w:rsid w:val="00964B41"/>
    <w:rsid w:val="0097074D"/>
    <w:rsid w:val="00975DA5"/>
    <w:rsid w:val="00990F0E"/>
    <w:rsid w:val="009974F0"/>
    <w:rsid w:val="009A070B"/>
    <w:rsid w:val="009A0BBA"/>
    <w:rsid w:val="009A54D9"/>
    <w:rsid w:val="009C391B"/>
    <w:rsid w:val="009C3DBC"/>
    <w:rsid w:val="009C782C"/>
    <w:rsid w:val="009D1499"/>
    <w:rsid w:val="009D440A"/>
    <w:rsid w:val="009E0A77"/>
    <w:rsid w:val="009E0E73"/>
    <w:rsid w:val="009E539F"/>
    <w:rsid w:val="009F5361"/>
    <w:rsid w:val="009F671F"/>
    <w:rsid w:val="009F7DAA"/>
    <w:rsid w:val="00A0571A"/>
    <w:rsid w:val="00A10E52"/>
    <w:rsid w:val="00A24E7C"/>
    <w:rsid w:val="00A41486"/>
    <w:rsid w:val="00A42FCC"/>
    <w:rsid w:val="00A43B72"/>
    <w:rsid w:val="00A44076"/>
    <w:rsid w:val="00A51769"/>
    <w:rsid w:val="00A5219F"/>
    <w:rsid w:val="00A5292F"/>
    <w:rsid w:val="00A60DAE"/>
    <w:rsid w:val="00A61624"/>
    <w:rsid w:val="00A618A0"/>
    <w:rsid w:val="00A66645"/>
    <w:rsid w:val="00A71FFC"/>
    <w:rsid w:val="00A72179"/>
    <w:rsid w:val="00A80181"/>
    <w:rsid w:val="00A863C6"/>
    <w:rsid w:val="00A8662C"/>
    <w:rsid w:val="00A86D0F"/>
    <w:rsid w:val="00A914A4"/>
    <w:rsid w:val="00A9497D"/>
    <w:rsid w:val="00A949BF"/>
    <w:rsid w:val="00AA2857"/>
    <w:rsid w:val="00AB3FBD"/>
    <w:rsid w:val="00AB6DB6"/>
    <w:rsid w:val="00AC5681"/>
    <w:rsid w:val="00AD23BE"/>
    <w:rsid w:val="00AE23F8"/>
    <w:rsid w:val="00AE44F9"/>
    <w:rsid w:val="00AE46EE"/>
    <w:rsid w:val="00AF3F3B"/>
    <w:rsid w:val="00AF66D2"/>
    <w:rsid w:val="00B05224"/>
    <w:rsid w:val="00B154C9"/>
    <w:rsid w:val="00B209DB"/>
    <w:rsid w:val="00B25FFF"/>
    <w:rsid w:val="00B26D68"/>
    <w:rsid w:val="00B273B3"/>
    <w:rsid w:val="00B3220D"/>
    <w:rsid w:val="00B41E5A"/>
    <w:rsid w:val="00B4535D"/>
    <w:rsid w:val="00B50A2A"/>
    <w:rsid w:val="00B5649F"/>
    <w:rsid w:val="00B70979"/>
    <w:rsid w:val="00B8311A"/>
    <w:rsid w:val="00B8361D"/>
    <w:rsid w:val="00B8772D"/>
    <w:rsid w:val="00B95564"/>
    <w:rsid w:val="00B95DBE"/>
    <w:rsid w:val="00B96862"/>
    <w:rsid w:val="00BA1198"/>
    <w:rsid w:val="00BA7BD0"/>
    <w:rsid w:val="00BB1E78"/>
    <w:rsid w:val="00BC4531"/>
    <w:rsid w:val="00BD05AE"/>
    <w:rsid w:val="00BD26A5"/>
    <w:rsid w:val="00BD7D73"/>
    <w:rsid w:val="00BE17AC"/>
    <w:rsid w:val="00BE429B"/>
    <w:rsid w:val="00C0386B"/>
    <w:rsid w:val="00C12C61"/>
    <w:rsid w:val="00C219AF"/>
    <w:rsid w:val="00C21C6D"/>
    <w:rsid w:val="00C36B2D"/>
    <w:rsid w:val="00C37D79"/>
    <w:rsid w:val="00C510D5"/>
    <w:rsid w:val="00C64D76"/>
    <w:rsid w:val="00C65CE7"/>
    <w:rsid w:val="00C80FBD"/>
    <w:rsid w:val="00C822A0"/>
    <w:rsid w:val="00CA1B23"/>
    <w:rsid w:val="00CB79FA"/>
    <w:rsid w:val="00CC2F78"/>
    <w:rsid w:val="00CC3A61"/>
    <w:rsid w:val="00CD26B1"/>
    <w:rsid w:val="00CD480D"/>
    <w:rsid w:val="00CD5858"/>
    <w:rsid w:val="00CE0687"/>
    <w:rsid w:val="00CF2746"/>
    <w:rsid w:val="00CF2E8B"/>
    <w:rsid w:val="00CF7E3F"/>
    <w:rsid w:val="00D0247C"/>
    <w:rsid w:val="00D21B9B"/>
    <w:rsid w:val="00D23CE4"/>
    <w:rsid w:val="00D30E71"/>
    <w:rsid w:val="00D32712"/>
    <w:rsid w:val="00D3623E"/>
    <w:rsid w:val="00D373CA"/>
    <w:rsid w:val="00D45607"/>
    <w:rsid w:val="00D47B54"/>
    <w:rsid w:val="00D50A13"/>
    <w:rsid w:val="00D52D47"/>
    <w:rsid w:val="00D74927"/>
    <w:rsid w:val="00D75BE4"/>
    <w:rsid w:val="00D9630A"/>
    <w:rsid w:val="00DA1ADF"/>
    <w:rsid w:val="00DA233E"/>
    <w:rsid w:val="00DA6169"/>
    <w:rsid w:val="00DB2DA6"/>
    <w:rsid w:val="00DB4475"/>
    <w:rsid w:val="00DC1D9F"/>
    <w:rsid w:val="00DC2F42"/>
    <w:rsid w:val="00DC5D69"/>
    <w:rsid w:val="00DD4532"/>
    <w:rsid w:val="00DD7B63"/>
    <w:rsid w:val="00DE08A5"/>
    <w:rsid w:val="00DF63A0"/>
    <w:rsid w:val="00DF7DC1"/>
    <w:rsid w:val="00DF7E5C"/>
    <w:rsid w:val="00E05C5F"/>
    <w:rsid w:val="00E10F2F"/>
    <w:rsid w:val="00E26B0B"/>
    <w:rsid w:val="00E326CD"/>
    <w:rsid w:val="00E3439E"/>
    <w:rsid w:val="00E37734"/>
    <w:rsid w:val="00E41E9A"/>
    <w:rsid w:val="00E42539"/>
    <w:rsid w:val="00E501AE"/>
    <w:rsid w:val="00E66FE1"/>
    <w:rsid w:val="00E672C9"/>
    <w:rsid w:val="00E734B1"/>
    <w:rsid w:val="00E74D05"/>
    <w:rsid w:val="00E816C6"/>
    <w:rsid w:val="00E83FDB"/>
    <w:rsid w:val="00E9069A"/>
    <w:rsid w:val="00EA6364"/>
    <w:rsid w:val="00EC2031"/>
    <w:rsid w:val="00EC668B"/>
    <w:rsid w:val="00ED0987"/>
    <w:rsid w:val="00ED5D39"/>
    <w:rsid w:val="00ED6F99"/>
    <w:rsid w:val="00EE06B0"/>
    <w:rsid w:val="00EF57C5"/>
    <w:rsid w:val="00EF6910"/>
    <w:rsid w:val="00F01681"/>
    <w:rsid w:val="00F0202F"/>
    <w:rsid w:val="00F05997"/>
    <w:rsid w:val="00F10696"/>
    <w:rsid w:val="00F12E1F"/>
    <w:rsid w:val="00F15E64"/>
    <w:rsid w:val="00F16422"/>
    <w:rsid w:val="00F42CFE"/>
    <w:rsid w:val="00F55D19"/>
    <w:rsid w:val="00F6123F"/>
    <w:rsid w:val="00F642D7"/>
    <w:rsid w:val="00F64495"/>
    <w:rsid w:val="00F644CC"/>
    <w:rsid w:val="00F728CC"/>
    <w:rsid w:val="00F87D4B"/>
    <w:rsid w:val="00F92874"/>
    <w:rsid w:val="00F97B40"/>
    <w:rsid w:val="00FA2673"/>
    <w:rsid w:val="00FC31C0"/>
    <w:rsid w:val="00FD0649"/>
    <w:rsid w:val="00FD144A"/>
    <w:rsid w:val="00FD5179"/>
    <w:rsid w:val="00FF34CD"/>
    <w:rsid w:val="06E435D4"/>
    <w:rsid w:val="0BD53BE7"/>
    <w:rsid w:val="1668504B"/>
    <w:rsid w:val="1EED2D14"/>
    <w:rsid w:val="26D109B9"/>
    <w:rsid w:val="315A40C3"/>
    <w:rsid w:val="329A0FA4"/>
    <w:rsid w:val="3469386D"/>
    <w:rsid w:val="34837B48"/>
    <w:rsid w:val="3671484F"/>
    <w:rsid w:val="39F41558"/>
    <w:rsid w:val="3CFA551C"/>
    <w:rsid w:val="418E4AD6"/>
    <w:rsid w:val="466F101E"/>
    <w:rsid w:val="48276047"/>
    <w:rsid w:val="49931BE2"/>
    <w:rsid w:val="4A65319D"/>
    <w:rsid w:val="4B3F2B00"/>
    <w:rsid w:val="4B4C7087"/>
    <w:rsid w:val="4E6479C9"/>
    <w:rsid w:val="57D829BE"/>
    <w:rsid w:val="5A612BE9"/>
    <w:rsid w:val="5D2A05E8"/>
    <w:rsid w:val="5F32757F"/>
    <w:rsid w:val="63430728"/>
    <w:rsid w:val="64160128"/>
    <w:rsid w:val="64373BAF"/>
    <w:rsid w:val="68727968"/>
    <w:rsid w:val="68B46F5B"/>
    <w:rsid w:val="6A356EA0"/>
    <w:rsid w:val="6F430715"/>
    <w:rsid w:val="74A860B2"/>
    <w:rsid w:val="778E6B43"/>
    <w:rsid w:val="7B45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E987F9"/>
  <w15:docId w15:val="{065BA57C-6D39-4ADE-9A7D-DE7AEC13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qFormat/>
    <w:pPr>
      <w:widowControl/>
      <w:snapToGrid w:val="0"/>
      <w:spacing w:after="200" w:line="276" w:lineRule="auto"/>
      <w:jc w:val="left"/>
    </w:pPr>
    <w:rPr>
      <w:rFonts w:asciiTheme="minorHAnsi" w:hAnsiTheme="minorHAnsi" w:cstheme="minorBidi"/>
      <w:kern w:val="0"/>
      <w:sz w:val="18"/>
      <w:szCs w:val="18"/>
      <w:lang w:val="en-GB" w:eastAsia="en-US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otnote reference"/>
    <w:qFormat/>
    <w:rPr>
      <w:vertAlign w:val="superscript"/>
    </w:rPr>
  </w:style>
  <w:style w:type="character" w:customStyle="1" w:styleId="a8">
    <w:name w:val="脚注文本 字符"/>
    <w:basedOn w:val="a0"/>
    <w:link w:val="a7"/>
    <w:uiPriority w:val="99"/>
    <w:semiHidden/>
    <w:qFormat/>
    <w:rPr>
      <w:rFonts w:asciiTheme="minorHAnsi" w:hAnsiTheme="minorHAnsi" w:cstheme="minorBidi"/>
      <w:kern w:val="0"/>
      <w:sz w:val="18"/>
      <w:szCs w:val="18"/>
      <w:lang w:val="en-GB" w:eastAsia="en-US"/>
    </w:rPr>
  </w:style>
  <w:style w:type="character" w:customStyle="1" w:styleId="10">
    <w:name w:val="标题 1 字符"/>
    <w:basedOn w:val="a0"/>
    <w:link w:val="1"/>
    <w:uiPriority w:val="9"/>
    <w:qFormat/>
    <w:rPr>
      <w:rFonts w:eastAsia="Times New Roman"/>
      <w:b/>
      <w:bCs/>
      <w:kern w:val="44"/>
      <w:sz w:val="44"/>
      <w:szCs w:val="4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sz w:val="20"/>
    </w:rPr>
  </w:style>
  <w:style w:type="paragraph" w:customStyle="1" w:styleId="EndNoteBibliography">
    <w:name w:val="EndNote Bibliography"/>
    <w:basedOn w:val="a"/>
    <w:link w:val="EndNoteBibliography0"/>
    <w:qFormat/>
    <w:rPr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sz w:val="20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A383E-0D06-43F2-890A-022EE4F66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2518</Words>
  <Characters>13574</Characters>
  <Application>Microsoft Office Word</Application>
  <DocSecurity>0</DocSecurity>
  <Lines>646</Lines>
  <Paragraphs>383</Paragraphs>
  <ScaleCrop>false</ScaleCrop>
  <Company/>
  <LinksUpToDate>false</LinksUpToDate>
  <CharactersWithSpaces>15709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Lebron Jewels</dc:creator>
  <cp:lastModifiedBy>Lebron Jewels</cp:lastModifiedBy>
  <cp:revision>9</cp:revision>
  <dcterms:created xsi:type="dcterms:W3CDTF">2026-03-04T02:21:00Z</dcterms:created>
  <dcterms:modified xsi:type="dcterms:W3CDTF">2026-03-05T11:44:00Z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eyJoZGlkIjoiZGE2NzBkNjY4ZGVkNjk1ZGI0Mjc0NGFiYTFmZDBjMmMiLCJ1c2VySWQiOiIxMjkxOTU5MjQ1In0=</vt:lpwstr>
  </property>
  <property fmtid="{D5CDD505-2E9C-101B-9397-08002B2CF9AE}" pid="3" name="KSOProductBuildVer">
    <vt:lpwstr>2052-12.1.0.22529</vt:lpwstr>
  </property>
  <property fmtid="{D5CDD505-2E9C-101B-9397-08002B2CF9AE}" pid="4" name="ICV">
    <vt:lpwstr>CBB3DA847E984171BA4DDE895FB54AD1_13</vt:lpwstr>
  </property>
</Properties>
</file>