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67C8" w14:textId="77777777" w:rsidR="002C17BD" w:rsidRDefault="002C17BD" w:rsidP="0044220C">
      <w:pPr>
        <w:spacing w:after="0"/>
        <w:jc w:val="both"/>
        <w:rPr>
          <w:b/>
          <w:bCs/>
        </w:rPr>
      </w:pPr>
      <w:r w:rsidRPr="0044220C">
        <w:rPr>
          <w:b/>
          <w:bCs/>
        </w:rPr>
        <w:t>Supplementary Data</w:t>
      </w:r>
    </w:p>
    <w:p w14:paraId="66234536" w14:textId="77777777" w:rsidR="002C17BD" w:rsidRPr="0044220C" w:rsidRDefault="002C17BD" w:rsidP="0044220C">
      <w:pPr>
        <w:spacing w:after="0"/>
        <w:jc w:val="both"/>
        <w:rPr>
          <w:b/>
          <w:bCs/>
        </w:rPr>
      </w:pPr>
    </w:p>
    <w:p w14:paraId="7223157C" w14:textId="77777777" w:rsidR="002C17BD" w:rsidRPr="00B353EC" w:rsidRDefault="002C17BD" w:rsidP="0044220C">
      <w:pPr>
        <w:spacing w:after="0"/>
        <w:jc w:val="both"/>
      </w:pPr>
      <w:r w:rsidRPr="00B353EC">
        <w:rPr>
          <w:b/>
          <w:bCs/>
        </w:rPr>
        <w:t>Supplementary Table 1.</w:t>
      </w:r>
      <w:r w:rsidRPr="00B353EC">
        <w:t xml:space="preserve">  List of pneumococcal isolates used in this study. </w:t>
      </w:r>
    </w:p>
    <w:tbl>
      <w:tblPr>
        <w:tblStyle w:val="TableGrid"/>
        <w:tblW w:w="9634" w:type="dxa"/>
        <w:jc w:val="center"/>
        <w:tblLook w:val="04A0" w:firstRow="1" w:lastRow="0" w:firstColumn="1" w:lastColumn="0" w:noHBand="0" w:noVBand="1"/>
      </w:tblPr>
      <w:tblGrid>
        <w:gridCol w:w="1555"/>
        <w:gridCol w:w="4110"/>
        <w:gridCol w:w="2127"/>
        <w:gridCol w:w="1842"/>
      </w:tblGrid>
      <w:tr w:rsidR="002C17BD" w:rsidRPr="00B353EC" w14:paraId="738F898E" w14:textId="77777777" w:rsidTr="005C2650">
        <w:trPr>
          <w:trHeight w:val="113"/>
          <w:jc w:val="center"/>
        </w:trPr>
        <w:tc>
          <w:tcPr>
            <w:tcW w:w="1555" w:type="dxa"/>
          </w:tcPr>
          <w:p w14:paraId="46FC3354" w14:textId="77777777" w:rsidR="002C17BD" w:rsidRPr="00B353EC" w:rsidRDefault="002C17BD" w:rsidP="00F57A89">
            <w:pPr>
              <w:jc w:val="center"/>
              <w:rPr>
                <w:rFonts w:eastAsiaTheme="majorEastAsia"/>
                <w:b/>
                <w:bCs/>
              </w:rPr>
            </w:pPr>
            <w:r w:rsidRPr="00B353EC">
              <w:rPr>
                <w:rFonts w:eastAsiaTheme="majorEastAsia"/>
                <w:b/>
                <w:bCs/>
              </w:rPr>
              <w:t>Sample ID</w:t>
            </w:r>
          </w:p>
        </w:tc>
        <w:tc>
          <w:tcPr>
            <w:tcW w:w="4110" w:type="dxa"/>
            <w:hideMark/>
          </w:tcPr>
          <w:p w14:paraId="5449EBF7" w14:textId="77777777" w:rsidR="002C17BD" w:rsidRPr="00B353EC" w:rsidRDefault="002C17BD" w:rsidP="00F57A89">
            <w:pPr>
              <w:jc w:val="center"/>
              <w:rPr>
                <w:b/>
                <w:bCs/>
              </w:rPr>
            </w:pPr>
            <w:r w:rsidRPr="00B353EC">
              <w:rPr>
                <w:rFonts w:eastAsiaTheme="majorEastAsia"/>
                <w:b/>
                <w:bCs/>
              </w:rPr>
              <w:t>Serotype</w:t>
            </w:r>
          </w:p>
        </w:tc>
        <w:tc>
          <w:tcPr>
            <w:tcW w:w="2127" w:type="dxa"/>
            <w:hideMark/>
          </w:tcPr>
          <w:p w14:paraId="32EE4364" w14:textId="77777777" w:rsidR="002C17BD" w:rsidRPr="00B353EC" w:rsidRDefault="002C17BD" w:rsidP="00F57A89">
            <w:pPr>
              <w:jc w:val="center"/>
              <w:rPr>
                <w:b/>
                <w:bCs/>
              </w:rPr>
            </w:pPr>
            <w:r w:rsidRPr="00B353EC">
              <w:rPr>
                <w:rFonts w:eastAsiaTheme="majorEastAsia"/>
                <w:b/>
                <w:bCs/>
              </w:rPr>
              <w:t>Country of Origin</w:t>
            </w:r>
          </w:p>
        </w:tc>
        <w:tc>
          <w:tcPr>
            <w:tcW w:w="1842" w:type="dxa"/>
            <w:hideMark/>
          </w:tcPr>
          <w:p w14:paraId="799C12F0" w14:textId="77777777" w:rsidR="002C17BD" w:rsidRPr="00B353EC" w:rsidRDefault="002C17BD" w:rsidP="00F57A89">
            <w:pPr>
              <w:jc w:val="center"/>
              <w:rPr>
                <w:b/>
                <w:bCs/>
              </w:rPr>
            </w:pPr>
            <w:r>
              <w:rPr>
                <w:rFonts w:eastAsiaTheme="majorEastAsia"/>
                <w:b/>
                <w:bCs/>
              </w:rPr>
              <w:t>Reference</w:t>
            </w:r>
          </w:p>
        </w:tc>
      </w:tr>
      <w:tr w:rsidR="002C17BD" w:rsidRPr="00B353EC" w14:paraId="6910BB67" w14:textId="77777777" w:rsidTr="00043FEA">
        <w:trPr>
          <w:trHeight w:val="113"/>
          <w:jc w:val="center"/>
        </w:trPr>
        <w:tc>
          <w:tcPr>
            <w:tcW w:w="1555" w:type="dxa"/>
          </w:tcPr>
          <w:p w14:paraId="649CFCE7" w14:textId="77777777" w:rsidR="002C17BD" w:rsidRPr="00B353EC" w:rsidRDefault="002C17BD" w:rsidP="00F57A89">
            <w:pPr>
              <w:jc w:val="center"/>
              <w:rPr>
                <w:rFonts w:eastAsiaTheme="majorEastAsia"/>
              </w:rPr>
            </w:pPr>
            <w:r w:rsidRPr="00F708C3">
              <w:rPr>
                <w:rFonts w:eastAsiaTheme="majorEastAsia"/>
              </w:rPr>
              <w:t>PMP166</w:t>
            </w:r>
            <w:r>
              <w:rPr>
                <w:rFonts w:eastAsiaTheme="majorEastAsia"/>
              </w:rPr>
              <w:t>8</w:t>
            </w:r>
          </w:p>
        </w:tc>
        <w:tc>
          <w:tcPr>
            <w:tcW w:w="4110" w:type="dxa"/>
            <w:hideMark/>
          </w:tcPr>
          <w:p w14:paraId="759F0E8B" w14:textId="77777777" w:rsidR="002C17BD" w:rsidRPr="00B353EC" w:rsidRDefault="002C17BD" w:rsidP="00F57A89">
            <w:pPr>
              <w:jc w:val="center"/>
            </w:pPr>
            <w:r w:rsidRPr="00B353EC">
              <w:rPr>
                <w:rFonts w:eastAsiaTheme="majorEastAsia"/>
              </w:rPr>
              <w:t>1</w:t>
            </w:r>
          </w:p>
        </w:tc>
        <w:tc>
          <w:tcPr>
            <w:tcW w:w="2127" w:type="dxa"/>
            <w:hideMark/>
          </w:tcPr>
          <w:p w14:paraId="71FDE886" w14:textId="77777777" w:rsidR="002C17BD" w:rsidRPr="00B353EC" w:rsidRDefault="002C17BD" w:rsidP="00F57A89">
            <w:pPr>
              <w:jc w:val="center"/>
            </w:pPr>
            <w:r>
              <w:rPr>
                <w:rFonts w:eastAsiaTheme="majorEastAsia"/>
              </w:rPr>
              <w:t>Mongolia</w:t>
            </w:r>
          </w:p>
        </w:tc>
        <w:tc>
          <w:tcPr>
            <w:tcW w:w="1842" w:type="dxa"/>
          </w:tcPr>
          <w:p w14:paraId="34CE4A9A" w14:textId="77777777" w:rsidR="002C17BD" w:rsidRPr="002C17BD" w:rsidRDefault="002C17BD" w:rsidP="00F57A89">
            <w:pPr>
              <w:jc w:val="center"/>
              <w:rPr>
                <w:rFonts w:eastAsiaTheme="majorEastAsia"/>
                <w:vertAlign w:val="superscript"/>
              </w:rPr>
            </w:pPr>
            <w:r w:rsidRPr="002C17BD">
              <w:rPr>
                <w:rFonts w:eastAsiaTheme="majorEastAsia"/>
                <w:vertAlign w:val="superscript"/>
              </w:rPr>
              <w:t>1</w:t>
            </w:r>
          </w:p>
        </w:tc>
      </w:tr>
      <w:tr w:rsidR="002C17BD" w:rsidRPr="00B353EC" w14:paraId="517AD789" w14:textId="77777777" w:rsidTr="00043FEA">
        <w:trPr>
          <w:trHeight w:val="113"/>
          <w:jc w:val="center"/>
        </w:trPr>
        <w:tc>
          <w:tcPr>
            <w:tcW w:w="1555" w:type="dxa"/>
          </w:tcPr>
          <w:p w14:paraId="41F246DE" w14:textId="77777777" w:rsidR="002C17BD" w:rsidRPr="00B353EC" w:rsidRDefault="002C17BD" w:rsidP="00F57A89">
            <w:pPr>
              <w:jc w:val="center"/>
              <w:rPr>
                <w:rFonts w:eastAsiaTheme="majorEastAsia"/>
              </w:rPr>
            </w:pPr>
            <w:r w:rsidRPr="00F708C3">
              <w:rPr>
                <w:rFonts w:eastAsiaTheme="majorEastAsia"/>
              </w:rPr>
              <w:t>PMP16</w:t>
            </w:r>
            <w:r>
              <w:rPr>
                <w:rFonts w:eastAsiaTheme="majorEastAsia"/>
              </w:rPr>
              <w:t>69</w:t>
            </w:r>
          </w:p>
        </w:tc>
        <w:tc>
          <w:tcPr>
            <w:tcW w:w="4110" w:type="dxa"/>
            <w:hideMark/>
          </w:tcPr>
          <w:p w14:paraId="0695946F" w14:textId="77777777" w:rsidR="002C17BD" w:rsidRPr="00B353EC" w:rsidRDefault="002C17BD" w:rsidP="00F57A89">
            <w:pPr>
              <w:jc w:val="center"/>
            </w:pPr>
            <w:r w:rsidRPr="00B353EC">
              <w:rPr>
                <w:rFonts w:eastAsiaTheme="majorEastAsia"/>
              </w:rPr>
              <w:t>7F</w:t>
            </w:r>
          </w:p>
        </w:tc>
        <w:tc>
          <w:tcPr>
            <w:tcW w:w="2127" w:type="dxa"/>
            <w:hideMark/>
          </w:tcPr>
          <w:p w14:paraId="336C1B60" w14:textId="77777777" w:rsidR="002C17BD" w:rsidRPr="00B353EC" w:rsidRDefault="002C17BD" w:rsidP="00F57A89">
            <w:pPr>
              <w:jc w:val="center"/>
            </w:pPr>
            <w:r>
              <w:t>Mongolia</w:t>
            </w:r>
          </w:p>
        </w:tc>
        <w:tc>
          <w:tcPr>
            <w:tcW w:w="1842" w:type="dxa"/>
          </w:tcPr>
          <w:p w14:paraId="5562FC6D" w14:textId="77777777" w:rsidR="002C17BD" w:rsidRPr="002C17BD" w:rsidRDefault="002C17BD" w:rsidP="00F57A89">
            <w:pPr>
              <w:jc w:val="center"/>
              <w:rPr>
                <w:vertAlign w:val="superscript"/>
              </w:rPr>
            </w:pPr>
            <w:r w:rsidRPr="002C17BD">
              <w:rPr>
                <w:vertAlign w:val="superscript"/>
              </w:rPr>
              <w:t>1</w:t>
            </w:r>
          </w:p>
        </w:tc>
      </w:tr>
      <w:tr w:rsidR="002C17BD" w:rsidRPr="00B353EC" w14:paraId="51909D7A" w14:textId="77777777" w:rsidTr="005C2650">
        <w:trPr>
          <w:trHeight w:val="113"/>
          <w:jc w:val="center"/>
        </w:trPr>
        <w:tc>
          <w:tcPr>
            <w:tcW w:w="1555" w:type="dxa"/>
          </w:tcPr>
          <w:p w14:paraId="70AB78DC" w14:textId="77777777" w:rsidR="002C17BD" w:rsidRPr="00B353EC" w:rsidRDefault="002C17BD" w:rsidP="00F57A89">
            <w:pPr>
              <w:jc w:val="center"/>
              <w:rPr>
                <w:rFonts w:eastAsiaTheme="majorEastAsia"/>
              </w:rPr>
            </w:pPr>
            <w:r w:rsidRPr="00586ADD">
              <w:rPr>
                <w:rFonts w:cstheme="minorBidi"/>
              </w:rPr>
              <w:t>PMP296</w:t>
            </w:r>
          </w:p>
        </w:tc>
        <w:tc>
          <w:tcPr>
            <w:tcW w:w="4110" w:type="dxa"/>
            <w:hideMark/>
          </w:tcPr>
          <w:p w14:paraId="7D4884CE" w14:textId="77777777" w:rsidR="002C17BD" w:rsidRPr="00B353EC" w:rsidRDefault="002C17BD" w:rsidP="00F57A89">
            <w:pPr>
              <w:jc w:val="center"/>
            </w:pPr>
            <w:r w:rsidRPr="00586ADD">
              <w:rPr>
                <w:rFonts w:eastAsiaTheme="majorEastAsia"/>
              </w:rPr>
              <w:t>9V</w:t>
            </w:r>
          </w:p>
        </w:tc>
        <w:tc>
          <w:tcPr>
            <w:tcW w:w="2127" w:type="dxa"/>
            <w:hideMark/>
          </w:tcPr>
          <w:p w14:paraId="621BE0D3" w14:textId="77777777" w:rsidR="002C17BD" w:rsidRPr="00B353EC" w:rsidRDefault="002C17BD" w:rsidP="00F57A89">
            <w:pPr>
              <w:jc w:val="center"/>
            </w:pPr>
            <w:r w:rsidRPr="00586ADD">
              <w:rPr>
                <w:rFonts w:eastAsiaTheme="majorEastAsia"/>
              </w:rPr>
              <w:t>Fiji</w:t>
            </w:r>
          </w:p>
        </w:tc>
        <w:tc>
          <w:tcPr>
            <w:tcW w:w="1842" w:type="dxa"/>
          </w:tcPr>
          <w:p w14:paraId="628CE095" w14:textId="77777777" w:rsidR="002C17BD" w:rsidRPr="002C17BD" w:rsidRDefault="002C17BD" w:rsidP="00F57A89">
            <w:pPr>
              <w:jc w:val="center"/>
              <w:rPr>
                <w:vertAlign w:val="superscript"/>
              </w:rPr>
            </w:pPr>
            <w:r w:rsidRPr="002C17BD">
              <w:rPr>
                <w:vertAlign w:val="superscript"/>
              </w:rPr>
              <w:t>2</w:t>
            </w:r>
          </w:p>
        </w:tc>
      </w:tr>
      <w:tr w:rsidR="002C17BD" w:rsidRPr="00B353EC" w14:paraId="09B19D3C" w14:textId="77777777" w:rsidTr="00043FEA">
        <w:trPr>
          <w:trHeight w:val="113"/>
          <w:jc w:val="center"/>
        </w:trPr>
        <w:tc>
          <w:tcPr>
            <w:tcW w:w="1555" w:type="dxa"/>
          </w:tcPr>
          <w:p w14:paraId="33F639FF" w14:textId="77777777" w:rsidR="002C17BD" w:rsidRPr="00B353EC" w:rsidRDefault="002C17BD" w:rsidP="00F57A89">
            <w:pPr>
              <w:jc w:val="center"/>
              <w:rPr>
                <w:rFonts w:eastAsiaTheme="majorEastAsia"/>
              </w:rPr>
            </w:pPr>
            <w:r w:rsidRPr="00DC6295">
              <w:rPr>
                <w:rFonts w:eastAsiaTheme="majorEastAsia"/>
              </w:rPr>
              <w:t>PMP1670</w:t>
            </w:r>
          </w:p>
        </w:tc>
        <w:tc>
          <w:tcPr>
            <w:tcW w:w="4110" w:type="dxa"/>
            <w:hideMark/>
          </w:tcPr>
          <w:p w14:paraId="081BBBF7" w14:textId="77777777" w:rsidR="002C17BD" w:rsidRPr="00B353EC" w:rsidRDefault="002C17BD" w:rsidP="00F57A89">
            <w:pPr>
              <w:jc w:val="center"/>
            </w:pPr>
            <w:r w:rsidRPr="00DC6295">
              <w:rPr>
                <w:rFonts w:eastAsiaTheme="majorEastAsia"/>
              </w:rPr>
              <w:t>14</w:t>
            </w:r>
          </w:p>
        </w:tc>
        <w:tc>
          <w:tcPr>
            <w:tcW w:w="2127" w:type="dxa"/>
            <w:hideMark/>
          </w:tcPr>
          <w:p w14:paraId="2B069B6B" w14:textId="77777777" w:rsidR="002C17BD" w:rsidRPr="00B353EC" w:rsidRDefault="002C17BD" w:rsidP="00F57A89">
            <w:pPr>
              <w:jc w:val="center"/>
            </w:pPr>
            <w:r w:rsidRPr="00DC6295">
              <w:rPr>
                <w:rFonts w:eastAsiaTheme="majorEastAsia"/>
              </w:rPr>
              <w:t>Somaliland</w:t>
            </w:r>
          </w:p>
        </w:tc>
        <w:tc>
          <w:tcPr>
            <w:tcW w:w="1842" w:type="dxa"/>
          </w:tcPr>
          <w:p w14:paraId="3785238D" w14:textId="77777777" w:rsidR="002C17BD" w:rsidRPr="002C17BD" w:rsidRDefault="002C17BD" w:rsidP="00F57A89">
            <w:pPr>
              <w:jc w:val="center"/>
              <w:rPr>
                <w:vertAlign w:val="superscript"/>
              </w:rPr>
            </w:pPr>
            <w:r w:rsidRPr="002C17BD">
              <w:rPr>
                <w:rFonts w:eastAsiaTheme="majorEastAsia"/>
                <w:vertAlign w:val="superscript"/>
              </w:rPr>
              <w:t>5</w:t>
            </w:r>
          </w:p>
        </w:tc>
      </w:tr>
      <w:tr w:rsidR="002C17BD" w:rsidRPr="00B353EC" w14:paraId="3BBB4FB8" w14:textId="77777777" w:rsidTr="005C2650">
        <w:trPr>
          <w:trHeight w:val="113"/>
          <w:jc w:val="center"/>
        </w:trPr>
        <w:tc>
          <w:tcPr>
            <w:tcW w:w="1555" w:type="dxa"/>
          </w:tcPr>
          <w:p w14:paraId="7DE9C56F" w14:textId="77777777" w:rsidR="002C17BD" w:rsidRPr="00B353EC" w:rsidRDefault="002C17BD" w:rsidP="00F57A89">
            <w:pPr>
              <w:jc w:val="center"/>
              <w:rPr>
                <w:rFonts w:eastAsiaTheme="majorEastAsia"/>
              </w:rPr>
            </w:pPr>
            <w:r w:rsidRPr="00F708C3">
              <w:rPr>
                <w:rFonts w:eastAsiaTheme="majorEastAsia"/>
              </w:rPr>
              <w:t>PMP167</w:t>
            </w:r>
            <w:r>
              <w:rPr>
                <w:rFonts w:eastAsiaTheme="majorEastAsia"/>
              </w:rPr>
              <w:t>1</w:t>
            </w:r>
          </w:p>
        </w:tc>
        <w:tc>
          <w:tcPr>
            <w:tcW w:w="4110" w:type="dxa"/>
            <w:hideMark/>
          </w:tcPr>
          <w:p w14:paraId="0C482DD6" w14:textId="77777777" w:rsidR="002C17BD" w:rsidRPr="00B353EC" w:rsidRDefault="002C17BD" w:rsidP="00F57A89">
            <w:pPr>
              <w:jc w:val="center"/>
            </w:pPr>
            <w:r w:rsidRPr="00B353EC">
              <w:rPr>
                <w:rFonts w:eastAsiaTheme="majorEastAsia"/>
              </w:rPr>
              <w:t>16F</w:t>
            </w:r>
          </w:p>
        </w:tc>
        <w:tc>
          <w:tcPr>
            <w:tcW w:w="2127" w:type="dxa"/>
            <w:hideMark/>
          </w:tcPr>
          <w:p w14:paraId="48131D9E" w14:textId="77777777" w:rsidR="002C17BD" w:rsidRPr="00B353EC" w:rsidRDefault="002C17BD" w:rsidP="00F57A89">
            <w:pPr>
              <w:jc w:val="center"/>
            </w:pPr>
            <w:r w:rsidRPr="00B353EC">
              <w:rPr>
                <w:rFonts w:eastAsiaTheme="majorEastAsia"/>
              </w:rPr>
              <w:t>Vietnam</w:t>
            </w:r>
          </w:p>
        </w:tc>
        <w:tc>
          <w:tcPr>
            <w:tcW w:w="1842" w:type="dxa"/>
          </w:tcPr>
          <w:p w14:paraId="20641D0D" w14:textId="77777777" w:rsidR="002C17BD" w:rsidRPr="002C17BD" w:rsidRDefault="002C17BD" w:rsidP="00F57A89">
            <w:pPr>
              <w:jc w:val="center"/>
              <w:rPr>
                <w:vertAlign w:val="superscript"/>
              </w:rPr>
            </w:pPr>
            <w:r w:rsidRPr="002C17BD">
              <w:rPr>
                <w:vertAlign w:val="superscript"/>
              </w:rPr>
              <w:t>3</w:t>
            </w:r>
          </w:p>
        </w:tc>
      </w:tr>
      <w:tr w:rsidR="002C17BD" w:rsidRPr="00B353EC" w14:paraId="6557889D" w14:textId="77777777" w:rsidTr="005C2650">
        <w:trPr>
          <w:trHeight w:val="113"/>
          <w:jc w:val="center"/>
        </w:trPr>
        <w:tc>
          <w:tcPr>
            <w:tcW w:w="1555" w:type="dxa"/>
          </w:tcPr>
          <w:p w14:paraId="1BEE1113" w14:textId="77777777" w:rsidR="002C17BD" w:rsidRPr="00B353EC" w:rsidRDefault="002C17BD" w:rsidP="00F57A89">
            <w:pPr>
              <w:jc w:val="center"/>
              <w:rPr>
                <w:rFonts w:eastAsiaTheme="majorEastAsia"/>
              </w:rPr>
            </w:pPr>
            <w:r w:rsidRPr="00C14994">
              <w:rPr>
                <w:rFonts w:eastAsiaTheme="majorEastAsia"/>
              </w:rPr>
              <w:t>PMP1672</w:t>
            </w:r>
          </w:p>
        </w:tc>
        <w:tc>
          <w:tcPr>
            <w:tcW w:w="4110" w:type="dxa"/>
            <w:hideMark/>
          </w:tcPr>
          <w:p w14:paraId="1711C778" w14:textId="77777777" w:rsidR="002C17BD" w:rsidRPr="00B353EC" w:rsidRDefault="002C17BD" w:rsidP="00F57A89">
            <w:pPr>
              <w:jc w:val="center"/>
            </w:pPr>
            <w:r w:rsidRPr="00C14994">
              <w:rPr>
                <w:rFonts w:eastAsiaTheme="majorEastAsia"/>
              </w:rPr>
              <w:t>8</w:t>
            </w:r>
          </w:p>
        </w:tc>
        <w:tc>
          <w:tcPr>
            <w:tcW w:w="2127" w:type="dxa"/>
            <w:hideMark/>
          </w:tcPr>
          <w:p w14:paraId="201DF799" w14:textId="77777777" w:rsidR="002C17BD" w:rsidRPr="00B353EC" w:rsidRDefault="002C17BD" w:rsidP="00F57A89">
            <w:pPr>
              <w:jc w:val="center"/>
            </w:pPr>
            <w:r w:rsidRPr="00C14994">
              <w:rPr>
                <w:rFonts w:eastAsiaTheme="majorEastAsia"/>
              </w:rPr>
              <w:t>Mongolia</w:t>
            </w:r>
          </w:p>
        </w:tc>
        <w:tc>
          <w:tcPr>
            <w:tcW w:w="1842" w:type="dxa"/>
          </w:tcPr>
          <w:p w14:paraId="38B07A7B" w14:textId="77777777" w:rsidR="002C17BD" w:rsidRPr="002C17BD" w:rsidRDefault="002C17BD" w:rsidP="00F57A89">
            <w:pPr>
              <w:jc w:val="center"/>
              <w:rPr>
                <w:vertAlign w:val="superscript"/>
              </w:rPr>
            </w:pPr>
            <w:r w:rsidRPr="002C17BD">
              <w:rPr>
                <w:vertAlign w:val="superscript"/>
              </w:rPr>
              <w:t>4</w:t>
            </w:r>
          </w:p>
        </w:tc>
      </w:tr>
      <w:tr w:rsidR="002C17BD" w:rsidRPr="00B353EC" w14:paraId="7A8BF46B" w14:textId="77777777" w:rsidTr="005C2650">
        <w:trPr>
          <w:trHeight w:val="113"/>
          <w:jc w:val="center"/>
        </w:trPr>
        <w:tc>
          <w:tcPr>
            <w:tcW w:w="1555" w:type="dxa"/>
          </w:tcPr>
          <w:p w14:paraId="6A20D742" w14:textId="77777777" w:rsidR="002C17BD" w:rsidRPr="00B353EC" w:rsidRDefault="002C17BD" w:rsidP="00F57A89">
            <w:pPr>
              <w:jc w:val="center"/>
              <w:rPr>
                <w:rFonts w:eastAsiaTheme="majorEastAsia"/>
              </w:rPr>
            </w:pPr>
            <w:r w:rsidRPr="00C14994">
              <w:rPr>
                <w:rFonts w:eastAsiaTheme="majorEastAsia"/>
              </w:rPr>
              <w:t>PMP1673</w:t>
            </w:r>
          </w:p>
        </w:tc>
        <w:tc>
          <w:tcPr>
            <w:tcW w:w="4110" w:type="dxa"/>
            <w:hideMark/>
          </w:tcPr>
          <w:p w14:paraId="08EEF238" w14:textId="77777777" w:rsidR="002C17BD" w:rsidRPr="00B353EC" w:rsidRDefault="002C17BD" w:rsidP="00F57A89">
            <w:pPr>
              <w:jc w:val="center"/>
            </w:pPr>
            <w:r w:rsidRPr="00C14994">
              <w:rPr>
                <w:rFonts w:eastAsiaTheme="majorEastAsia"/>
              </w:rPr>
              <w:t>10A</w:t>
            </w:r>
          </w:p>
        </w:tc>
        <w:tc>
          <w:tcPr>
            <w:tcW w:w="2127" w:type="dxa"/>
            <w:hideMark/>
          </w:tcPr>
          <w:p w14:paraId="51CF0FC1" w14:textId="77777777" w:rsidR="002C17BD" w:rsidRPr="00B353EC" w:rsidRDefault="002C17BD" w:rsidP="00F57A89">
            <w:pPr>
              <w:jc w:val="center"/>
            </w:pPr>
            <w:r w:rsidRPr="00C14994">
              <w:rPr>
                <w:rFonts w:eastAsiaTheme="majorEastAsia"/>
              </w:rPr>
              <w:t>Mongolia</w:t>
            </w:r>
          </w:p>
        </w:tc>
        <w:tc>
          <w:tcPr>
            <w:tcW w:w="1842" w:type="dxa"/>
          </w:tcPr>
          <w:p w14:paraId="0F9C4EE9" w14:textId="77777777" w:rsidR="002C17BD" w:rsidRPr="002C17BD" w:rsidRDefault="002C17BD" w:rsidP="00F57A89">
            <w:pPr>
              <w:jc w:val="center"/>
              <w:rPr>
                <w:vertAlign w:val="superscript"/>
              </w:rPr>
            </w:pPr>
            <w:r w:rsidRPr="002C17BD">
              <w:rPr>
                <w:vertAlign w:val="superscript"/>
              </w:rPr>
              <w:t>4</w:t>
            </w:r>
          </w:p>
        </w:tc>
      </w:tr>
      <w:tr w:rsidR="002C17BD" w:rsidRPr="00B353EC" w14:paraId="0C7765BD" w14:textId="77777777" w:rsidTr="00043FEA">
        <w:trPr>
          <w:trHeight w:val="113"/>
          <w:jc w:val="center"/>
        </w:trPr>
        <w:tc>
          <w:tcPr>
            <w:tcW w:w="1555" w:type="dxa"/>
          </w:tcPr>
          <w:p w14:paraId="662C9A6A" w14:textId="77777777" w:rsidR="002C17BD" w:rsidRPr="00B353EC" w:rsidRDefault="002C17BD" w:rsidP="00F57A89">
            <w:pPr>
              <w:jc w:val="center"/>
              <w:rPr>
                <w:rFonts w:eastAsiaTheme="majorEastAsia"/>
              </w:rPr>
            </w:pPr>
            <w:r w:rsidRPr="00DC6295">
              <w:rPr>
                <w:rFonts w:eastAsiaTheme="majorEastAsia"/>
              </w:rPr>
              <w:t>PMP1674</w:t>
            </w:r>
          </w:p>
        </w:tc>
        <w:tc>
          <w:tcPr>
            <w:tcW w:w="4110" w:type="dxa"/>
            <w:hideMark/>
          </w:tcPr>
          <w:p w14:paraId="582CC3ED" w14:textId="77777777" w:rsidR="002C17BD" w:rsidRPr="00B353EC" w:rsidRDefault="002C17BD" w:rsidP="00F57A89">
            <w:pPr>
              <w:jc w:val="center"/>
            </w:pPr>
            <w:r w:rsidRPr="00DC6295">
              <w:rPr>
                <w:rFonts w:eastAsiaTheme="majorEastAsia"/>
              </w:rPr>
              <w:t>12F</w:t>
            </w:r>
          </w:p>
        </w:tc>
        <w:tc>
          <w:tcPr>
            <w:tcW w:w="2127" w:type="dxa"/>
            <w:hideMark/>
          </w:tcPr>
          <w:p w14:paraId="486538C2" w14:textId="77777777" w:rsidR="002C17BD" w:rsidRPr="00B353EC" w:rsidRDefault="002C17BD" w:rsidP="00F57A89">
            <w:pPr>
              <w:jc w:val="center"/>
            </w:pPr>
            <w:r w:rsidRPr="00DC6295">
              <w:rPr>
                <w:rFonts w:eastAsiaTheme="majorEastAsia"/>
              </w:rPr>
              <w:t>Somaliland</w:t>
            </w:r>
          </w:p>
        </w:tc>
        <w:tc>
          <w:tcPr>
            <w:tcW w:w="1842" w:type="dxa"/>
          </w:tcPr>
          <w:p w14:paraId="6E3F4643" w14:textId="77777777" w:rsidR="002C17BD" w:rsidRPr="002C17BD" w:rsidRDefault="002C17BD" w:rsidP="00F57A89">
            <w:pPr>
              <w:jc w:val="center"/>
              <w:rPr>
                <w:vertAlign w:val="superscript"/>
              </w:rPr>
            </w:pPr>
            <w:r w:rsidRPr="002C17BD">
              <w:rPr>
                <w:vertAlign w:val="superscript"/>
              </w:rPr>
              <w:t>5</w:t>
            </w:r>
          </w:p>
        </w:tc>
      </w:tr>
      <w:tr w:rsidR="002C17BD" w:rsidRPr="00B353EC" w14:paraId="61B3082B" w14:textId="77777777" w:rsidTr="00043FEA">
        <w:trPr>
          <w:trHeight w:val="113"/>
          <w:jc w:val="center"/>
        </w:trPr>
        <w:tc>
          <w:tcPr>
            <w:tcW w:w="1555" w:type="dxa"/>
          </w:tcPr>
          <w:p w14:paraId="5B86BEA1" w14:textId="77777777" w:rsidR="002C17BD" w:rsidRPr="00B353EC" w:rsidRDefault="002C17BD" w:rsidP="00F57A89">
            <w:pPr>
              <w:jc w:val="center"/>
              <w:rPr>
                <w:rFonts w:eastAsiaTheme="majorEastAsia"/>
              </w:rPr>
            </w:pPr>
            <w:r w:rsidRPr="00DC6295">
              <w:rPr>
                <w:rFonts w:eastAsiaTheme="majorEastAsia"/>
              </w:rPr>
              <w:t>PMP1675</w:t>
            </w:r>
          </w:p>
        </w:tc>
        <w:tc>
          <w:tcPr>
            <w:tcW w:w="4110" w:type="dxa"/>
            <w:hideMark/>
          </w:tcPr>
          <w:p w14:paraId="5B4BFE74" w14:textId="77777777" w:rsidR="002C17BD" w:rsidRPr="00B353EC" w:rsidRDefault="002C17BD" w:rsidP="00F57A89">
            <w:pPr>
              <w:jc w:val="center"/>
            </w:pPr>
            <w:r w:rsidRPr="00DC6295">
              <w:rPr>
                <w:rFonts w:eastAsiaTheme="majorEastAsia"/>
              </w:rPr>
              <w:t>18C</w:t>
            </w:r>
          </w:p>
        </w:tc>
        <w:tc>
          <w:tcPr>
            <w:tcW w:w="2127" w:type="dxa"/>
            <w:hideMark/>
          </w:tcPr>
          <w:p w14:paraId="0D6D8B6D" w14:textId="77777777" w:rsidR="002C17BD" w:rsidRPr="00B353EC" w:rsidRDefault="002C17BD" w:rsidP="00F57A89">
            <w:pPr>
              <w:jc w:val="center"/>
            </w:pPr>
            <w:r w:rsidRPr="00DC6295">
              <w:rPr>
                <w:rFonts w:eastAsiaTheme="majorEastAsia"/>
              </w:rPr>
              <w:t>Somaliland</w:t>
            </w:r>
          </w:p>
        </w:tc>
        <w:tc>
          <w:tcPr>
            <w:tcW w:w="1842" w:type="dxa"/>
          </w:tcPr>
          <w:p w14:paraId="3E8A7B90" w14:textId="77777777" w:rsidR="002C17BD" w:rsidRPr="002C17BD" w:rsidRDefault="002C17BD" w:rsidP="00F57A89">
            <w:pPr>
              <w:jc w:val="center"/>
              <w:rPr>
                <w:vertAlign w:val="superscript"/>
              </w:rPr>
            </w:pPr>
            <w:r w:rsidRPr="002C17BD">
              <w:rPr>
                <w:vertAlign w:val="superscript"/>
              </w:rPr>
              <w:t>5</w:t>
            </w:r>
          </w:p>
        </w:tc>
      </w:tr>
      <w:tr w:rsidR="002C17BD" w:rsidRPr="00B353EC" w14:paraId="613F6861" w14:textId="77777777" w:rsidTr="005C2650">
        <w:trPr>
          <w:trHeight w:val="113"/>
          <w:jc w:val="center"/>
        </w:trPr>
        <w:tc>
          <w:tcPr>
            <w:tcW w:w="1555" w:type="dxa"/>
          </w:tcPr>
          <w:p w14:paraId="2C4D570D" w14:textId="77777777" w:rsidR="002C17BD" w:rsidRPr="00B353EC" w:rsidRDefault="002C17BD" w:rsidP="00F57A89">
            <w:pPr>
              <w:jc w:val="center"/>
              <w:rPr>
                <w:rFonts w:eastAsiaTheme="majorEastAsia"/>
              </w:rPr>
            </w:pPr>
            <w:r w:rsidRPr="009D27A2">
              <w:rPr>
                <w:rFonts w:eastAsiaTheme="majorEastAsia"/>
              </w:rPr>
              <w:t>PMP1676</w:t>
            </w:r>
          </w:p>
        </w:tc>
        <w:tc>
          <w:tcPr>
            <w:tcW w:w="4110" w:type="dxa"/>
            <w:hideMark/>
          </w:tcPr>
          <w:p w14:paraId="2E116A1C" w14:textId="77777777" w:rsidR="002C17BD" w:rsidRPr="00B353EC" w:rsidRDefault="002C17BD" w:rsidP="00F57A89">
            <w:pPr>
              <w:jc w:val="center"/>
            </w:pPr>
            <w:r w:rsidRPr="009D27A2">
              <w:rPr>
                <w:rFonts w:eastAsiaTheme="majorEastAsia"/>
              </w:rPr>
              <w:t>22F</w:t>
            </w:r>
          </w:p>
        </w:tc>
        <w:tc>
          <w:tcPr>
            <w:tcW w:w="2127" w:type="dxa"/>
            <w:hideMark/>
          </w:tcPr>
          <w:p w14:paraId="6D208C96" w14:textId="77777777" w:rsidR="002C17BD" w:rsidRPr="00B353EC" w:rsidRDefault="002C17BD" w:rsidP="00F57A89">
            <w:pPr>
              <w:jc w:val="center"/>
            </w:pPr>
            <w:r w:rsidRPr="009D27A2">
              <w:rPr>
                <w:rFonts w:eastAsiaTheme="majorEastAsia"/>
              </w:rPr>
              <w:t>Vietnam</w:t>
            </w:r>
          </w:p>
        </w:tc>
        <w:tc>
          <w:tcPr>
            <w:tcW w:w="1842" w:type="dxa"/>
          </w:tcPr>
          <w:p w14:paraId="14BE3D39" w14:textId="77777777" w:rsidR="002C17BD" w:rsidRPr="002C17BD" w:rsidRDefault="002C17BD" w:rsidP="00F57A89">
            <w:pPr>
              <w:jc w:val="center"/>
              <w:rPr>
                <w:vertAlign w:val="superscript"/>
              </w:rPr>
            </w:pPr>
            <w:r w:rsidRPr="002C17BD">
              <w:rPr>
                <w:vertAlign w:val="superscript"/>
              </w:rPr>
              <w:t>3</w:t>
            </w:r>
          </w:p>
        </w:tc>
      </w:tr>
      <w:tr w:rsidR="002C17BD" w:rsidRPr="00B353EC" w14:paraId="0C2B2E06" w14:textId="77777777" w:rsidTr="005C2650">
        <w:trPr>
          <w:trHeight w:val="113"/>
          <w:jc w:val="center"/>
        </w:trPr>
        <w:tc>
          <w:tcPr>
            <w:tcW w:w="1555" w:type="dxa"/>
          </w:tcPr>
          <w:p w14:paraId="589445AD" w14:textId="77777777" w:rsidR="002C17BD" w:rsidRPr="00B353EC" w:rsidRDefault="002C17BD" w:rsidP="00F57A89">
            <w:pPr>
              <w:jc w:val="center"/>
              <w:rPr>
                <w:rFonts w:eastAsiaTheme="majorEastAsia"/>
              </w:rPr>
            </w:pPr>
            <w:r w:rsidRPr="006C78DC">
              <w:rPr>
                <w:rFonts w:cstheme="minorBidi"/>
              </w:rPr>
              <w:t>PMP788</w:t>
            </w:r>
          </w:p>
        </w:tc>
        <w:tc>
          <w:tcPr>
            <w:tcW w:w="4110" w:type="dxa"/>
            <w:hideMark/>
          </w:tcPr>
          <w:p w14:paraId="4B41E207" w14:textId="77777777" w:rsidR="002C17BD" w:rsidRPr="00B353EC" w:rsidRDefault="002C17BD" w:rsidP="00F57A89">
            <w:pPr>
              <w:jc w:val="center"/>
            </w:pPr>
            <w:r w:rsidRPr="006C78DC">
              <w:rPr>
                <w:rFonts w:eastAsiaTheme="majorEastAsia"/>
              </w:rPr>
              <w:t>33F</w:t>
            </w:r>
          </w:p>
        </w:tc>
        <w:tc>
          <w:tcPr>
            <w:tcW w:w="2127" w:type="dxa"/>
            <w:hideMark/>
          </w:tcPr>
          <w:p w14:paraId="3988FAC3" w14:textId="77777777" w:rsidR="002C17BD" w:rsidRPr="00B353EC" w:rsidRDefault="002C17BD" w:rsidP="00F57A89">
            <w:pPr>
              <w:jc w:val="center"/>
            </w:pPr>
            <w:r w:rsidRPr="006C78DC">
              <w:t>Denmark</w:t>
            </w:r>
          </w:p>
        </w:tc>
        <w:tc>
          <w:tcPr>
            <w:tcW w:w="1842" w:type="dxa"/>
          </w:tcPr>
          <w:p w14:paraId="5708EAF9" w14:textId="77777777" w:rsidR="002C17BD" w:rsidRPr="002C17BD" w:rsidRDefault="002C17BD" w:rsidP="00F57A89">
            <w:pPr>
              <w:jc w:val="center"/>
              <w:rPr>
                <w:vertAlign w:val="superscript"/>
              </w:rPr>
            </w:pPr>
            <w:r w:rsidRPr="002C17BD">
              <w:rPr>
                <w:vertAlign w:val="superscript"/>
              </w:rPr>
              <w:t>6</w:t>
            </w:r>
          </w:p>
        </w:tc>
      </w:tr>
      <w:tr w:rsidR="002C17BD" w:rsidRPr="00B353EC" w14:paraId="3EB3CA36" w14:textId="77777777" w:rsidTr="005C2650">
        <w:trPr>
          <w:trHeight w:val="113"/>
          <w:jc w:val="center"/>
        </w:trPr>
        <w:tc>
          <w:tcPr>
            <w:tcW w:w="1555" w:type="dxa"/>
          </w:tcPr>
          <w:p w14:paraId="6F914E4E" w14:textId="77777777" w:rsidR="002C17BD" w:rsidRPr="00B353EC" w:rsidRDefault="002C17BD" w:rsidP="00F57A89">
            <w:pPr>
              <w:jc w:val="center"/>
              <w:rPr>
                <w:rFonts w:eastAsiaTheme="majorEastAsia"/>
              </w:rPr>
            </w:pPr>
            <w:r w:rsidRPr="00880330">
              <w:rPr>
                <w:rFonts w:eastAsiaTheme="majorEastAsia"/>
              </w:rPr>
              <w:t>PMP167</w:t>
            </w:r>
            <w:r>
              <w:rPr>
                <w:rFonts w:eastAsiaTheme="majorEastAsia"/>
              </w:rPr>
              <w:t>7</w:t>
            </w:r>
          </w:p>
        </w:tc>
        <w:tc>
          <w:tcPr>
            <w:tcW w:w="4110" w:type="dxa"/>
            <w:hideMark/>
          </w:tcPr>
          <w:p w14:paraId="3475F408" w14:textId="77777777" w:rsidR="002C17BD" w:rsidRPr="00B353EC" w:rsidRDefault="002C17BD" w:rsidP="00F57A89">
            <w:pPr>
              <w:jc w:val="center"/>
            </w:pPr>
            <w:r>
              <w:rPr>
                <w:rFonts w:eastAsiaTheme="majorEastAsia"/>
              </w:rPr>
              <w:t>Non-encapsulated pneumococci (</w:t>
            </w:r>
            <w:r w:rsidRPr="00B353EC">
              <w:rPr>
                <w:rFonts w:eastAsiaTheme="majorEastAsia"/>
              </w:rPr>
              <w:t>NT2</w:t>
            </w:r>
            <w:r>
              <w:rPr>
                <w:rFonts w:eastAsiaTheme="majorEastAsia"/>
              </w:rPr>
              <w:t>)</w:t>
            </w:r>
          </w:p>
        </w:tc>
        <w:tc>
          <w:tcPr>
            <w:tcW w:w="2127" w:type="dxa"/>
            <w:hideMark/>
          </w:tcPr>
          <w:p w14:paraId="2C1FADC0" w14:textId="77777777" w:rsidR="002C17BD" w:rsidRPr="00B353EC" w:rsidRDefault="002C17BD" w:rsidP="00F57A89">
            <w:pPr>
              <w:jc w:val="center"/>
            </w:pPr>
            <w:r w:rsidRPr="00B353EC">
              <w:rPr>
                <w:rFonts w:eastAsiaTheme="majorEastAsia"/>
              </w:rPr>
              <w:t>Vietnam</w:t>
            </w:r>
          </w:p>
        </w:tc>
        <w:tc>
          <w:tcPr>
            <w:tcW w:w="1842" w:type="dxa"/>
          </w:tcPr>
          <w:p w14:paraId="5659663B" w14:textId="77777777" w:rsidR="002C17BD" w:rsidRPr="002C17BD" w:rsidRDefault="002C17BD" w:rsidP="00F57A89">
            <w:pPr>
              <w:jc w:val="center"/>
              <w:rPr>
                <w:vertAlign w:val="superscript"/>
              </w:rPr>
            </w:pPr>
            <w:r w:rsidRPr="002C17BD">
              <w:rPr>
                <w:vertAlign w:val="superscript"/>
              </w:rPr>
              <w:t>3</w:t>
            </w:r>
          </w:p>
        </w:tc>
      </w:tr>
      <w:tr w:rsidR="002C17BD" w:rsidRPr="00B353EC" w14:paraId="7C219925" w14:textId="77777777" w:rsidTr="005C2650">
        <w:trPr>
          <w:trHeight w:val="113"/>
          <w:jc w:val="center"/>
        </w:trPr>
        <w:tc>
          <w:tcPr>
            <w:tcW w:w="1555" w:type="dxa"/>
          </w:tcPr>
          <w:p w14:paraId="12615F39" w14:textId="77777777" w:rsidR="002C17BD" w:rsidRPr="00B353EC" w:rsidRDefault="002C17BD" w:rsidP="00F57A89">
            <w:pPr>
              <w:jc w:val="center"/>
              <w:rPr>
                <w:rFonts w:eastAsiaTheme="majorEastAsia"/>
              </w:rPr>
            </w:pPr>
            <w:r w:rsidRPr="00880330">
              <w:rPr>
                <w:rFonts w:eastAsiaTheme="majorEastAsia"/>
              </w:rPr>
              <w:t>PMP167</w:t>
            </w:r>
            <w:r>
              <w:rPr>
                <w:rFonts w:eastAsiaTheme="majorEastAsia"/>
              </w:rPr>
              <w:t>8</w:t>
            </w:r>
          </w:p>
        </w:tc>
        <w:tc>
          <w:tcPr>
            <w:tcW w:w="4110" w:type="dxa"/>
            <w:hideMark/>
          </w:tcPr>
          <w:p w14:paraId="3C8ECCDF" w14:textId="77777777" w:rsidR="002C17BD" w:rsidRPr="00B353EC" w:rsidRDefault="002C17BD" w:rsidP="00F57A89">
            <w:pPr>
              <w:jc w:val="center"/>
            </w:pPr>
            <w:r w:rsidRPr="00B353EC">
              <w:rPr>
                <w:rFonts w:eastAsiaTheme="majorEastAsia"/>
              </w:rPr>
              <w:t>34</w:t>
            </w:r>
          </w:p>
        </w:tc>
        <w:tc>
          <w:tcPr>
            <w:tcW w:w="2127" w:type="dxa"/>
            <w:hideMark/>
          </w:tcPr>
          <w:p w14:paraId="4D566592" w14:textId="77777777" w:rsidR="002C17BD" w:rsidRPr="00B353EC" w:rsidRDefault="002C17BD" w:rsidP="00F57A89">
            <w:pPr>
              <w:jc w:val="center"/>
            </w:pPr>
            <w:r w:rsidRPr="00B353EC">
              <w:rPr>
                <w:rFonts w:eastAsiaTheme="majorEastAsia"/>
              </w:rPr>
              <w:t>Vietnam</w:t>
            </w:r>
          </w:p>
        </w:tc>
        <w:tc>
          <w:tcPr>
            <w:tcW w:w="1842" w:type="dxa"/>
          </w:tcPr>
          <w:p w14:paraId="068374B9" w14:textId="77777777" w:rsidR="002C17BD" w:rsidRPr="002C17BD" w:rsidRDefault="002C17BD" w:rsidP="00F57A89">
            <w:pPr>
              <w:jc w:val="center"/>
              <w:rPr>
                <w:vertAlign w:val="superscript"/>
              </w:rPr>
            </w:pPr>
            <w:r w:rsidRPr="002C17BD">
              <w:rPr>
                <w:vertAlign w:val="superscript"/>
              </w:rPr>
              <w:t>3</w:t>
            </w:r>
          </w:p>
        </w:tc>
      </w:tr>
      <w:tr w:rsidR="002C17BD" w:rsidRPr="00B353EC" w14:paraId="2D1143A6" w14:textId="77777777" w:rsidTr="005C2650">
        <w:trPr>
          <w:trHeight w:val="113"/>
          <w:jc w:val="center"/>
        </w:trPr>
        <w:tc>
          <w:tcPr>
            <w:tcW w:w="1555" w:type="dxa"/>
          </w:tcPr>
          <w:p w14:paraId="2FFD2CA2" w14:textId="77777777" w:rsidR="002C17BD" w:rsidRPr="00B353EC" w:rsidRDefault="002C17BD" w:rsidP="00F57A89">
            <w:pPr>
              <w:jc w:val="center"/>
              <w:rPr>
                <w:rFonts w:eastAsiaTheme="majorEastAsia"/>
              </w:rPr>
            </w:pPr>
            <w:r w:rsidRPr="00880330">
              <w:rPr>
                <w:rFonts w:eastAsiaTheme="majorEastAsia"/>
              </w:rPr>
              <w:t>PMP16</w:t>
            </w:r>
            <w:r>
              <w:rPr>
                <w:rFonts w:eastAsiaTheme="majorEastAsia"/>
              </w:rPr>
              <w:t>79</w:t>
            </w:r>
          </w:p>
        </w:tc>
        <w:tc>
          <w:tcPr>
            <w:tcW w:w="4110" w:type="dxa"/>
            <w:hideMark/>
          </w:tcPr>
          <w:p w14:paraId="1EA61700" w14:textId="77777777" w:rsidR="002C17BD" w:rsidRPr="00B353EC" w:rsidRDefault="002C17BD" w:rsidP="00F57A89">
            <w:pPr>
              <w:jc w:val="center"/>
            </w:pPr>
            <w:r w:rsidRPr="00B353EC">
              <w:rPr>
                <w:rFonts w:eastAsiaTheme="majorEastAsia"/>
              </w:rPr>
              <w:t>15A</w:t>
            </w:r>
          </w:p>
        </w:tc>
        <w:tc>
          <w:tcPr>
            <w:tcW w:w="2127" w:type="dxa"/>
            <w:hideMark/>
          </w:tcPr>
          <w:p w14:paraId="64CD0DCD" w14:textId="77777777" w:rsidR="002C17BD" w:rsidRPr="00B353EC" w:rsidRDefault="002C17BD" w:rsidP="00F57A89">
            <w:pPr>
              <w:jc w:val="center"/>
            </w:pPr>
            <w:r w:rsidRPr="00B353EC">
              <w:rPr>
                <w:rFonts w:eastAsiaTheme="majorEastAsia"/>
              </w:rPr>
              <w:t>Vietnam</w:t>
            </w:r>
          </w:p>
        </w:tc>
        <w:tc>
          <w:tcPr>
            <w:tcW w:w="1842" w:type="dxa"/>
          </w:tcPr>
          <w:p w14:paraId="29975128" w14:textId="77777777" w:rsidR="002C17BD" w:rsidRPr="002C17BD" w:rsidRDefault="002C17BD" w:rsidP="00F57A89">
            <w:pPr>
              <w:jc w:val="center"/>
              <w:rPr>
                <w:vertAlign w:val="superscript"/>
              </w:rPr>
            </w:pPr>
            <w:r w:rsidRPr="002C17BD">
              <w:rPr>
                <w:vertAlign w:val="superscript"/>
              </w:rPr>
              <w:t>3</w:t>
            </w:r>
          </w:p>
        </w:tc>
      </w:tr>
      <w:tr w:rsidR="002C17BD" w:rsidRPr="00B353EC" w14:paraId="09ACEF1C" w14:textId="77777777" w:rsidTr="005C2650">
        <w:trPr>
          <w:trHeight w:val="113"/>
          <w:jc w:val="center"/>
        </w:trPr>
        <w:tc>
          <w:tcPr>
            <w:tcW w:w="1555" w:type="dxa"/>
          </w:tcPr>
          <w:p w14:paraId="0A5D0229" w14:textId="77777777" w:rsidR="002C17BD" w:rsidRPr="00B353EC" w:rsidRDefault="002C17BD" w:rsidP="00F57A89">
            <w:pPr>
              <w:jc w:val="center"/>
              <w:rPr>
                <w:rFonts w:eastAsiaTheme="majorEastAsia"/>
              </w:rPr>
            </w:pPr>
            <w:r w:rsidRPr="00C14994">
              <w:rPr>
                <w:rFonts w:eastAsiaTheme="majorEastAsia"/>
              </w:rPr>
              <w:t>PMP1680</w:t>
            </w:r>
          </w:p>
        </w:tc>
        <w:tc>
          <w:tcPr>
            <w:tcW w:w="4110" w:type="dxa"/>
            <w:hideMark/>
          </w:tcPr>
          <w:p w14:paraId="2D28A3FB" w14:textId="77777777" w:rsidR="002C17BD" w:rsidRPr="00B353EC" w:rsidRDefault="002C17BD" w:rsidP="00F57A89">
            <w:pPr>
              <w:jc w:val="center"/>
            </w:pPr>
            <w:r w:rsidRPr="00C14994">
              <w:rPr>
                <w:rFonts w:eastAsiaTheme="majorEastAsia"/>
              </w:rPr>
              <w:t>35B</w:t>
            </w:r>
          </w:p>
        </w:tc>
        <w:tc>
          <w:tcPr>
            <w:tcW w:w="2127" w:type="dxa"/>
            <w:hideMark/>
          </w:tcPr>
          <w:p w14:paraId="0B2799CC" w14:textId="77777777" w:rsidR="002C17BD" w:rsidRPr="00B353EC" w:rsidRDefault="002C17BD" w:rsidP="00F57A89">
            <w:pPr>
              <w:jc w:val="center"/>
            </w:pPr>
            <w:r w:rsidRPr="00C14994">
              <w:rPr>
                <w:rFonts w:eastAsiaTheme="majorEastAsia"/>
              </w:rPr>
              <w:t>Mongolia</w:t>
            </w:r>
          </w:p>
        </w:tc>
        <w:tc>
          <w:tcPr>
            <w:tcW w:w="1842" w:type="dxa"/>
          </w:tcPr>
          <w:p w14:paraId="0943D0C6" w14:textId="77777777" w:rsidR="002C17BD" w:rsidRPr="002C17BD" w:rsidRDefault="002C17BD" w:rsidP="00F57A89">
            <w:pPr>
              <w:jc w:val="center"/>
              <w:rPr>
                <w:vertAlign w:val="superscript"/>
              </w:rPr>
            </w:pPr>
            <w:r w:rsidRPr="002C17BD">
              <w:rPr>
                <w:vertAlign w:val="superscript"/>
              </w:rPr>
              <w:t>4</w:t>
            </w:r>
          </w:p>
        </w:tc>
      </w:tr>
      <w:tr w:rsidR="002C17BD" w:rsidRPr="00B353EC" w14:paraId="515CECA9" w14:textId="77777777" w:rsidTr="005C2650">
        <w:trPr>
          <w:trHeight w:val="113"/>
          <w:jc w:val="center"/>
        </w:trPr>
        <w:tc>
          <w:tcPr>
            <w:tcW w:w="1555" w:type="dxa"/>
            <w:vAlign w:val="center"/>
          </w:tcPr>
          <w:p w14:paraId="4A5DBAF8" w14:textId="77777777" w:rsidR="002C17BD" w:rsidRPr="00B353EC" w:rsidRDefault="002C17BD" w:rsidP="00F57A89">
            <w:pPr>
              <w:jc w:val="center"/>
              <w:rPr>
                <w:rFonts w:eastAsiaTheme="majorEastAsia"/>
                <w:b/>
                <w:bCs/>
              </w:rPr>
            </w:pPr>
            <w:r w:rsidRPr="00B353EC">
              <w:rPr>
                <w:rFonts w:ascii="Calibri" w:hAnsi="Calibri" w:cs="Calibri"/>
              </w:rPr>
              <w:t>PMP22</w:t>
            </w:r>
          </w:p>
        </w:tc>
        <w:tc>
          <w:tcPr>
            <w:tcW w:w="4110" w:type="dxa"/>
            <w:hideMark/>
          </w:tcPr>
          <w:p w14:paraId="08DAA5F9" w14:textId="77777777" w:rsidR="002C17BD" w:rsidRPr="00B353EC" w:rsidRDefault="002C17BD" w:rsidP="00F57A89">
            <w:pPr>
              <w:jc w:val="center"/>
            </w:pPr>
            <w:r w:rsidRPr="00B353EC">
              <w:rPr>
                <w:rFonts w:eastAsiaTheme="majorEastAsia"/>
              </w:rPr>
              <w:t>23F</w:t>
            </w:r>
          </w:p>
        </w:tc>
        <w:tc>
          <w:tcPr>
            <w:tcW w:w="2127" w:type="dxa"/>
            <w:hideMark/>
          </w:tcPr>
          <w:p w14:paraId="471DE7D2" w14:textId="77777777" w:rsidR="002C17BD" w:rsidRPr="00B353EC" w:rsidRDefault="002C17BD" w:rsidP="00F57A89">
            <w:pPr>
              <w:jc w:val="center"/>
            </w:pPr>
            <w:r w:rsidRPr="00B353EC">
              <w:rPr>
                <w:rFonts w:eastAsiaTheme="majorEastAsia"/>
              </w:rPr>
              <w:t>Fiji</w:t>
            </w:r>
          </w:p>
        </w:tc>
        <w:tc>
          <w:tcPr>
            <w:tcW w:w="1842" w:type="dxa"/>
          </w:tcPr>
          <w:p w14:paraId="61533D20" w14:textId="77777777" w:rsidR="002C17BD" w:rsidRPr="002C17BD" w:rsidRDefault="002C17BD" w:rsidP="00F57A89">
            <w:pPr>
              <w:jc w:val="center"/>
              <w:rPr>
                <w:vertAlign w:val="superscript"/>
              </w:rPr>
            </w:pPr>
            <w:r w:rsidRPr="002C17BD">
              <w:rPr>
                <w:vertAlign w:val="superscript"/>
              </w:rPr>
              <w:t>2</w:t>
            </w:r>
          </w:p>
        </w:tc>
      </w:tr>
      <w:tr w:rsidR="002C17BD" w:rsidRPr="00B353EC" w14:paraId="5CC3D077" w14:textId="77777777" w:rsidTr="005C2650">
        <w:trPr>
          <w:trHeight w:val="113"/>
          <w:jc w:val="center"/>
        </w:trPr>
        <w:tc>
          <w:tcPr>
            <w:tcW w:w="1555" w:type="dxa"/>
            <w:vAlign w:val="center"/>
          </w:tcPr>
          <w:p w14:paraId="74EFE8C8" w14:textId="77777777" w:rsidR="002C17BD" w:rsidRPr="00B353EC" w:rsidRDefault="002C17BD" w:rsidP="00F57A89">
            <w:pPr>
              <w:jc w:val="center"/>
              <w:rPr>
                <w:rFonts w:eastAsiaTheme="majorEastAsia"/>
                <w:b/>
                <w:bCs/>
              </w:rPr>
            </w:pPr>
            <w:r w:rsidRPr="00B353EC">
              <w:rPr>
                <w:rFonts w:ascii="Calibri" w:hAnsi="Calibri" w:cs="Calibri"/>
              </w:rPr>
              <w:t>PMP591</w:t>
            </w:r>
          </w:p>
        </w:tc>
        <w:tc>
          <w:tcPr>
            <w:tcW w:w="4110" w:type="dxa"/>
            <w:hideMark/>
          </w:tcPr>
          <w:p w14:paraId="32C2353F" w14:textId="77777777" w:rsidR="002C17BD" w:rsidRPr="00B353EC" w:rsidRDefault="002C17BD" w:rsidP="00F57A89">
            <w:pPr>
              <w:jc w:val="center"/>
            </w:pPr>
            <w:r w:rsidRPr="00B353EC">
              <w:rPr>
                <w:rFonts w:eastAsiaTheme="majorEastAsia"/>
              </w:rPr>
              <w:t>6B</w:t>
            </w:r>
          </w:p>
        </w:tc>
        <w:tc>
          <w:tcPr>
            <w:tcW w:w="2127" w:type="dxa"/>
            <w:hideMark/>
          </w:tcPr>
          <w:p w14:paraId="5F817DA3" w14:textId="77777777" w:rsidR="002C17BD" w:rsidRPr="00B353EC" w:rsidRDefault="002C17BD" w:rsidP="00F57A89">
            <w:pPr>
              <w:jc w:val="center"/>
            </w:pPr>
            <w:r w:rsidRPr="00B353EC">
              <w:rPr>
                <w:rFonts w:eastAsiaTheme="majorEastAsia"/>
              </w:rPr>
              <w:t>Fiji</w:t>
            </w:r>
          </w:p>
        </w:tc>
        <w:tc>
          <w:tcPr>
            <w:tcW w:w="1842" w:type="dxa"/>
          </w:tcPr>
          <w:p w14:paraId="05BDC88F" w14:textId="77777777" w:rsidR="002C17BD" w:rsidRPr="002C17BD" w:rsidRDefault="002C17BD" w:rsidP="00F57A89">
            <w:pPr>
              <w:jc w:val="center"/>
              <w:rPr>
                <w:vertAlign w:val="superscript"/>
              </w:rPr>
            </w:pPr>
            <w:r w:rsidRPr="002C17BD">
              <w:rPr>
                <w:vertAlign w:val="superscript"/>
              </w:rPr>
              <w:t>2</w:t>
            </w:r>
          </w:p>
        </w:tc>
      </w:tr>
      <w:tr w:rsidR="002C17BD" w:rsidRPr="00B353EC" w14:paraId="312C0C32" w14:textId="77777777" w:rsidTr="005C2650">
        <w:trPr>
          <w:trHeight w:val="113"/>
          <w:jc w:val="center"/>
        </w:trPr>
        <w:tc>
          <w:tcPr>
            <w:tcW w:w="1555" w:type="dxa"/>
            <w:vAlign w:val="center"/>
          </w:tcPr>
          <w:p w14:paraId="5F21601C" w14:textId="77777777" w:rsidR="002C17BD" w:rsidRPr="00B353EC" w:rsidRDefault="002C17BD" w:rsidP="00F57A89">
            <w:pPr>
              <w:jc w:val="center"/>
              <w:rPr>
                <w:rFonts w:eastAsiaTheme="majorEastAsia"/>
                <w:b/>
                <w:bCs/>
              </w:rPr>
            </w:pPr>
            <w:r w:rsidRPr="00B353EC">
              <w:rPr>
                <w:rFonts w:ascii="Calibri" w:hAnsi="Calibri" w:cs="Calibri"/>
              </w:rPr>
              <w:t>PMP812</w:t>
            </w:r>
          </w:p>
        </w:tc>
        <w:tc>
          <w:tcPr>
            <w:tcW w:w="4110" w:type="dxa"/>
            <w:hideMark/>
          </w:tcPr>
          <w:p w14:paraId="1E710E2E" w14:textId="77777777" w:rsidR="002C17BD" w:rsidRPr="00B353EC" w:rsidRDefault="002C17BD" w:rsidP="00F57A89">
            <w:pPr>
              <w:jc w:val="center"/>
            </w:pPr>
            <w:r w:rsidRPr="00B353EC">
              <w:rPr>
                <w:rFonts w:eastAsiaTheme="majorEastAsia"/>
              </w:rPr>
              <w:t>5</w:t>
            </w:r>
          </w:p>
        </w:tc>
        <w:tc>
          <w:tcPr>
            <w:tcW w:w="2127" w:type="dxa"/>
            <w:hideMark/>
          </w:tcPr>
          <w:p w14:paraId="7239C5C9" w14:textId="77777777" w:rsidR="002C17BD" w:rsidRPr="00B353EC" w:rsidRDefault="002C17BD" w:rsidP="00F57A89">
            <w:pPr>
              <w:jc w:val="center"/>
            </w:pPr>
            <w:r w:rsidRPr="00B353EC">
              <w:rPr>
                <w:rFonts w:eastAsiaTheme="majorEastAsia"/>
              </w:rPr>
              <w:t>Bangladesh</w:t>
            </w:r>
          </w:p>
        </w:tc>
        <w:tc>
          <w:tcPr>
            <w:tcW w:w="1842" w:type="dxa"/>
          </w:tcPr>
          <w:p w14:paraId="2D65B060" w14:textId="77777777" w:rsidR="002C17BD" w:rsidRPr="002C17BD" w:rsidRDefault="002C17BD" w:rsidP="00F57A89">
            <w:pPr>
              <w:jc w:val="center"/>
              <w:rPr>
                <w:vertAlign w:val="superscript"/>
              </w:rPr>
            </w:pPr>
            <w:r w:rsidRPr="002C17BD">
              <w:rPr>
                <w:vertAlign w:val="superscript"/>
              </w:rPr>
              <w:t>7</w:t>
            </w:r>
          </w:p>
        </w:tc>
      </w:tr>
      <w:tr w:rsidR="002C17BD" w:rsidRPr="00B353EC" w14:paraId="758E6D59" w14:textId="77777777" w:rsidTr="005C2650">
        <w:trPr>
          <w:trHeight w:val="113"/>
          <w:jc w:val="center"/>
        </w:trPr>
        <w:tc>
          <w:tcPr>
            <w:tcW w:w="1555" w:type="dxa"/>
            <w:vAlign w:val="center"/>
          </w:tcPr>
          <w:p w14:paraId="01DCB249" w14:textId="77777777" w:rsidR="002C17BD" w:rsidRPr="00B353EC" w:rsidRDefault="002C17BD" w:rsidP="00F57A89">
            <w:pPr>
              <w:jc w:val="center"/>
              <w:rPr>
                <w:rFonts w:eastAsiaTheme="majorEastAsia"/>
                <w:b/>
                <w:bCs/>
              </w:rPr>
            </w:pPr>
            <w:r w:rsidRPr="00B353EC">
              <w:rPr>
                <w:rFonts w:ascii="Calibri" w:hAnsi="Calibri" w:cs="Calibri"/>
              </w:rPr>
              <w:t>PMP292</w:t>
            </w:r>
          </w:p>
        </w:tc>
        <w:tc>
          <w:tcPr>
            <w:tcW w:w="4110" w:type="dxa"/>
            <w:hideMark/>
          </w:tcPr>
          <w:p w14:paraId="0AB03F03" w14:textId="77777777" w:rsidR="002C17BD" w:rsidRPr="00B353EC" w:rsidRDefault="002C17BD" w:rsidP="00F57A89">
            <w:pPr>
              <w:jc w:val="center"/>
            </w:pPr>
            <w:r w:rsidRPr="00B353EC">
              <w:rPr>
                <w:rFonts w:eastAsiaTheme="majorEastAsia"/>
              </w:rPr>
              <w:t>19A</w:t>
            </w:r>
          </w:p>
        </w:tc>
        <w:tc>
          <w:tcPr>
            <w:tcW w:w="2127" w:type="dxa"/>
            <w:hideMark/>
          </w:tcPr>
          <w:p w14:paraId="266E1B2E" w14:textId="77777777" w:rsidR="002C17BD" w:rsidRPr="00B353EC" w:rsidRDefault="002C17BD" w:rsidP="00F57A89">
            <w:pPr>
              <w:jc w:val="center"/>
            </w:pPr>
            <w:r w:rsidRPr="00B353EC">
              <w:rPr>
                <w:rFonts w:eastAsiaTheme="majorEastAsia"/>
              </w:rPr>
              <w:t>Fiji</w:t>
            </w:r>
          </w:p>
        </w:tc>
        <w:tc>
          <w:tcPr>
            <w:tcW w:w="1842" w:type="dxa"/>
          </w:tcPr>
          <w:p w14:paraId="691569F3" w14:textId="77777777" w:rsidR="002C17BD" w:rsidRPr="002C17BD" w:rsidRDefault="002C17BD" w:rsidP="00F57A89">
            <w:pPr>
              <w:jc w:val="center"/>
              <w:rPr>
                <w:vertAlign w:val="superscript"/>
              </w:rPr>
            </w:pPr>
            <w:r w:rsidRPr="002C17BD">
              <w:rPr>
                <w:vertAlign w:val="superscript"/>
              </w:rPr>
              <w:t>2</w:t>
            </w:r>
          </w:p>
        </w:tc>
      </w:tr>
      <w:tr w:rsidR="002C17BD" w:rsidRPr="00B353EC" w14:paraId="3D511033" w14:textId="77777777" w:rsidTr="005C2650">
        <w:trPr>
          <w:trHeight w:val="61"/>
          <w:jc w:val="center"/>
        </w:trPr>
        <w:tc>
          <w:tcPr>
            <w:tcW w:w="1555" w:type="dxa"/>
            <w:vAlign w:val="center"/>
          </w:tcPr>
          <w:p w14:paraId="7405DE39" w14:textId="77777777" w:rsidR="002C17BD" w:rsidRPr="00B353EC" w:rsidRDefault="002C17BD" w:rsidP="00F57A89">
            <w:pPr>
              <w:jc w:val="center"/>
              <w:rPr>
                <w:rFonts w:eastAsiaTheme="majorEastAsia"/>
                <w:b/>
                <w:bCs/>
              </w:rPr>
            </w:pPr>
            <w:r w:rsidRPr="00B353EC">
              <w:rPr>
                <w:rFonts w:ascii="Calibri" w:hAnsi="Calibri" w:cs="Calibri"/>
              </w:rPr>
              <w:t>PMP278</w:t>
            </w:r>
          </w:p>
        </w:tc>
        <w:tc>
          <w:tcPr>
            <w:tcW w:w="4110" w:type="dxa"/>
            <w:hideMark/>
          </w:tcPr>
          <w:p w14:paraId="202B2A51" w14:textId="77777777" w:rsidR="002C17BD" w:rsidRPr="00B353EC" w:rsidRDefault="002C17BD" w:rsidP="00F57A89">
            <w:pPr>
              <w:jc w:val="center"/>
            </w:pPr>
            <w:r w:rsidRPr="00B353EC">
              <w:rPr>
                <w:rFonts w:eastAsiaTheme="majorEastAsia"/>
              </w:rPr>
              <w:t>3</w:t>
            </w:r>
          </w:p>
        </w:tc>
        <w:tc>
          <w:tcPr>
            <w:tcW w:w="2127" w:type="dxa"/>
            <w:hideMark/>
          </w:tcPr>
          <w:p w14:paraId="330337C6" w14:textId="77777777" w:rsidR="002C17BD" w:rsidRPr="00B353EC" w:rsidRDefault="002C17BD" w:rsidP="00F57A89">
            <w:pPr>
              <w:jc w:val="center"/>
            </w:pPr>
            <w:r w:rsidRPr="00B353EC">
              <w:rPr>
                <w:rFonts w:eastAsiaTheme="majorEastAsia"/>
              </w:rPr>
              <w:t>Fiji</w:t>
            </w:r>
          </w:p>
        </w:tc>
        <w:tc>
          <w:tcPr>
            <w:tcW w:w="1842" w:type="dxa"/>
          </w:tcPr>
          <w:p w14:paraId="1D7F724F" w14:textId="77777777" w:rsidR="002C17BD" w:rsidRPr="002C17BD" w:rsidRDefault="002C17BD" w:rsidP="00F57A89">
            <w:pPr>
              <w:jc w:val="center"/>
              <w:rPr>
                <w:vertAlign w:val="superscript"/>
              </w:rPr>
            </w:pPr>
            <w:r w:rsidRPr="002C17BD">
              <w:rPr>
                <w:vertAlign w:val="superscript"/>
              </w:rPr>
              <w:t>2</w:t>
            </w:r>
          </w:p>
        </w:tc>
      </w:tr>
    </w:tbl>
    <w:p w14:paraId="69E743A6" w14:textId="77777777" w:rsidR="002C17BD" w:rsidRDefault="002C17BD" w:rsidP="0044220C">
      <w:pPr>
        <w:spacing w:after="0"/>
        <w:jc w:val="both"/>
      </w:pPr>
      <w:r>
        <w:t xml:space="preserve">All isolated from the nasopharynx except PMP812, which was an invasive isolate. </w:t>
      </w:r>
      <w:r w:rsidRPr="00B353EC">
        <w:t> </w:t>
      </w:r>
    </w:p>
    <w:p w14:paraId="681B3050" w14:textId="77777777" w:rsidR="002C17BD" w:rsidRDefault="002C17BD" w:rsidP="0044220C">
      <w:pPr>
        <w:spacing w:after="0"/>
        <w:jc w:val="both"/>
      </w:pPr>
    </w:p>
    <w:p w14:paraId="76195450" w14:textId="77777777" w:rsidR="002C17BD" w:rsidRDefault="002C17BD" w:rsidP="0044220C">
      <w:pPr>
        <w:spacing w:after="0"/>
        <w:jc w:val="both"/>
      </w:pPr>
    </w:p>
    <w:p w14:paraId="44C46671" w14:textId="77777777" w:rsidR="002C17BD" w:rsidRDefault="002C17BD" w:rsidP="0044220C">
      <w:pPr>
        <w:spacing w:after="0"/>
        <w:jc w:val="both"/>
      </w:pPr>
    </w:p>
    <w:p w14:paraId="3D9ACDC0" w14:textId="77777777" w:rsidR="002C17BD" w:rsidRDefault="002C17BD" w:rsidP="0044220C">
      <w:pPr>
        <w:spacing w:after="0"/>
        <w:jc w:val="both"/>
      </w:pPr>
    </w:p>
    <w:p w14:paraId="76D40A46" w14:textId="77777777" w:rsidR="002C17BD" w:rsidRDefault="002C17BD" w:rsidP="0044220C">
      <w:pPr>
        <w:spacing w:after="0"/>
        <w:jc w:val="both"/>
      </w:pPr>
    </w:p>
    <w:p w14:paraId="3F9B233B" w14:textId="77777777" w:rsidR="002C17BD" w:rsidRDefault="002C17BD" w:rsidP="0044220C">
      <w:pPr>
        <w:spacing w:after="0"/>
        <w:jc w:val="both"/>
      </w:pPr>
    </w:p>
    <w:p w14:paraId="3DA35564" w14:textId="77777777" w:rsidR="002C17BD" w:rsidRDefault="002C17BD" w:rsidP="0044220C">
      <w:pPr>
        <w:spacing w:after="0"/>
        <w:jc w:val="both"/>
      </w:pPr>
    </w:p>
    <w:p w14:paraId="3E0FB7B1" w14:textId="77777777" w:rsidR="002C17BD" w:rsidRDefault="002C17BD" w:rsidP="0044220C">
      <w:pPr>
        <w:spacing w:after="0"/>
        <w:jc w:val="both"/>
      </w:pPr>
    </w:p>
    <w:p w14:paraId="7C06DD62" w14:textId="77777777" w:rsidR="002C17BD" w:rsidRDefault="002C17BD" w:rsidP="0044220C">
      <w:pPr>
        <w:spacing w:after="0"/>
        <w:jc w:val="both"/>
      </w:pPr>
    </w:p>
    <w:p w14:paraId="2E6801DF" w14:textId="77777777" w:rsidR="002C17BD" w:rsidRDefault="002C17BD" w:rsidP="0044220C">
      <w:pPr>
        <w:spacing w:after="0"/>
        <w:jc w:val="both"/>
      </w:pPr>
    </w:p>
    <w:p w14:paraId="671C98DB" w14:textId="77777777" w:rsidR="002C17BD" w:rsidRDefault="002C17BD" w:rsidP="0044220C">
      <w:pPr>
        <w:spacing w:after="0"/>
        <w:jc w:val="both"/>
      </w:pPr>
    </w:p>
    <w:p w14:paraId="4F210963" w14:textId="77777777" w:rsidR="002C17BD" w:rsidRDefault="002C17BD" w:rsidP="0044220C">
      <w:pPr>
        <w:spacing w:after="0"/>
        <w:jc w:val="both"/>
      </w:pPr>
    </w:p>
    <w:p w14:paraId="4171F029" w14:textId="77777777" w:rsidR="002C17BD" w:rsidRDefault="002C17BD" w:rsidP="0044220C">
      <w:pPr>
        <w:spacing w:after="0"/>
        <w:jc w:val="both"/>
      </w:pPr>
    </w:p>
    <w:p w14:paraId="4B171C87" w14:textId="77777777" w:rsidR="002C17BD" w:rsidRDefault="002C17BD" w:rsidP="0044220C">
      <w:pPr>
        <w:spacing w:after="0"/>
        <w:jc w:val="both"/>
      </w:pPr>
    </w:p>
    <w:p w14:paraId="50AE3365" w14:textId="77777777" w:rsidR="002C17BD" w:rsidRDefault="002C17BD" w:rsidP="0044220C">
      <w:pPr>
        <w:spacing w:after="0"/>
        <w:jc w:val="both"/>
      </w:pPr>
    </w:p>
    <w:p w14:paraId="45F6870D" w14:textId="77777777" w:rsidR="002C17BD" w:rsidRDefault="002C17BD" w:rsidP="0044220C">
      <w:pPr>
        <w:spacing w:after="0"/>
        <w:jc w:val="both"/>
      </w:pPr>
    </w:p>
    <w:p w14:paraId="1DA7E401" w14:textId="77777777" w:rsidR="002C17BD" w:rsidRDefault="002C17BD" w:rsidP="0044220C">
      <w:pPr>
        <w:spacing w:after="0"/>
        <w:jc w:val="both"/>
      </w:pPr>
    </w:p>
    <w:p w14:paraId="4CE2AB84" w14:textId="77777777" w:rsidR="002C17BD" w:rsidRDefault="002C17BD" w:rsidP="0044220C">
      <w:pPr>
        <w:spacing w:after="0"/>
        <w:jc w:val="both"/>
      </w:pPr>
    </w:p>
    <w:p w14:paraId="2EDAC6CA" w14:textId="77777777" w:rsidR="002C17BD" w:rsidRDefault="002C17BD" w:rsidP="0044220C">
      <w:pPr>
        <w:spacing w:after="0"/>
        <w:jc w:val="both"/>
      </w:pPr>
    </w:p>
    <w:p w14:paraId="6FE912A8" w14:textId="77777777" w:rsidR="002C17BD" w:rsidRDefault="002C17BD" w:rsidP="0044220C">
      <w:pPr>
        <w:spacing w:after="0"/>
        <w:jc w:val="both"/>
      </w:pPr>
    </w:p>
    <w:p w14:paraId="7CD219D2" w14:textId="77777777" w:rsidR="002C17BD" w:rsidRDefault="002C17BD" w:rsidP="0044220C">
      <w:pPr>
        <w:spacing w:after="0"/>
        <w:jc w:val="both"/>
      </w:pPr>
    </w:p>
    <w:p w14:paraId="1A08F313" w14:textId="77777777" w:rsidR="002C17BD" w:rsidRDefault="002C17BD" w:rsidP="0044220C">
      <w:pPr>
        <w:spacing w:after="0"/>
        <w:jc w:val="both"/>
      </w:pPr>
    </w:p>
    <w:p w14:paraId="6461E283" w14:textId="77777777" w:rsidR="002C17BD" w:rsidRDefault="002C17BD" w:rsidP="0044220C">
      <w:pPr>
        <w:spacing w:after="0"/>
        <w:jc w:val="both"/>
      </w:pPr>
      <w:r w:rsidRPr="00B353EC">
        <w:rPr>
          <w:b/>
          <w:bCs/>
        </w:rPr>
        <w:lastRenderedPageBreak/>
        <w:t xml:space="preserve">Supplementary Table </w:t>
      </w:r>
      <w:r>
        <w:rPr>
          <w:b/>
          <w:bCs/>
        </w:rPr>
        <w:t>2</w:t>
      </w:r>
      <w:r w:rsidRPr="00B353EC">
        <w:rPr>
          <w:b/>
          <w:bCs/>
        </w:rPr>
        <w:t>.</w:t>
      </w:r>
      <w:r w:rsidRPr="00B353EC">
        <w:t xml:space="preserve">  </w:t>
      </w:r>
      <w:r>
        <w:t xml:space="preserve">Mean density of samples at 28 days post storage calculated using traditional culture techniques. </w:t>
      </w:r>
    </w:p>
    <w:tbl>
      <w:tblPr>
        <w:tblStyle w:val="PlainTable2"/>
        <w:tblW w:w="9634" w:type="dxa"/>
        <w:tblLook w:val="04A0" w:firstRow="1" w:lastRow="0" w:firstColumn="1" w:lastColumn="0" w:noHBand="0" w:noVBand="1"/>
      </w:tblPr>
      <w:tblGrid>
        <w:gridCol w:w="1696"/>
        <w:gridCol w:w="3686"/>
        <w:gridCol w:w="4252"/>
      </w:tblGrid>
      <w:tr w:rsidR="002C17BD" w14:paraId="5FC7D893" w14:textId="77777777" w:rsidTr="005C26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A3BA7CA" w14:textId="77777777" w:rsidR="002C17BD" w:rsidRDefault="002C17BD" w:rsidP="005C2650">
            <w:pPr>
              <w:jc w:val="center"/>
              <w:rPr>
                <w:lang w:eastAsia="en-AU"/>
              </w:rPr>
            </w:pPr>
          </w:p>
        </w:tc>
        <w:tc>
          <w:tcPr>
            <w:tcW w:w="3686" w:type="dxa"/>
          </w:tcPr>
          <w:p w14:paraId="7DA0AEF2" w14:textId="77777777" w:rsidR="002C17BD" w:rsidRDefault="002C17BD" w:rsidP="005C2650">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Mean Density (log</w:t>
            </w:r>
            <w:r>
              <w:rPr>
                <w:vertAlign w:val="subscript"/>
                <w:lang w:eastAsia="en-AU"/>
              </w:rPr>
              <w:t xml:space="preserve">10 </w:t>
            </w:r>
            <w:r>
              <w:rPr>
                <w:lang w:eastAsia="en-AU"/>
              </w:rPr>
              <w:t>CFU/ml) for L</w:t>
            </w:r>
            <w:r w:rsidRPr="00E44E32">
              <w:rPr>
                <w:lang w:eastAsia="en-AU"/>
              </w:rPr>
              <w:t xml:space="preserve">ow </w:t>
            </w:r>
            <w:r>
              <w:rPr>
                <w:lang w:eastAsia="en-AU"/>
              </w:rPr>
              <w:t xml:space="preserve">Load </w:t>
            </w:r>
            <w:r w:rsidRPr="00E44E32">
              <w:t>(</w:t>
            </w:r>
            <w:r w:rsidRPr="00E44E32">
              <w:rPr>
                <w:rFonts w:cstheme="minorHAnsi"/>
              </w:rPr>
              <w:t>10</w:t>
            </w:r>
            <w:r w:rsidRPr="00E44E32">
              <w:rPr>
                <w:rFonts w:cstheme="minorHAnsi"/>
                <w:vertAlign w:val="superscript"/>
              </w:rPr>
              <w:t>2</w:t>
            </w:r>
            <w:r>
              <w:rPr>
                <w:rFonts w:cstheme="minorHAnsi"/>
                <w:vertAlign w:val="superscript"/>
              </w:rPr>
              <w:t xml:space="preserve"> - </w:t>
            </w:r>
            <w:r w:rsidRPr="00E44E32">
              <w:rPr>
                <w:rFonts w:cstheme="minorHAnsi"/>
              </w:rPr>
              <w:t>10</w:t>
            </w:r>
            <w:r w:rsidRPr="00E44E32">
              <w:rPr>
                <w:rFonts w:cstheme="minorHAnsi"/>
                <w:vertAlign w:val="superscript"/>
              </w:rPr>
              <w:t>3</w:t>
            </w:r>
            <w:r w:rsidRPr="00E44E32">
              <w:rPr>
                <w:rFonts w:cstheme="minorHAnsi"/>
              </w:rPr>
              <w:t xml:space="preserve"> CFU</w:t>
            </w:r>
            <w:r w:rsidRPr="00E44E32">
              <w:t>)</w:t>
            </w:r>
            <w:r w:rsidRPr="00E44E32">
              <w:rPr>
                <w:lang w:eastAsia="en-AU"/>
              </w:rPr>
              <w:t xml:space="preserve"> </w:t>
            </w:r>
            <w:r>
              <w:rPr>
                <w:lang w:eastAsia="en-AU"/>
              </w:rPr>
              <w:t>S</w:t>
            </w:r>
            <w:r w:rsidRPr="00E44E32">
              <w:t>ample</w:t>
            </w:r>
            <w:r>
              <w:t>s ± SD</w:t>
            </w:r>
          </w:p>
        </w:tc>
        <w:tc>
          <w:tcPr>
            <w:tcW w:w="4252" w:type="dxa"/>
          </w:tcPr>
          <w:p w14:paraId="18646D75" w14:textId="77777777" w:rsidR="002C17BD" w:rsidRDefault="002C17BD" w:rsidP="005C2650">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Mean Density (log</w:t>
            </w:r>
            <w:r>
              <w:rPr>
                <w:vertAlign w:val="subscript"/>
                <w:lang w:eastAsia="en-AU"/>
              </w:rPr>
              <w:t xml:space="preserve">10 </w:t>
            </w:r>
            <w:r>
              <w:rPr>
                <w:lang w:eastAsia="en-AU"/>
              </w:rPr>
              <w:t>CFU/ml) for Medium</w:t>
            </w:r>
            <w:r w:rsidRPr="00E44E32">
              <w:rPr>
                <w:lang w:eastAsia="en-AU"/>
              </w:rPr>
              <w:t xml:space="preserve"> </w:t>
            </w:r>
            <w:r>
              <w:rPr>
                <w:lang w:eastAsia="en-AU"/>
              </w:rPr>
              <w:t xml:space="preserve">Load </w:t>
            </w:r>
            <w:r w:rsidRPr="00E44E32">
              <w:t>(</w:t>
            </w:r>
            <w:r w:rsidRPr="00E44E32">
              <w:rPr>
                <w:rFonts w:cstheme="minorHAnsi"/>
              </w:rPr>
              <w:t>10</w:t>
            </w:r>
            <w:r>
              <w:rPr>
                <w:rFonts w:cstheme="minorHAnsi"/>
                <w:vertAlign w:val="superscript"/>
              </w:rPr>
              <w:t xml:space="preserve">4 - </w:t>
            </w:r>
            <w:r w:rsidRPr="00E44E32">
              <w:rPr>
                <w:rFonts w:cstheme="minorHAnsi"/>
              </w:rPr>
              <w:t>10</w:t>
            </w:r>
            <w:r>
              <w:rPr>
                <w:rFonts w:cstheme="minorHAnsi"/>
                <w:vertAlign w:val="superscript"/>
              </w:rPr>
              <w:t>5</w:t>
            </w:r>
            <w:r w:rsidRPr="00E44E32">
              <w:rPr>
                <w:rFonts w:cstheme="minorHAnsi"/>
              </w:rPr>
              <w:t xml:space="preserve"> CFU</w:t>
            </w:r>
            <w:r w:rsidRPr="00E44E32">
              <w:t>)</w:t>
            </w:r>
            <w:r w:rsidRPr="00E44E32">
              <w:rPr>
                <w:lang w:eastAsia="en-AU"/>
              </w:rPr>
              <w:t xml:space="preserve"> </w:t>
            </w:r>
            <w:r>
              <w:rPr>
                <w:lang w:eastAsia="en-AU"/>
              </w:rPr>
              <w:t>S</w:t>
            </w:r>
            <w:r w:rsidRPr="00E44E32">
              <w:t>ample</w:t>
            </w:r>
            <w:r>
              <w:t>s ± SD</w:t>
            </w:r>
          </w:p>
        </w:tc>
      </w:tr>
      <w:tr w:rsidR="002C17BD" w14:paraId="1C328E55" w14:textId="77777777" w:rsidTr="005C2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0CC6CA7" w14:textId="77777777" w:rsidR="002C17BD" w:rsidRPr="008150F5" w:rsidRDefault="002C17BD" w:rsidP="005C2650">
            <w:pPr>
              <w:jc w:val="center"/>
              <w:rPr>
                <w:b w:val="0"/>
                <w:bCs w:val="0"/>
                <w:lang w:eastAsia="en-AU"/>
              </w:rPr>
            </w:pPr>
            <w:r w:rsidRPr="008150F5">
              <w:rPr>
                <w:b w:val="0"/>
                <w:bCs w:val="0"/>
              </w:rPr>
              <w:t>-80°C in STGG</w:t>
            </w:r>
          </w:p>
        </w:tc>
        <w:tc>
          <w:tcPr>
            <w:tcW w:w="3686" w:type="dxa"/>
          </w:tcPr>
          <w:p w14:paraId="0D70EFB4"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r w:rsidRPr="00E44E32">
              <w:t xml:space="preserve">2.84 </w:t>
            </w:r>
            <w:r>
              <w:t xml:space="preserve">± </w:t>
            </w:r>
            <w:r w:rsidRPr="00E44E32">
              <w:t>0.71</w:t>
            </w:r>
          </w:p>
        </w:tc>
        <w:tc>
          <w:tcPr>
            <w:tcW w:w="4252" w:type="dxa"/>
          </w:tcPr>
          <w:p w14:paraId="40A8863C"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r w:rsidRPr="00E44E32">
              <w:t xml:space="preserve">5.08 </w:t>
            </w:r>
            <w:r>
              <w:rPr>
                <w:lang w:eastAsia="en-AU"/>
              </w:rPr>
              <w:t xml:space="preserve">± </w:t>
            </w:r>
            <w:r w:rsidRPr="00E44E32">
              <w:rPr>
                <w:lang w:eastAsia="en-AU"/>
              </w:rPr>
              <w:t>0.63</w:t>
            </w:r>
          </w:p>
        </w:tc>
      </w:tr>
      <w:tr w:rsidR="002C17BD" w14:paraId="48199493" w14:textId="77777777" w:rsidTr="005C2650">
        <w:tc>
          <w:tcPr>
            <w:cnfStyle w:val="001000000000" w:firstRow="0" w:lastRow="0" w:firstColumn="1" w:lastColumn="0" w:oddVBand="0" w:evenVBand="0" w:oddHBand="0" w:evenHBand="0" w:firstRowFirstColumn="0" w:firstRowLastColumn="0" w:lastRowFirstColumn="0" w:lastRowLastColumn="0"/>
            <w:tcW w:w="1696" w:type="dxa"/>
          </w:tcPr>
          <w:p w14:paraId="5A8B00E2" w14:textId="77777777" w:rsidR="002C17BD" w:rsidRPr="008150F5" w:rsidRDefault="002C17BD" w:rsidP="005C2650">
            <w:pPr>
              <w:jc w:val="center"/>
              <w:rPr>
                <w:b w:val="0"/>
                <w:bCs w:val="0"/>
                <w:lang w:eastAsia="en-AU"/>
              </w:rPr>
            </w:pPr>
            <w:r w:rsidRPr="008150F5">
              <w:rPr>
                <w:b w:val="0"/>
                <w:bCs w:val="0"/>
              </w:rPr>
              <w:t>-20°C in STGG</w:t>
            </w:r>
          </w:p>
        </w:tc>
        <w:tc>
          <w:tcPr>
            <w:tcW w:w="3686" w:type="dxa"/>
          </w:tcPr>
          <w:p w14:paraId="21ADCC2C" w14:textId="77777777" w:rsidR="002C17BD" w:rsidRDefault="002C17BD" w:rsidP="005C2650">
            <w:pPr>
              <w:jc w:val="center"/>
              <w:cnfStyle w:val="000000000000" w:firstRow="0" w:lastRow="0" w:firstColumn="0" w:lastColumn="0" w:oddVBand="0" w:evenVBand="0" w:oddHBand="0" w:evenHBand="0" w:firstRowFirstColumn="0" w:firstRowLastColumn="0" w:lastRowFirstColumn="0" w:lastRowLastColumn="0"/>
              <w:rPr>
                <w:lang w:eastAsia="en-AU"/>
              </w:rPr>
            </w:pPr>
            <w:r w:rsidRPr="00E44E32">
              <w:t>2.</w:t>
            </w:r>
            <w:r>
              <w:t>67</w:t>
            </w:r>
            <w:r w:rsidRPr="00E44E32">
              <w:t xml:space="preserve"> </w:t>
            </w:r>
            <w:r>
              <w:t xml:space="preserve">± </w:t>
            </w:r>
            <w:r w:rsidRPr="00E44E32">
              <w:t>0.</w:t>
            </w:r>
            <w:r>
              <w:t>54</w:t>
            </w:r>
          </w:p>
        </w:tc>
        <w:tc>
          <w:tcPr>
            <w:tcW w:w="4252" w:type="dxa"/>
          </w:tcPr>
          <w:p w14:paraId="237E874F" w14:textId="77777777" w:rsidR="002C17BD" w:rsidRDefault="002C17BD" w:rsidP="005C2650">
            <w:pPr>
              <w:jc w:val="center"/>
              <w:cnfStyle w:val="000000000000" w:firstRow="0" w:lastRow="0" w:firstColumn="0" w:lastColumn="0" w:oddVBand="0" w:evenVBand="0" w:oddHBand="0" w:evenHBand="0" w:firstRowFirstColumn="0" w:firstRowLastColumn="0" w:lastRowFirstColumn="0" w:lastRowLastColumn="0"/>
              <w:rPr>
                <w:lang w:eastAsia="en-AU"/>
              </w:rPr>
            </w:pPr>
            <w:r w:rsidRPr="00E44E32">
              <w:rPr>
                <w:lang w:eastAsia="en-AU"/>
              </w:rPr>
              <w:t>3.</w:t>
            </w:r>
            <w:r>
              <w:rPr>
                <w:lang w:eastAsia="en-AU"/>
              </w:rPr>
              <w:t>53 ± 0.89</w:t>
            </w:r>
          </w:p>
        </w:tc>
      </w:tr>
      <w:tr w:rsidR="002C17BD" w14:paraId="0755787D" w14:textId="77777777" w:rsidTr="005C2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865B20F" w14:textId="77777777" w:rsidR="002C17BD" w:rsidRPr="008150F5" w:rsidRDefault="002C17BD" w:rsidP="005C2650">
            <w:pPr>
              <w:jc w:val="center"/>
              <w:rPr>
                <w:b w:val="0"/>
                <w:bCs w:val="0"/>
                <w:lang w:eastAsia="en-AU"/>
              </w:rPr>
            </w:pPr>
            <w:r w:rsidRPr="008150F5">
              <w:rPr>
                <w:b w:val="0"/>
                <w:bCs w:val="0"/>
              </w:rPr>
              <w:t>4°C in STGG</w:t>
            </w:r>
          </w:p>
        </w:tc>
        <w:tc>
          <w:tcPr>
            <w:tcW w:w="3686" w:type="dxa"/>
          </w:tcPr>
          <w:p w14:paraId="106C9715"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r w:rsidRPr="00E44E32">
              <w:t>1.</w:t>
            </w:r>
            <w:r>
              <w:t>99</w:t>
            </w:r>
            <w:r w:rsidRPr="00E44E32">
              <w:t xml:space="preserve"> </w:t>
            </w:r>
            <w:r>
              <w:t xml:space="preserve">± </w:t>
            </w:r>
            <w:r w:rsidRPr="00E44E32">
              <w:t>0.5</w:t>
            </w:r>
            <w:r>
              <w:t>7</w:t>
            </w:r>
          </w:p>
        </w:tc>
        <w:tc>
          <w:tcPr>
            <w:tcW w:w="4252" w:type="dxa"/>
          </w:tcPr>
          <w:p w14:paraId="30ECCBDC"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r w:rsidRPr="00E44E32">
              <w:rPr>
                <w:lang w:eastAsia="en-AU"/>
              </w:rPr>
              <w:t>2.</w:t>
            </w:r>
            <w:r>
              <w:rPr>
                <w:lang w:eastAsia="en-AU"/>
              </w:rPr>
              <w:t>31</w:t>
            </w:r>
            <w:r w:rsidRPr="00E44E32">
              <w:rPr>
                <w:lang w:eastAsia="en-AU"/>
              </w:rPr>
              <w:t xml:space="preserve"> </w:t>
            </w:r>
            <w:r>
              <w:rPr>
                <w:lang w:eastAsia="en-AU"/>
              </w:rPr>
              <w:t xml:space="preserve">± </w:t>
            </w:r>
            <w:r w:rsidRPr="00E44E32">
              <w:rPr>
                <w:lang w:eastAsia="en-AU"/>
              </w:rPr>
              <w:t>0.</w:t>
            </w:r>
            <w:r>
              <w:rPr>
                <w:lang w:eastAsia="en-AU"/>
              </w:rPr>
              <w:t>61</w:t>
            </w:r>
          </w:p>
        </w:tc>
      </w:tr>
      <w:tr w:rsidR="002C17BD" w14:paraId="68C03F37" w14:textId="77777777" w:rsidTr="005C2650">
        <w:tc>
          <w:tcPr>
            <w:cnfStyle w:val="001000000000" w:firstRow="0" w:lastRow="0" w:firstColumn="1" w:lastColumn="0" w:oddVBand="0" w:evenVBand="0" w:oddHBand="0" w:evenHBand="0" w:firstRowFirstColumn="0" w:firstRowLastColumn="0" w:lastRowFirstColumn="0" w:lastRowLastColumn="0"/>
            <w:tcW w:w="1696" w:type="dxa"/>
          </w:tcPr>
          <w:p w14:paraId="74FC0469" w14:textId="77777777" w:rsidR="002C17BD" w:rsidRPr="008150F5" w:rsidRDefault="002C17BD" w:rsidP="005C2650">
            <w:pPr>
              <w:jc w:val="center"/>
              <w:rPr>
                <w:b w:val="0"/>
                <w:bCs w:val="0"/>
                <w:lang w:eastAsia="en-AU"/>
              </w:rPr>
            </w:pPr>
            <w:r w:rsidRPr="008150F5">
              <w:rPr>
                <w:b w:val="0"/>
                <w:bCs w:val="0"/>
              </w:rPr>
              <w:t>4°C in SDPs</w:t>
            </w:r>
          </w:p>
        </w:tc>
        <w:tc>
          <w:tcPr>
            <w:tcW w:w="3686" w:type="dxa"/>
          </w:tcPr>
          <w:p w14:paraId="03422869" w14:textId="77777777" w:rsidR="002C17BD" w:rsidRDefault="002C17BD" w:rsidP="005C2650">
            <w:pPr>
              <w:jc w:val="center"/>
              <w:cnfStyle w:val="000000000000" w:firstRow="0" w:lastRow="0" w:firstColumn="0" w:lastColumn="0" w:oddVBand="0" w:evenVBand="0" w:oddHBand="0" w:evenHBand="0" w:firstRowFirstColumn="0" w:firstRowLastColumn="0" w:lastRowFirstColumn="0" w:lastRowLastColumn="0"/>
              <w:rPr>
                <w:lang w:eastAsia="en-AU"/>
              </w:rPr>
            </w:pPr>
            <w:r w:rsidRPr="00E44E32">
              <w:t>1.</w:t>
            </w:r>
            <w:r>
              <w:t>67</w:t>
            </w:r>
            <w:r w:rsidRPr="00E44E32">
              <w:t xml:space="preserve"> </w:t>
            </w:r>
            <w:r>
              <w:t xml:space="preserve">± </w:t>
            </w:r>
            <w:r w:rsidRPr="00E44E32">
              <w:t>0.</w:t>
            </w:r>
            <w:r>
              <w:t>55</w:t>
            </w:r>
          </w:p>
        </w:tc>
        <w:tc>
          <w:tcPr>
            <w:tcW w:w="4252" w:type="dxa"/>
          </w:tcPr>
          <w:p w14:paraId="1C14E5CA" w14:textId="77777777" w:rsidR="002C17BD" w:rsidRDefault="002C17BD" w:rsidP="005C2650">
            <w:pPr>
              <w:jc w:val="center"/>
              <w:cnfStyle w:val="000000000000" w:firstRow="0" w:lastRow="0" w:firstColumn="0" w:lastColumn="0" w:oddVBand="0" w:evenVBand="0" w:oddHBand="0" w:evenHBand="0" w:firstRowFirstColumn="0" w:firstRowLastColumn="0" w:lastRowFirstColumn="0" w:lastRowLastColumn="0"/>
              <w:rPr>
                <w:lang w:eastAsia="en-AU"/>
              </w:rPr>
            </w:pPr>
            <w:r w:rsidRPr="00E44E32">
              <w:rPr>
                <w:lang w:eastAsia="en-AU"/>
              </w:rPr>
              <w:t>2.</w:t>
            </w:r>
            <w:r>
              <w:rPr>
                <w:lang w:eastAsia="en-AU"/>
              </w:rPr>
              <w:t>20</w:t>
            </w:r>
            <w:r w:rsidRPr="00E44E32">
              <w:rPr>
                <w:lang w:eastAsia="en-AU"/>
              </w:rPr>
              <w:t xml:space="preserve"> </w:t>
            </w:r>
            <w:r>
              <w:rPr>
                <w:lang w:eastAsia="en-AU"/>
              </w:rPr>
              <w:t xml:space="preserve">± </w:t>
            </w:r>
            <w:r w:rsidRPr="00E44E32">
              <w:rPr>
                <w:lang w:eastAsia="en-AU"/>
              </w:rPr>
              <w:t>0.6</w:t>
            </w:r>
            <w:r>
              <w:rPr>
                <w:lang w:eastAsia="en-AU"/>
              </w:rPr>
              <w:t>5</w:t>
            </w:r>
          </w:p>
        </w:tc>
      </w:tr>
      <w:tr w:rsidR="002C17BD" w14:paraId="1521F1B9" w14:textId="77777777" w:rsidTr="005C2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24600BD" w14:textId="1830470F" w:rsidR="002C17BD" w:rsidRPr="008150F5" w:rsidRDefault="002C17BD" w:rsidP="005C2650">
            <w:pPr>
              <w:jc w:val="center"/>
              <w:rPr>
                <w:b w:val="0"/>
                <w:bCs w:val="0"/>
                <w:lang w:eastAsia="en-AU"/>
              </w:rPr>
            </w:pPr>
            <w:r w:rsidRPr="008150F5">
              <w:rPr>
                <w:b w:val="0"/>
                <w:bCs w:val="0"/>
              </w:rPr>
              <w:t>30°C in SDP</w:t>
            </w:r>
            <w:r>
              <w:rPr>
                <w:b w:val="0"/>
                <w:bCs w:val="0"/>
              </w:rPr>
              <w:t>s</w:t>
            </w:r>
          </w:p>
        </w:tc>
        <w:tc>
          <w:tcPr>
            <w:tcW w:w="3686" w:type="dxa"/>
          </w:tcPr>
          <w:p w14:paraId="429731BF"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Non-recoverable</w:t>
            </w:r>
          </w:p>
        </w:tc>
        <w:tc>
          <w:tcPr>
            <w:tcW w:w="4252" w:type="dxa"/>
          </w:tcPr>
          <w:p w14:paraId="3D5C331F"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Non-recoverable</w:t>
            </w:r>
          </w:p>
        </w:tc>
      </w:tr>
    </w:tbl>
    <w:p w14:paraId="5243084B" w14:textId="77777777" w:rsidR="002C17BD" w:rsidRDefault="002C17BD" w:rsidP="00F835A2">
      <w:pPr>
        <w:spacing w:after="0"/>
        <w:jc w:val="both"/>
        <w:rPr>
          <w:b/>
          <w:bCs/>
        </w:rPr>
      </w:pPr>
    </w:p>
    <w:p w14:paraId="55FB29B1" w14:textId="77777777" w:rsidR="002C17BD" w:rsidRDefault="002C17BD" w:rsidP="00F835A2">
      <w:pPr>
        <w:spacing w:after="0"/>
        <w:jc w:val="both"/>
        <w:rPr>
          <w:b/>
          <w:bCs/>
        </w:rPr>
      </w:pPr>
    </w:p>
    <w:p w14:paraId="5A17C538" w14:textId="77777777" w:rsidR="002C17BD" w:rsidRDefault="002C17BD" w:rsidP="00F835A2">
      <w:pPr>
        <w:spacing w:after="0"/>
        <w:jc w:val="both"/>
        <w:rPr>
          <w:b/>
          <w:bCs/>
        </w:rPr>
      </w:pPr>
    </w:p>
    <w:p w14:paraId="5EDD5B71" w14:textId="77777777" w:rsidR="002C17BD" w:rsidRDefault="002C17BD" w:rsidP="00F835A2">
      <w:pPr>
        <w:spacing w:after="0"/>
        <w:jc w:val="both"/>
        <w:rPr>
          <w:b/>
          <w:bCs/>
        </w:rPr>
      </w:pPr>
    </w:p>
    <w:p w14:paraId="2E612F5B" w14:textId="77777777" w:rsidR="002C17BD" w:rsidRDefault="002C17BD" w:rsidP="00F835A2">
      <w:pPr>
        <w:spacing w:after="0"/>
        <w:jc w:val="both"/>
        <w:rPr>
          <w:b/>
          <w:bCs/>
        </w:rPr>
      </w:pPr>
    </w:p>
    <w:p w14:paraId="18BF2FB3" w14:textId="77777777" w:rsidR="002C17BD" w:rsidRDefault="002C17BD" w:rsidP="00F835A2">
      <w:pPr>
        <w:spacing w:after="0"/>
        <w:jc w:val="both"/>
        <w:rPr>
          <w:b/>
          <w:bCs/>
        </w:rPr>
      </w:pPr>
    </w:p>
    <w:p w14:paraId="7F730A63" w14:textId="77777777" w:rsidR="002C17BD" w:rsidRDefault="002C17BD" w:rsidP="00F835A2">
      <w:pPr>
        <w:spacing w:after="0"/>
        <w:jc w:val="both"/>
        <w:rPr>
          <w:b/>
          <w:bCs/>
        </w:rPr>
      </w:pPr>
    </w:p>
    <w:p w14:paraId="0CA5CFFE" w14:textId="77777777" w:rsidR="002C17BD" w:rsidRDefault="002C17BD" w:rsidP="00F835A2">
      <w:pPr>
        <w:spacing w:after="0"/>
        <w:jc w:val="both"/>
        <w:rPr>
          <w:b/>
          <w:bCs/>
        </w:rPr>
      </w:pPr>
    </w:p>
    <w:p w14:paraId="4CF1080B" w14:textId="77777777" w:rsidR="002C17BD" w:rsidRDefault="002C17BD" w:rsidP="00F835A2">
      <w:pPr>
        <w:spacing w:after="0"/>
        <w:jc w:val="both"/>
        <w:rPr>
          <w:b/>
          <w:bCs/>
        </w:rPr>
      </w:pPr>
    </w:p>
    <w:p w14:paraId="6D12F026" w14:textId="77777777" w:rsidR="002C17BD" w:rsidRDefault="002C17BD" w:rsidP="00F835A2">
      <w:pPr>
        <w:spacing w:after="0"/>
        <w:jc w:val="both"/>
        <w:rPr>
          <w:b/>
          <w:bCs/>
        </w:rPr>
      </w:pPr>
    </w:p>
    <w:p w14:paraId="6577C24D" w14:textId="77777777" w:rsidR="002C17BD" w:rsidRDefault="002C17BD" w:rsidP="00F835A2">
      <w:pPr>
        <w:spacing w:after="0"/>
        <w:jc w:val="both"/>
        <w:rPr>
          <w:b/>
          <w:bCs/>
        </w:rPr>
      </w:pPr>
    </w:p>
    <w:p w14:paraId="66E6D01E" w14:textId="77777777" w:rsidR="002C17BD" w:rsidRDefault="002C17BD" w:rsidP="00F835A2">
      <w:pPr>
        <w:spacing w:after="0"/>
        <w:jc w:val="both"/>
        <w:rPr>
          <w:b/>
          <w:bCs/>
        </w:rPr>
      </w:pPr>
    </w:p>
    <w:p w14:paraId="69DEA355" w14:textId="77777777" w:rsidR="002C17BD" w:rsidRDefault="002C17BD" w:rsidP="00F835A2">
      <w:pPr>
        <w:spacing w:after="0"/>
        <w:jc w:val="both"/>
        <w:rPr>
          <w:b/>
          <w:bCs/>
        </w:rPr>
      </w:pPr>
    </w:p>
    <w:p w14:paraId="603DBF91" w14:textId="77777777" w:rsidR="002C17BD" w:rsidRDefault="002C17BD" w:rsidP="00F835A2">
      <w:pPr>
        <w:spacing w:after="0"/>
        <w:jc w:val="both"/>
        <w:rPr>
          <w:b/>
          <w:bCs/>
        </w:rPr>
      </w:pPr>
    </w:p>
    <w:p w14:paraId="43371152" w14:textId="77777777" w:rsidR="002C17BD" w:rsidRDefault="002C17BD" w:rsidP="00F835A2">
      <w:pPr>
        <w:spacing w:after="0"/>
        <w:jc w:val="both"/>
        <w:rPr>
          <w:b/>
          <w:bCs/>
        </w:rPr>
      </w:pPr>
    </w:p>
    <w:p w14:paraId="4950B889" w14:textId="77777777" w:rsidR="002C17BD" w:rsidRDefault="002C17BD" w:rsidP="00F835A2">
      <w:pPr>
        <w:spacing w:after="0"/>
        <w:jc w:val="both"/>
        <w:rPr>
          <w:b/>
          <w:bCs/>
        </w:rPr>
      </w:pPr>
    </w:p>
    <w:p w14:paraId="586D63AA" w14:textId="77777777" w:rsidR="002C17BD" w:rsidRDefault="002C17BD" w:rsidP="00F835A2">
      <w:pPr>
        <w:spacing w:after="0"/>
        <w:jc w:val="both"/>
        <w:rPr>
          <w:b/>
          <w:bCs/>
        </w:rPr>
      </w:pPr>
    </w:p>
    <w:p w14:paraId="384F9F3E" w14:textId="77777777" w:rsidR="002C17BD" w:rsidRDefault="002C17BD" w:rsidP="00F835A2">
      <w:pPr>
        <w:spacing w:after="0"/>
        <w:jc w:val="both"/>
        <w:rPr>
          <w:b/>
          <w:bCs/>
        </w:rPr>
      </w:pPr>
    </w:p>
    <w:p w14:paraId="59E37DC9" w14:textId="77777777" w:rsidR="002C17BD" w:rsidRDefault="002C17BD" w:rsidP="00F835A2">
      <w:pPr>
        <w:spacing w:after="0"/>
        <w:jc w:val="both"/>
        <w:rPr>
          <w:b/>
          <w:bCs/>
        </w:rPr>
      </w:pPr>
    </w:p>
    <w:p w14:paraId="26B36D3F" w14:textId="77777777" w:rsidR="002C17BD" w:rsidRDefault="002C17BD" w:rsidP="00F835A2">
      <w:pPr>
        <w:spacing w:after="0"/>
        <w:jc w:val="both"/>
        <w:rPr>
          <w:b/>
          <w:bCs/>
        </w:rPr>
      </w:pPr>
    </w:p>
    <w:p w14:paraId="6E356CA3" w14:textId="77777777" w:rsidR="002C17BD" w:rsidRDefault="002C17BD" w:rsidP="00F835A2">
      <w:pPr>
        <w:spacing w:after="0"/>
        <w:jc w:val="both"/>
        <w:rPr>
          <w:b/>
          <w:bCs/>
        </w:rPr>
      </w:pPr>
    </w:p>
    <w:p w14:paraId="1080576B" w14:textId="77777777" w:rsidR="002C17BD" w:rsidRDefault="002C17BD" w:rsidP="00F835A2">
      <w:pPr>
        <w:spacing w:after="0"/>
        <w:jc w:val="both"/>
        <w:rPr>
          <w:b/>
          <w:bCs/>
        </w:rPr>
      </w:pPr>
    </w:p>
    <w:p w14:paraId="5612E745" w14:textId="77777777" w:rsidR="002C17BD" w:rsidRDefault="002C17BD" w:rsidP="00F835A2">
      <w:pPr>
        <w:spacing w:after="0"/>
        <w:jc w:val="both"/>
        <w:rPr>
          <w:b/>
          <w:bCs/>
        </w:rPr>
      </w:pPr>
    </w:p>
    <w:p w14:paraId="492F21A6" w14:textId="77777777" w:rsidR="002C17BD" w:rsidRDefault="002C17BD" w:rsidP="00F835A2">
      <w:pPr>
        <w:spacing w:after="0"/>
        <w:jc w:val="both"/>
        <w:rPr>
          <w:b/>
          <w:bCs/>
        </w:rPr>
      </w:pPr>
    </w:p>
    <w:p w14:paraId="6FCF8E7C" w14:textId="77777777" w:rsidR="002C17BD" w:rsidRDefault="002C17BD" w:rsidP="00F835A2">
      <w:pPr>
        <w:spacing w:after="0"/>
        <w:jc w:val="both"/>
        <w:rPr>
          <w:b/>
          <w:bCs/>
        </w:rPr>
      </w:pPr>
    </w:p>
    <w:p w14:paraId="1B04843F" w14:textId="77777777" w:rsidR="002C17BD" w:rsidRDefault="002C17BD" w:rsidP="00F835A2">
      <w:pPr>
        <w:spacing w:after="0"/>
        <w:jc w:val="both"/>
        <w:rPr>
          <w:b/>
          <w:bCs/>
        </w:rPr>
      </w:pPr>
    </w:p>
    <w:p w14:paraId="46717772" w14:textId="77777777" w:rsidR="002C17BD" w:rsidRDefault="002C17BD" w:rsidP="00F835A2">
      <w:pPr>
        <w:spacing w:after="0"/>
        <w:jc w:val="both"/>
        <w:rPr>
          <w:b/>
          <w:bCs/>
        </w:rPr>
      </w:pPr>
    </w:p>
    <w:p w14:paraId="41DDC2BF" w14:textId="77777777" w:rsidR="002C17BD" w:rsidRDefault="002C17BD" w:rsidP="00F835A2">
      <w:pPr>
        <w:spacing w:after="0"/>
        <w:jc w:val="both"/>
        <w:rPr>
          <w:b/>
          <w:bCs/>
        </w:rPr>
      </w:pPr>
    </w:p>
    <w:p w14:paraId="4B858B7F" w14:textId="77777777" w:rsidR="002C17BD" w:rsidRDefault="002C17BD" w:rsidP="00F835A2">
      <w:pPr>
        <w:spacing w:after="0"/>
        <w:jc w:val="both"/>
        <w:rPr>
          <w:b/>
          <w:bCs/>
        </w:rPr>
      </w:pPr>
    </w:p>
    <w:p w14:paraId="49CE66AE" w14:textId="77777777" w:rsidR="002C17BD" w:rsidRDefault="002C17BD" w:rsidP="00F835A2">
      <w:pPr>
        <w:spacing w:after="0"/>
        <w:jc w:val="both"/>
        <w:rPr>
          <w:b/>
          <w:bCs/>
        </w:rPr>
      </w:pPr>
    </w:p>
    <w:p w14:paraId="3085D353" w14:textId="77777777" w:rsidR="002C17BD" w:rsidRDefault="002C17BD" w:rsidP="00F835A2">
      <w:pPr>
        <w:spacing w:after="0"/>
        <w:jc w:val="both"/>
        <w:rPr>
          <w:b/>
          <w:bCs/>
        </w:rPr>
      </w:pPr>
    </w:p>
    <w:p w14:paraId="0351FD25" w14:textId="77777777" w:rsidR="002C17BD" w:rsidRDefault="002C17BD" w:rsidP="00F835A2">
      <w:pPr>
        <w:spacing w:after="0"/>
        <w:jc w:val="both"/>
        <w:rPr>
          <w:b/>
          <w:bCs/>
        </w:rPr>
      </w:pPr>
    </w:p>
    <w:p w14:paraId="0B69BCD8" w14:textId="77777777" w:rsidR="002C17BD" w:rsidRDefault="002C17BD" w:rsidP="00F835A2">
      <w:pPr>
        <w:spacing w:after="0"/>
        <w:jc w:val="both"/>
        <w:rPr>
          <w:b/>
          <w:bCs/>
        </w:rPr>
      </w:pPr>
    </w:p>
    <w:p w14:paraId="744BA591" w14:textId="77777777" w:rsidR="002C17BD" w:rsidRDefault="002C17BD" w:rsidP="00F835A2">
      <w:pPr>
        <w:spacing w:after="0"/>
        <w:jc w:val="both"/>
        <w:rPr>
          <w:b/>
          <w:bCs/>
        </w:rPr>
      </w:pPr>
    </w:p>
    <w:p w14:paraId="60673673" w14:textId="77777777" w:rsidR="002C17BD" w:rsidRDefault="002C17BD" w:rsidP="00F835A2">
      <w:pPr>
        <w:spacing w:after="0"/>
        <w:jc w:val="both"/>
        <w:rPr>
          <w:b/>
          <w:bCs/>
        </w:rPr>
      </w:pPr>
    </w:p>
    <w:p w14:paraId="1E86F2FD" w14:textId="77777777" w:rsidR="002C17BD" w:rsidRDefault="002C17BD" w:rsidP="00F835A2">
      <w:pPr>
        <w:spacing w:after="0"/>
        <w:jc w:val="both"/>
        <w:rPr>
          <w:b/>
          <w:bCs/>
        </w:rPr>
      </w:pPr>
    </w:p>
    <w:p w14:paraId="70A20706" w14:textId="77777777" w:rsidR="002C17BD" w:rsidRDefault="002C17BD" w:rsidP="00F835A2">
      <w:pPr>
        <w:spacing w:after="0"/>
        <w:jc w:val="both"/>
        <w:rPr>
          <w:b/>
          <w:bCs/>
        </w:rPr>
      </w:pPr>
    </w:p>
    <w:p w14:paraId="12F472F5" w14:textId="77777777" w:rsidR="002C17BD" w:rsidRDefault="002C17BD" w:rsidP="00F835A2">
      <w:pPr>
        <w:spacing w:after="0"/>
        <w:jc w:val="both"/>
      </w:pPr>
      <w:r w:rsidRPr="00B353EC">
        <w:rPr>
          <w:b/>
          <w:bCs/>
        </w:rPr>
        <w:lastRenderedPageBreak/>
        <w:t xml:space="preserve">Supplementary Table </w:t>
      </w:r>
      <w:r>
        <w:rPr>
          <w:b/>
          <w:bCs/>
        </w:rPr>
        <w:t>3</w:t>
      </w:r>
      <w:r w:rsidRPr="00B353EC">
        <w:rPr>
          <w:b/>
          <w:bCs/>
        </w:rPr>
        <w:t>.</w:t>
      </w:r>
      <w:r w:rsidRPr="00B353EC">
        <w:t xml:space="preserve">  </w:t>
      </w:r>
      <w:r>
        <w:t>Difference in combined mean density (log</w:t>
      </w:r>
      <w:r w:rsidRPr="002B26AF">
        <w:rPr>
          <w:vertAlign w:val="subscript"/>
        </w:rPr>
        <w:t>10</w:t>
      </w:r>
      <w:r>
        <w:t xml:space="preserve"> CFU/ml) between baseline and 28 days post-storage. </w:t>
      </w:r>
    </w:p>
    <w:tbl>
      <w:tblPr>
        <w:tblStyle w:val="PlainTable2"/>
        <w:tblW w:w="10547" w:type="dxa"/>
        <w:tblInd w:w="-709" w:type="dxa"/>
        <w:tblLook w:val="04A0" w:firstRow="1" w:lastRow="0" w:firstColumn="1" w:lastColumn="0" w:noHBand="0" w:noVBand="1"/>
      </w:tblPr>
      <w:tblGrid>
        <w:gridCol w:w="1757"/>
        <w:gridCol w:w="1758"/>
        <w:gridCol w:w="1758"/>
        <w:gridCol w:w="1758"/>
        <w:gridCol w:w="1758"/>
        <w:gridCol w:w="1758"/>
      </w:tblGrid>
      <w:tr w:rsidR="002C17BD" w14:paraId="6243E7D4" w14:textId="77777777" w:rsidTr="002C1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46EAEB8F" w14:textId="77777777" w:rsidR="002C17BD" w:rsidRDefault="002C17BD" w:rsidP="00BC591A">
            <w:pPr>
              <w:jc w:val="center"/>
              <w:rPr>
                <w:lang w:eastAsia="en-AU"/>
              </w:rPr>
            </w:pPr>
          </w:p>
        </w:tc>
        <w:tc>
          <w:tcPr>
            <w:tcW w:w="1758" w:type="dxa"/>
          </w:tcPr>
          <w:p w14:paraId="3D5B9C86" w14:textId="77777777" w:rsidR="002C17BD" w:rsidRDefault="002C17BD" w:rsidP="00BC591A">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2 Days Post-Storage</w:t>
            </w:r>
          </w:p>
        </w:tc>
        <w:tc>
          <w:tcPr>
            <w:tcW w:w="1758" w:type="dxa"/>
          </w:tcPr>
          <w:p w14:paraId="7E9096C5" w14:textId="77777777" w:rsidR="002C17BD" w:rsidRDefault="002C17BD" w:rsidP="00BC591A">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7 Days Post-Storage</w:t>
            </w:r>
          </w:p>
        </w:tc>
        <w:tc>
          <w:tcPr>
            <w:tcW w:w="1758" w:type="dxa"/>
          </w:tcPr>
          <w:p w14:paraId="0BF4F875" w14:textId="77777777" w:rsidR="002C17BD" w:rsidRDefault="002C17BD" w:rsidP="00BC591A">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14 Days Post-Storage</w:t>
            </w:r>
          </w:p>
        </w:tc>
        <w:tc>
          <w:tcPr>
            <w:tcW w:w="1758" w:type="dxa"/>
          </w:tcPr>
          <w:p w14:paraId="4FEC61C4" w14:textId="77777777" w:rsidR="002C17BD" w:rsidRDefault="002C17BD" w:rsidP="00BC591A">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21 Days Post-Storage</w:t>
            </w:r>
          </w:p>
        </w:tc>
        <w:tc>
          <w:tcPr>
            <w:tcW w:w="1758" w:type="dxa"/>
          </w:tcPr>
          <w:p w14:paraId="3A6F7E0F" w14:textId="77777777" w:rsidR="002C17BD" w:rsidRDefault="002C17BD" w:rsidP="00BC591A">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28 Days Post-Storage</w:t>
            </w:r>
          </w:p>
        </w:tc>
      </w:tr>
      <w:tr w:rsidR="002C17BD" w14:paraId="476455C9" w14:textId="77777777" w:rsidTr="002C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62219CCF" w14:textId="77777777" w:rsidR="002C17BD" w:rsidRPr="008150F5" w:rsidRDefault="002C17BD" w:rsidP="00820998">
            <w:pPr>
              <w:jc w:val="center"/>
              <w:rPr>
                <w:b w:val="0"/>
                <w:bCs w:val="0"/>
                <w:lang w:eastAsia="en-AU"/>
              </w:rPr>
            </w:pPr>
            <w:r w:rsidRPr="008150F5">
              <w:rPr>
                <w:lang w:eastAsia="en-AU"/>
              </w:rPr>
              <w:t>Low Density Samples</w:t>
            </w:r>
          </w:p>
        </w:tc>
        <w:tc>
          <w:tcPr>
            <w:tcW w:w="1758" w:type="dxa"/>
          </w:tcPr>
          <w:p w14:paraId="3E89A783" w14:textId="77777777" w:rsidR="002C17BD" w:rsidRPr="00F835A2" w:rsidRDefault="002C17BD" w:rsidP="00820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58" w:type="dxa"/>
          </w:tcPr>
          <w:p w14:paraId="41EC1F29"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758" w:type="dxa"/>
          </w:tcPr>
          <w:p w14:paraId="1A74482E"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758" w:type="dxa"/>
          </w:tcPr>
          <w:p w14:paraId="7A01CFD8"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758" w:type="dxa"/>
          </w:tcPr>
          <w:p w14:paraId="328F8815"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r>
      <w:tr w:rsidR="002C17BD" w14:paraId="79481FC3" w14:textId="77777777" w:rsidTr="002C17BD">
        <w:tc>
          <w:tcPr>
            <w:cnfStyle w:val="001000000000" w:firstRow="0" w:lastRow="0" w:firstColumn="1" w:lastColumn="0" w:oddVBand="0" w:evenVBand="0" w:oddHBand="0" w:evenHBand="0" w:firstRowFirstColumn="0" w:firstRowLastColumn="0" w:lastRowFirstColumn="0" w:lastRowLastColumn="0"/>
            <w:tcW w:w="1757" w:type="dxa"/>
          </w:tcPr>
          <w:p w14:paraId="6F3BD6C9" w14:textId="3A249CD1" w:rsidR="002C17BD" w:rsidRPr="008150F5" w:rsidRDefault="002C17BD" w:rsidP="002B26AF">
            <w:pPr>
              <w:jc w:val="center"/>
              <w:rPr>
                <w:b w:val="0"/>
                <w:bCs w:val="0"/>
                <w:lang w:eastAsia="en-AU"/>
              </w:rPr>
            </w:pPr>
            <w:r>
              <w:rPr>
                <w:b w:val="0"/>
                <w:bCs w:val="0"/>
              </w:rPr>
              <w:t>4</w:t>
            </w:r>
            <w:r w:rsidRPr="008150F5">
              <w:rPr>
                <w:b w:val="0"/>
                <w:bCs w:val="0"/>
              </w:rPr>
              <w:t>°C in SDP</w:t>
            </w:r>
            <w:r>
              <w:rPr>
                <w:b w:val="0"/>
                <w:bCs w:val="0"/>
              </w:rPr>
              <w:t>s</w:t>
            </w:r>
          </w:p>
        </w:tc>
        <w:tc>
          <w:tcPr>
            <w:tcW w:w="1758" w:type="dxa"/>
            <w:vAlign w:val="bottom"/>
          </w:tcPr>
          <w:p w14:paraId="65ABC3E5" w14:textId="77777777" w:rsidR="002C17BD" w:rsidRPr="00F835A2" w:rsidRDefault="002C17BD" w:rsidP="002B26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ptos Narrow" w:hAnsi="Aptos Narrow"/>
                <w:color w:val="000000"/>
              </w:rPr>
              <w:t>-1.32</w:t>
            </w:r>
          </w:p>
        </w:tc>
        <w:tc>
          <w:tcPr>
            <w:tcW w:w="1758" w:type="dxa"/>
            <w:vAlign w:val="bottom"/>
          </w:tcPr>
          <w:p w14:paraId="0987112B"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-1.64</w:t>
            </w:r>
          </w:p>
        </w:tc>
        <w:tc>
          <w:tcPr>
            <w:tcW w:w="1758" w:type="dxa"/>
            <w:vAlign w:val="bottom"/>
          </w:tcPr>
          <w:p w14:paraId="1DAA6475"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-1.70</w:t>
            </w:r>
          </w:p>
        </w:tc>
        <w:tc>
          <w:tcPr>
            <w:tcW w:w="1758" w:type="dxa"/>
            <w:vAlign w:val="bottom"/>
          </w:tcPr>
          <w:p w14:paraId="2CDC9B12"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-1.84</w:t>
            </w:r>
          </w:p>
        </w:tc>
        <w:tc>
          <w:tcPr>
            <w:tcW w:w="1758" w:type="dxa"/>
            <w:vAlign w:val="bottom"/>
          </w:tcPr>
          <w:p w14:paraId="2635CEB8"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-1.91</w:t>
            </w:r>
          </w:p>
        </w:tc>
      </w:tr>
      <w:tr w:rsidR="002C17BD" w14:paraId="5568E098" w14:textId="77777777" w:rsidTr="002C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5EF78183" w14:textId="29A0CDA7" w:rsidR="002C17BD" w:rsidRPr="008150F5" w:rsidRDefault="002C17BD" w:rsidP="002B26AF">
            <w:pPr>
              <w:jc w:val="center"/>
            </w:pPr>
            <w:r w:rsidRPr="008150F5">
              <w:rPr>
                <w:b w:val="0"/>
                <w:bCs w:val="0"/>
              </w:rPr>
              <w:t>30°C in SDP</w:t>
            </w:r>
            <w:r>
              <w:rPr>
                <w:b w:val="0"/>
                <w:bCs w:val="0"/>
              </w:rPr>
              <w:t>s</w:t>
            </w:r>
          </w:p>
        </w:tc>
        <w:tc>
          <w:tcPr>
            <w:tcW w:w="1758" w:type="dxa"/>
            <w:vAlign w:val="bottom"/>
          </w:tcPr>
          <w:p w14:paraId="58305A3A"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ptos Narrow" w:hAnsi="Aptos Narrow"/>
                <w:color w:val="000000"/>
              </w:rPr>
              <w:t>-2.28</w:t>
            </w:r>
          </w:p>
        </w:tc>
        <w:tc>
          <w:tcPr>
            <w:tcW w:w="1758" w:type="dxa"/>
            <w:vAlign w:val="bottom"/>
          </w:tcPr>
          <w:p w14:paraId="52024287" w14:textId="77777777" w:rsidR="002C17BD" w:rsidRPr="00E44E32"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-1.28</w:t>
            </w:r>
          </w:p>
        </w:tc>
        <w:tc>
          <w:tcPr>
            <w:tcW w:w="1758" w:type="dxa"/>
            <w:vAlign w:val="bottom"/>
          </w:tcPr>
          <w:p w14:paraId="3BBF1E9E" w14:textId="06E0647B" w:rsidR="002C17BD" w:rsidRPr="00E44E32"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Non-recoverable</w:t>
            </w:r>
          </w:p>
        </w:tc>
        <w:tc>
          <w:tcPr>
            <w:tcW w:w="1758" w:type="dxa"/>
            <w:vAlign w:val="bottom"/>
          </w:tcPr>
          <w:p w14:paraId="2E066A9E" w14:textId="77777777" w:rsidR="002C17BD" w:rsidRPr="00E44E32"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-2.28</w:t>
            </w:r>
          </w:p>
        </w:tc>
        <w:tc>
          <w:tcPr>
            <w:tcW w:w="1758" w:type="dxa"/>
            <w:vAlign w:val="bottom"/>
          </w:tcPr>
          <w:p w14:paraId="4734F35C" w14:textId="3EE9E628" w:rsidR="002C17BD" w:rsidRPr="00E44E32"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Non-recoverable</w:t>
            </w:r>
          </w:p>
        </w:tc>
      </w:tr>
      <w:tr w:rsidR="002C17BD" w14:paraId="4572CEB1" w14:textId="77777777" w:rsidTr="002C17BD">
        <w:tc>
          <w:tcPr>
            <w:cnfStyle w:val="001000000000" w:firstRow="0" w:lastRow="0" w:firstColumn="1" w:lastColumn="0" w:oddVBand="0" w:evenVBand="0" w:oddHBand="0" w:evenHBand="0" w:firstRowFirstColumn="0" w:firstRowLastColumn="0" w:lastRowFirstColumn="0" w:lastRowLastColumn="0"/>
            <w:tcW w:w="1757" w:type="dxa"/>
          </w:tcPr>
          <w:p w14:paraId="337D0EB2" w14:textId="77777777" w:rsidR="002C17BD" w:rsidRPr="008150F5" w:rsidRDefault="002C17BD" w:rsidP="002B26AF">
            <w:pPr>
              <w:jc w:val="center"/>
              <w:rPr>
                <w:b w:val="0"/>
                <w:bCs w:val="0"/>
                <w:lang w:eastAsia="en-AU"/>
              </w:rPr>
            </w:pPr>
            <w:r w:rsidRPr="008150F5">
              <w:rPr>
                <w:b w:val="0"/>
                <w:bCs w:val="0"/>
              </w:rPr>
              <w:t>-20°C in STGG</w:t>
            </w:r>
          </w:p>
        </w:tc>
        <w:tc>
          <w:tcPr>
            <w:tcW w:w="1758" w:type="dxa"/>
            <w:vAlign w:val="bottom"/>
          </w:tcPr>
          <w:p w14:paraId="5FA99695" w14:textId="77777777" w:rsidR="002C17BD" w:rsidRPr="00F835A2" w:rsidRDefault="002C17BD" w:rsidP="002B26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ptos Narrow" w:hAnsi="Aptos Narrow"/>
                <w:color w:val="000000"/>
              </w:rPr>
              <w:t>-0.44</w:t>
            </w:r>
          </w:p>
        </w:tc>
        <w:tc>
          <w:tcPr>
            <w:tcW w:w="1758" w:type="dxa"/>
            <w:vAlign w:val="bottom"/>
          </w:tcPr>
          <w:p w14:paraId="0802BCC1"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-0.62</w:t>
            </w:r>
          </w:p>
        </w:tc>
        <w:tc>
          <w:tcPr>
            <w:tcW w:w="1758" w:type="dxa"/>
            <w:vAlign w:val="bottom"/>
          </w:tcPr>
          <w:p w14:paraId="6C0FFDCB"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-0.56</w:t>
            </w:r>
          </w:p>
        </w:tc>
        <w:tc>
          <w:tcPr>
            <w:tcW w:w="1758" w:type="dxa"/>
            <w:vAlign w:val="bottom"/>
          </w:tcPr>
          <w:p w14:paraId="3C88521A"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-0.96</w:t>
            </w:r>
          </w:p>
        </w:tc>
        <w:tc>
          <w:tcPr>
            <w:tcW w:w="1758" w:type="dxa"/>
            <w:vAlign w:val="bottom"/>
          </w:tcPr>
          <w:p w14:paraId="54C284F0"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-0.90</w:t>
            </w:r>
          </w:p>
        </w:tc>
      </w:tr>
      <w:tr w:rsidR="002C17BD" w14:paraId="6C8DA30F" w14:textId="77777777" w:rsidTr="002C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60703E88" w14:textId="77777777" w:rsidR="002C17BD" w:rsidRPr="008150F5" w:rsidRDefault="002C17BD" w:rsidP="002B26AF">
            <w:pPr>
              <w:jc w:val="center"/>
              <w:rPr>
                <w:b w:val="0"/>
                <w:bCs w:val="0"/>
                <w:lang w:eastAsia="en-AU"/>
              </w:rPr>
            </w:pPr>
            <w:r>
              <w:rPr>
                <w:b w:val="0"/>
                <w:bCs w:val="0"/>
              </w:rPr>
              <w:t>4</w:t>
            </w:r>
            <w:r w:rsidRPr="008150F5">
              <w:rPr>
                <w:b w:val="0"/>
                <w:bCs w:val="0"/>
              </w:rPr>
              <w:t>°C in STGG</w:t>
            </w:r>
          </w:p>
        </w:tc>
        <w:tc>
          <w:tcPr>
            <w:tcW w:w="1758" w:type="dxa"/>
            <w:vAlign w:val="bottom"/>
          </w:tcPr>
          <w:p w14:paraId="4D1BC644"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-0.81</w:t>
            </w:r>
          </w:p>
        </w:tc>
        <w:tc>
          <w:tcPr>
            <w:tcW w:w="1758" w:type="dxa"/>
            <w:vAlign w:val="bottom"/>
          </w:tcPr>
          <w:p w14:paraId="3D91F6E5"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-1.03</w:t>
            </w:r>
          </w:p>
        </w:tc>
        <w:tc>
          <w:tcPr>
            <w:tcW w:w="1758" w:type="dxa"/>
            <w:vAlign w:val="bottom"/>
          </w:tcPr>
          <w:p w14:paraId="23B98104"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-1.17</w:t>
            </w:r>
          </w:p>
        </w:tc>
        <w:tc>
          <w:tcPr>
            <w:tcW w:w="1758" w:type="dxa"/>
            <w:vAlign w:val="bottom"/>
          </w:tcPr>
          <w:p w14:paraId="1E97376B"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-1.60</w:t>
            </w:r>
          </w:p>
        </w:tc>
        <w:tc>
          <w:tcPr>
            <w:tcW w:w="1758" w:type="dxa"/>
            <w:vAlign w:val="bottom"/>
          </w:tcPr>
          <w:p w14:paraId="2A35C9DB"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-1.59</w:t>
            </w:r>
          </w:p>
        </w:tc>
      </w:tr>
      <w:tr w:rsidR="002C17BD" w14:paraId="5318E376" w14:textId="77777777" w:rsidTr="002C17BD">
        <w:tc>
          <w:tcPr>
            <w:cnfStyle w:val="001000000000" w:firstRow="0" w:lastRow="0" w:firstColumn="1" w:lastColumn="0" w:oddVBand="0" w:evenVBand="0" w:oddHBand="0" w:evenHBand="0" w:firstRowFirstColumn="0" w:firstRowLastColumn="0" w:lastRowFirstColumn="0" w:lastRowLastColumn="0"/>
            <w:tcW w:w="1757" w:type="dxa"/>
          </w:tcPr>
          <w:p w14:paraId="10B561C0" w14:textId="77777777" w:rsidR="002C17BD" w:rsidRDefault="002C17BD" w:rsidP="00820998">
            <w:pPr>
              <w:jc w:val="center"/>
              <w:rPr>
                <w:b w:val="0"/>
                <w:bCs w:val="0"/>
              </w:rPr>
            </w:pPr>
          </w:p>
        </w:tc>
        <w:tc>
          <w:tcPr>
            <w:tcW w:w="1758" w:type="dxa"/>
          </w:tcPr>
          <w:p w14:paraId="1973BA6D" w14:textId="77777777" w:rsidR="002C17BD" w:rsidRDefault="002C17BD" w:rsidP="0082099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58" w:type="dxa"/>
          </w:tcPr>
          <w:p w14:paraId="07C39981" w14:textId="77777777" w:rsidR="002C17BD" w:rsidRDefault="002C17BD" w:rsidP="00820998">
            <w:pPr>
              <w:jc w:val="center"/>
              <w:cnfStyle w:val="000000000000" w:firstRow="0" w:lastRow="0" w:firstColumn="0" w:lastColumn="0" w:oddVBand="0" w:evenVBand="0" w:oddHBand="0" w:evenHBand="0" w:firstRowFirstColumn="0" w:firstRowLastColumn="0" w:lastRowFirstColumn="0" w:lastRowLastColumn="0"/>
              <w:rPr>
                <w:lang w:eastAsia="en-AU"/>
              </w:rPr>
            </w:pPr>
          </w:p>
        </w:tc>
        <w:tc>
          <w:tcPr>
            <w:tcW w:w="1758" w:type="dxa"/>
          </w:tcPr>
          <w:p w14:paraId="75E49C49" w14:textId="77777777" w:rsidR="002C17BD" w:rsidRDefault="002C17BD" w:rsidP="00820998">
            <w:pPr>
              <w:jc w:val="center"/>
              <w:cnfStyle w:val="000000000000" w:firstRow="0" w:lastRow="0" w:firstColumn="0" w:lastColumn="0" w:oddVBand="0" w:evenVBand="0" w:oddHBand="0" w:evenHBand="0" w:firstRowFirstColumn="0" w:firstRowLastColumn="0" w:lastRowFirstColumn="0" w:lastRowLastColumn="0"/>
              <w:rPr>
                <w:lang w:eastAsia="en-AU"/>
              </w:rPr>
            </w:pPr>
          </w:p>
        </w:tc>
        <w:tc>
          <w:tcPr>
            <w:tcW w:w="1758" w:type="dxa"/>
          </w:tcPr>
          <w:p w14:paraId="5E4CA616" w14:textId="77777777" w:rsidR="002C17BD" w:rsidRDefault="002C17BD" w:rsidP="00820998">
            <w:pPr>
              <w:jc w:val="center"/>
              <w:cnfStyle w:val="000000000000" w:firstRow="0" w:lastRow="0" w:firstColumn="0" w:lastColumn="0" w:oddVBand="0" w:evenVBand="0" w:oddHBand="0" w:evenHBand="0" w:firstRowFirstColumn="0" w:firstRowLastColumn="0" w:lastRowFirstColumn="0" w:lastRowLastColumn="0"/>
              <w:rPr>
                <w:lang w:eastAsia="en-AU"/>
              </w:rPr>
            </w:pPr>
          </w:p>
        </w:tc>
        <w:tc>
          <w:tcPr>
            <w:tcW w:w="1758" w:type="dxa"/>
          </w:tcPr>
          <w:p w14:paraId="3D8C86B7" w14:textId="77777777" w:rsidR="002C17BD" w:rsidRDefault="002C17BD" w:rsidP="00820998">
            <w:pPr>
              <w:jc w:val="center"/>
              <w:cnfStyle w:val="000000000000" w:firstRow="0" w:lastRow="0" w:firstColumn="0" w:lastColumn="0" w:oddVBand="0" w:evenVBand="0" w:oddHBand="0" w:evenHBand="0" w:firstRowFirstColumn="0" w:firstRowLastColumn="0" w:lastRowFirstColumn="0" w:lastRowLastColumn="0"/>
              <w:rPr>
                <w:lang w:eastAsia="en-AU"/>
              </w:rPr>
            </w:pPr>
          </w:p>
        </w:tc>
      </w:tr>
      <w:tr w:rsidR="002C17BD" w14:paraId="33E6DAA3" w14:textId="77777777" w:rsidTr="002C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7CDAFC8E" w14:textId="77777777" w:rsidR="002C17BD" w:rsidRDefault="002C17BD" w:rsidP="00820998">
            <w:pPr>
              <w:jc w:val="center"/>
              <w:rPr>
                <w:b w:val="0"/>
                <w:bCs w:val="0"/>
              </w:rPr>
            </w:pPr>
            <w:r>
              <w:rPr>
                <w:lang w:eastAsia="en-AU"/>
              </w:rPr>
              <w:t xml:space="preserve">Medium </w:t>
            </w:r>
            <w:r w:rsidRPr="008150F5">
              <w:rPr>
                <w:lang w:eastAsia="en-AU"/>
              </w:rPr>
              <w:t>Density Samples</w:t>
            </w:r>
          </w:p>
        </w:tc>
        <w:tc>
          <w:tcPr>
            <w:tcW w:w="1758" w:type="dxa"/>
          </w:tcPr>
          <w:p w14:paraId="7817D9DB"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58" w:type="dxa"/>
          </w:tcPr>
          <w:p w14:paraId="460D9394"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758" w:type="dxa"/>
          </w:tcPr>
          <w:p w14:paraId="11E379B2"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758" w:type="dxa"/>
          </w:tcPr>
          <w:p w14:paraId="5EC06ED7"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758" w:type="dxa"/>
          </w:tcPr>
          <w:p w14:paraId="17690B65" w14:textId="77777777" w:rsidR="002C17BD" w:rsidRDefault="002C17BD" w:rsidP="00820998">
            <w:pPr>
              <w:jc w:val="center"/>
              <w:cnfStyle w:val="000000100000" w:firstRow="0" w:lastRow="0" w:firstColumn="0" w:lastColumn="0" w:oddVBand="0" w:evenVBand="0" w:oddHBand="1" w:evenHBand="0" w:firstRowFirstColumn="0" w:firstRowLastColumn="0" w:lastRowFirstColumn="0" w:lastRowLastColumn="0"/>
              <w:rPr>
                <w:lang w:eastAsia="en-AU"/>
              </w:rPr>
            </w:pPr>
          </w:p>
        </w:tc>
      </w:tr>
      <w:tr w:rsidR="002C17BD" w14:paraId="37A03E52" w14:textId="77777777" w:rsidTr="002C17BD">
        <w:tc>
          <w:tcPr>
            <w:cnfStyle w:val="001000000000" w:firstRow="0" w:lastRow="0" w:firstColumn="1" w:lastColumn="0" w:oddVBand="0" w:evenVBand="0" w:oddHBand="0" w:evenHBand="0" w:firstRowFirstColumn="0" w:firstRowLastColumn="0" w:lastRowFirstColumn="0" w:lastRowLastColumn="0"/>
            <w:tcW w:w="1757" w:type="dxa"/>
          </w:tcPr>
          <w:p w14:paraId="3A5E7ADA" w14:textId="18FE3D56" w:rsidR="002C17BD" w:rsidRDefault="002C17BD" w:rsidP="002B26AF">
            <w:pPr>
              <w:jc w:val="center"/>
              <w:rPr>
                <w:b w:val="0"/>
                <w:bCs w:val="0"/>
              </w:rPr>
            </w:pPr>
            <w:r>
              <w:rPr>
                <w:b w:val="0"/>
                <w:bCs w:val="0"/>
              </w:rPr>
              <w:t>4</w:t>
            </w:r>
            <w:r w:rsidRPr="008150F5">
              <w:rPr>
                <w:b w:val="0"/>
                <w:bCs w:val="0"/>
              </w:rPr>
              <w:t>°C in SDP</w:t>
            </w:r>
            <w:r>
              <w:rPr>
                <w:b w:val="0"/>
                <w:bCs w:val="0"/>
              </w:rPr>
              <w:t>s</w:t>
            </w:r>
          </w:p>
        </w:tc>
        <w:tc>
          <w:tcPr>
            <w:tcW w:w="1758" w:type="dxa"/>
            <w:vAlign w:val="bottom"/>
          </w:tcPr>
          <w:p w14:paraId="559BDCA7"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ptos Narrow" w:hAnsi="Aptos Narrow"/>
                <w:color w:val="000000"/>
              </w:rPr>
              <w:t>-2.00</w:t>
            </w:r>
          </w:p>
        </w:tc>
        <w:tc>
          <w:tcPr>
            <w:tcW w:w="1758" w:type="dxa"/>
            <w:vAlign w:val="bottom"/>
          </w:tcPr>
          <w:p w14:paraId="576CDC3E"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-2.16</w:t>
            </w:r>
          </w:p>
        </w:tc>
        <w:tc>
          <w:tcPr>
            <w:tcW w:w="1758" w:type="dxa"/>
            <w:vAlign w:val="bottom"/>
          </w:tcPr>
          <w:p w14:paraId="064A0DBE"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-2.58</w:t>
            </w:r>
          </w:p>
        </w:tc>
        <w:tc>
          <w:tcPr>
            <w:tcW w:w="1758" w:type="dxa"/>
            <w:vAlign w:val="bottom"/>
          </w:tcPr>
          <w:p w14:paraId="61FDF5FB"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-2.52</w:t>
            </w:r>
          </w:p>
        </w:tc>
        <w:tc>
          <w:tcPr>
            <w:tcW w:w="1758" w:type="dxa"/>
            <w:vAlign w:val="bottom"/>
          </w:tcPr>
          <w:p w14:paraId="66D294B8"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-2.75</w:t>
            </w:r>
          </w:p>
        </w:tc>
      </w:tr>
      <w:tr w:rsidR="002C17BD" w14:paraId="14BF1CD8" w14:textId="77777777" w:rsidTr="002C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1983A3B6" w14:textId="6C83D286" w:rsidR="002C17BD" w:rsidRDefault="002C17BD" w:rsidP="002B26AF">
            <w:pPr>
              <w:jc w:val="center"/>
              <w:rPr>
                <w:b w:val="0"/>
                <w:bCs w:val="0"/>
              </w:rPr>
            </w:pPr>
            <w:r w:rsidRPr="008150F5">
              <w:rPr>
                <w:b w:val="0"/>
                <w:bCs w:val="0"/>
              </w:rPr>
              <w:t>30°C in SDP</w:t>
            </w:r>
            <w:r>
              <w:rPr>
                <w:b w:val="0"/>
                <w:bCs w:val="0"/>
              </w:rPr>
              <w:t>s</w:t>
            </w:r>
          </w:p>
        </w:tc>
        <w:tc>
          <w:tcPr>
            <w:tcW w:w="1758" w:type="dxa"/>
            <w:vAlign w:val="bottom"/>
          </w:tcPr>
          <w:p w14:paraId="6A2C4160"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ptos Narrow" w:hAnsi="Aptos Narrow"/>
                <w:color w:val="000000"/>
              </w:rPr>
              <w:t>-3.15</w:t>
            </w:r>
          </w:p>
        </w:tc>
        <w:tc>
          <w:tcPr>
            <w:tcW w:w="1758" w:type="dxa"/>
            <w:vAlign w:val="bottom"/>
          </w:tcPr>
          <w:p w14:paraId="3ED4EBEC"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-2.60</w:t>
            </w:r>
          </w:p>
        </w:tc>
        <w:tc>
          <w:tcPr>
            <w:tcW w:w="1758" w:type="dxa"/>
          </w:tcPr>
          <w:p w14:paraId="096B93BB" w14:textId="5FB3A84D"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Non-recoverable</w:t>
            </w:r>
          </w:p>
        </w:tc>
        <w:tc>
          <w:tcPr>
            <w:tcW w:w="1758" w:type="dxa"/>
          </w:tcPr>
          <w:p w14:paraId="7F0F1BFC" w14:textId="71F8E9AF"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Non-recoverable</w:t>
            </w:r>
          </w:p>
        </w:tc>
        <w:tc>
          <w:tcPr>
            <w:tcW w:w="1758" w:type="dxa"/>
          </w:tcPr>
          <w:p w14:paraId="01B19573" w14:textId="6926F6D3"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Non-recoverable</w:t>
            </w:r>
          </w:p>
        </w:tc>
      </w:tr>
      <w:tr w:rsidR="002C17BD" w14:paraId="16907759" w14:textId="77777777" w:rsidTr="002C17BD">
        <w:tc>
          <w:tcPr>
            <w:cnfStyle w:val="001000000000" w:firstRow="0" w:lastRow="0" w:firstColumn="1" w:lastColumn="0" w:oddVBand="0" w:evenVBand="0" w:oddHBand="0" w:evenHBand="0" w:firstRowFirstColumn="0" w:firstRowLastColumn="0" w:lastRowFirstColumn="0" w:lastRowLastColumn="0"/>
            <w:tcW w:w="1757" w:type="dxa"/>
          </w:tcPr>
          <w:p w14:paraId="02C24991" w14:textId="77777777" w:rsidR="002C17BD" w:rsidRDefault="002C17BD" w:rsidP="002B26AF">
            <w:pPr>
              <w:jc w:val="center"/>
              <w:rPr>
                <w:b w:val="0"/>
                <w:bCs w:val="0"/>
              </w:rPr>
            </w:pPr>
            <w:r w:rsidRPr="008150F5">
              <w:rPr>
                <w:b w:val="0"/>
                <w:bCs w:val="0"/>
              </w:rPr>
              <w:t>-20°C in STGG</w:t>
            </w:r>
          </w:p>
        </w:tc>
        <w:tc>
          <w:tcPr>
            <w:tcW w:w="1758" w:type="dxa"/>
            <w:vAlign w:val="bottom"/>
          </w:tcPr>
          <w:p w14:paraId="728CE18A"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ptos Narrow" w:hAnsi="Aptos Narrow"/>
                <w:color w:val="000000"/>
              </w:rPr>
              <w:t>-0.63</w:t>
            </w:r>
          </w:p>
        </w:tc>
        <w:tc>
          <w:tcPr>
            <w:tcW w:w="1758" w:type="dxa"/>
            <w:vAlign w:val="bottom"/>
          </w:tcPr>
          <w:p w14:paraId="21B56F3C"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-0.99</w:t>
            </w:r>
          </w:p>
        </w:tc>
        <w:tc>
          <w:tcPr>
            <w:tcW w:w="1758" w:type="dxa"/>
            <w:vAlign w:val="bottom"/>
          </w:tcPr>
          <w:p w14:paraId="48792431"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-1.19</w:t>
            </w:r>
          </w:p>
        </w:tc>
        <w:tc>
          <w:tcPr>
            <w:tcW w:w="1758" w:type="dxa"/>
            <w:vAlign w:val="bottom"/>
          </w:tcPr>
          <w:p w14:paraId="6A6E4C02"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-1.25</w:t>
            </w:r>
          </w:p>
        </w:tc>
        <w:tc>
          <w:tcPr>
            <w:tcW w:w="1758" w:type="dxa"/>
            <w:vAlign w:val="bottom"/>
          </w:tcPr>
          <w:p w14:paraId="2466CB42" w14:textId="77777777" w:rsidR="002C17BD" w:rsidRDefault="002C17BD" w:rsidP="002B26AF">
            <w:pPr>
              <w:jc w:val="center"/>
              <w:cnfStyle w:val="000000000000" w:firstRow="0" w:lastRow="0" w:firstColumn="0" w:lastColumn="0" w:oddVBand="0" w:evenVBand="0" w:oddHBand="0" w:evenHBand="0" w:firstRowFirstColumn="0" w:firstRowLastColumn="0" w:lastRowFirstColumn="0" w:lastRowLastColumn="0"/>
              <w:rPr>
                <w:lang w:eastAsia="en-AU"/>
              </w:rPr>
            </w:pPr>
            <w:r>
              <w:rPr>
                <w:rFonts w:ascii="Aptos Narrow" w:hAnsi="Aptos Narrow"/>
                <w:color w:val="000000"/>
              </w:rPr>
              <w:t>-1.41</w:t>
            </w:r>
          </w:p>
        </w:tc>
      </w:tr>
      <w:tr w:rsidR="002C17BD" w14:paraId="47A2EA5E" w14:textId="77777777" w:rsidTr="002C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14:paraId="3F3F590A" w14:textId="77777777" w:rsidR="002C17BD" w:rsidRDefault="002C17BD" w:rsidP="002B26AF">
            <w:pPr>
              <w:jc w:val="center"/>
              <w:rPr>
                <w:b w:val="0"/>
                <w:bCs w:val="0"/>
                <w:lang w:eastAsia="en-AU"/>
              </w:rPr>
            </w:pPr>
            <w:r>
              <w:rPr>
                <w:b w:val="0"/>
                <w:bCs w:val="0"/>
              </w:rPr>
              <w:t>4</w:t>
            </w:r>
            <w:r w:rsidRPr="008150F5">
              <w:rPr>
                <w:b w:val="0"/>
                <w:bCs w:val="0"/>
              </w:rPr>
              <w:t>°C in STGG</w:t>
            </w:r>
          </w:p>
        </w:tc>
        <w:tc>
          <w:tcPr>
            <w:tcW w:w="1758" w:type="dxa"/>
            <w:vAlign w:val="bottom"/>
          </w:tcPr>
          <w:p w14:paraId="7C47A7F3"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-1.00</w:t>
            </w:r>
          </w:p>
        </w:tc>
        <w:tc>
          <w:tcPr>
            <w:tcW w:w="1758" w:type="dxa"/>
            <w:vAlign w:val="bottom"/>
          </w:tcPr>
          <w:p w14:paraId="640314E1"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-1.51</w:t>
            </w:r>
          </w:p>
        </w:tc>
        <w:tc>
          <w:tcPr>
            <w:tcW w:w="1758" w:type="dxa"/>
            <w:vAlign w:val="bottom"/>
          </w:tcPr>
          <w:p w14:paraId="6544E277"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-2.08</w:t>
            </w:r>
          </w:p>
        </w:tc>
        <w:tc>
          <w:tcPr>
            <w:tcW w:w="1758" w:type="dxa"/>
            <w:vAlign w:val="bottom"/>
          </w:tcPr>
          <w:p w14:paraId="1EB0CA32"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-2.06</w:t>
            </w:r>
          </w:p>
        </w:tc>
        <w:tc>
          <w:tcPr>
            <w:tcW w:w="1758" w:type="dxa"/>
            <w:vAlign w:val="bottom"/>
          </w:tcPr>
          <w:p w14:paraId="7F49A744" w14:textId="77777777" w:rsidR="002C17BD" w:rsidRDefault="002C17BD" w:rsidP="002B26AF">
            <w:pPr>
              <w:jc w:val="center"/>
              <w:cnfStyle w:val="000000100000" w:firstRow="0" w:lastRow="0" w:firstColumn="0" w:lastColumn="0" w:oddVBand="0" w:evenVBand="0" w:oddHBand="1" w:evenHBand="0" w:firstRowFirstColumn="0" w:firstRowLastColumn="0" w:lastRowFirstColumn="0" w:lastRowLastColumn="0"/>
              <w:rPr>
                <w:lang w:eastAsia="en-AU"/>
              </w:rPr>
            </w:pPr>
            <w:r>
              <w:rPr>
                <w:rFonts w:ascii="Aptos Narrow" w:hAnsi="Aptos Narrow"/>
                <w:color w:val="000000"/>
              </w:rPr>
              <w:t>-2.63</w:t>
            </w:r>
          </w:p>
        </w:tc>
      </w:tr>
    </w:tbl>
    <w:p w14:paraId="5005EBFE" w14:textId="77777777" w:rsidR="002C17BD" w:rsidRDefault="002C17BD" w:rsidP="0044220C">
      <w:pPr>
        <w:spacing w:after="0"/>
        <w:jc w:val="both"/>
        <w:rPr>
          <w:b/>
          <w:bCs/>
        </w:rPr>
      </w:pPr>
    </w:p>
    <w:p w14:paraId="0E3B52EE" w14:textId="77777777" w:rsidR="002C17BD" w:rsidRDefault="002C17BD" w:rsidP="0044220C">
      <w:pPr>
        <w:spacing w:after="0"/>
        <w:jc w:val="both"/>
        <w:rPr>
          <w:b/>
          <w:bCs/>
        </w:rPr>
      </w:pPr>
    </w:p>
    <w:p w14:paraId="14E93E45" w14:textId="77777777" w:rsidR="002C17BD" w:rsidRDefault="002C17BD" w:rsidP="0044220C">
      <w:pPr>
        <w:spacing w:after="0"/>
        <w:jc w:val="both"/>
        <w:rPr>
          <w:b/>
          <w:bCs/>
        </w:rPr>
      </w:pPr>
    </w:p>
    <w:p w14:paraId="53068D52" w14:textId="77777777" w:rsidR="002C17BD" w:rsidRDefault="002C17BD" w:rsidP="0044220C">
      <w:pPr>
        <w:spacing w:after="0"/>
        <w:jc w:val="both"/>
        <w:rPr>
          <w:b/>
          <w:bCs/>
        </w:rPr>
      </w:pPr>
    </w:p>
    <w:p w14:paraId="3D685BBB" w14:textId="77777777" w:rsidR="002C17BD" w:rsidRDefault="002C17BD" w:rsidP="0044220C">
      <w:pPr>
        <w:spacing w:after="0"/>
        <w:jc w:val="both"/>
        <w:rPr>
          <w:b/>
          <w:bCs/>
        </w:rPr>
      </w:pPr>
    </w:p>
    <w:p w14:paraId="6793DFB6" w14:textId="77777777" w:rsidR="002C17BD" w:rsidRDefault="002C17BD" w:rsidP="0044220C">
      <w:pPr>
        <w:spacing w:after="0"/>
        <w:jc w:val="both"/>
        <w:rPr>
          <w:b/>
          <w:bCs/>
        </w:rPr>
      </w:pPr>
    </w:p>
    <w:p w14:paraId="2EFA2D99" w14:textId="77777777" w:rsidR="002C17BD" w:rsidRDefault="002C17BD" w:rsidP="0044220C">
      <w:pPr>
        <w:spacing w:after="0"/>
        <w:jc w:val="both"/>
        <w:rPr>
          <w:b/>
          <w:bCs/>
        </w:rPr>
      </w:pPr>
    </w:p>
    <w:p w14:paraId="4EB41050" w14:textId="77777777" w:rsidR="002C17BD" w:rsidRDefault="002C17BD" w:rsidP="0044220C">
      <w:pPr>
        <w:spacing w:after="0"/>
        <w:jc w:val="both"/>
        <w:rPr>
          <w:b/>
          <w:bCs/>
        </w:rPr>
      </w:pPr>
    </w:p>
    <w:p w14:paraId="6CE29CB5" w14:textId="77777777" w:rsidR="002C17BD" w:rsidRDefault="002C17BD" w:rsidP="0044220C">
      <w:pPr>
        <w:spacing w:after="0"/>
        <w:jc w:val="both"/>
        <w:rPr>
          <w:b/>
          <w:bCs/>
        </w:rPr>
      </w:pPr>
    </w:p>
    <w:p w14:paraId="4CA2CF2D" w14:textId="77777777" w:rsidR="002C17BD" w:rsidRDefault="002C17BD" w:rsidP="0044220C">
      <w:pPr>
        <w:spacing w:after="0"/>
        <w:jc w:val="both"/>
        <w:rPr>
          <w:b/>
          <w:bCs/>
        </w:rPr>
      </w:pPr>
    </w:p>
    <w:p w14:paraId="1CF2E244" w14:textId="77777777" w:rsidR="002C17BD" w:rsidRDefault="002C17BD" w:rsidP="0044220C">
      <w:pPr>
        <w:spacing w:after="0"/>
        <w:jc w:val="both"/>
        <w:rPr>
          <w:b/>
          <w:bCs/>
        </w:rPr>
      </w:pPr>
    </w:p>
    <w:p w14:paraId="2CDF1A47" w14:textId="77777777" w:rsidR="002C17BD" w:rsidRDefault="002C17BD" w:rsidP="0044220C">
      <w:pPr>
        <w:spacing w:after="0"/>
        <w:jc w:val="both"/>
        <w:rPr>
          <w:b/>
          <w:bCs/>
        </w:rPr>
      </w:pPr>
    </w:p>
    <w:p w14:paraId="05FFEBE4" w14:textId="77777777" w:rsidR="002C17BD" w:rsidRDefault="002C17BD" w:rsidP="0044220C">
      <w:pPr>
        <w:spacing w:after="0"/>
        <w:jc w:val="both"/>
        <w:rPr>
          <w:b/>
          <w:bCs/>
        </w:rPr>
      </w:pPr>
    </w:p>
    <w:p w14:paraId="1ABF7C12" w14:textId="77777777" w:rsidR="002C17BD" w:rsidRDefault="002C17BD" w:rsidP="0044220C">
      <w:pPr>
        <w:spacing w:after="0"/>
        <w:jc w:val="both"/>
        <w:rPr>
          <w:b/>
          <w:bCs/>
        </w:rPr>
      </w:pPr>
    </w:p>
    <w:p w14:paraId="1DAD7E1B" w14:textId="77777777" w:rsidR="002C17BD" w:rsidRDefault="002C17BD" w:rsidP="0044220C">
      <w:pPr>
        <w:spacing w:after="0"/>
        <w:jc w:val="both"/>
        <w:rPr>
          <w:b/>
          <w:bCs/>
        </w:rPr>
      </w:pPr>
    </w:p>
    <w:p w14:paraId="56C159C5" w14:textId="77777777" w:rsidR="002C17BD" w:rsidRDefault="002C17BD" w:rsidP="0044220C">
      <w:pPr>
        <w:spacing w:after="0"/>
        <w:jc w:val="both"/>
        <w:rPr>
          <w:b/>
          <w:bCs/>
        </w:rPr>
      </w:pPr>
    </w:p>
    <w:p w14:paraId="08CDF80F" w14:textId="77777777" w:rsidR="002C17BD" w:rsidRDefault="002C17BD" w:rsidP="0044220C">
      <w:pPr>
        <w:spacing w:after="0"/>
        <w:jc w:val="both"/>
        <w:rPr>
          <w:b/>
          <w:bCs/>
        </w:rPr>
      </w:pPr>
    </w:p>
    <w:p w14:paraId="28A2000C" w14:textId="77777777" w:rsidR="002C17BD" w:rsidRDefault="002C17BD" w:rsidP="0044220C">
      <w:pPr>
        <w:spacing w:after="0"/>
        <w:jc w:val="both"/>
        <w:rPr>
          <w:b/>
          <w:bCs/>
        </w:rPr>
      </w:pPr>
    </w:p>
    <w:p w14:paraId="1C738D41" w14:textId="77777777" w:rsidR="002C17BD" w:rsidRDefault="002C17BD" w:rsidP="0044220C">
      <w:pPr>
        <w:spacing w:after="0"/>
        <w:jc w:val="both"/>
        <w:rPr>
          <w:b/>
          <w:bCs/>
        </w:rPr>
      </w:pPr>
    </w:p>
    <w:p w14:paraId="22BB6468" w14:textId="77777777" w:rsidR="002C17BD" w:rsidRDefault="002C17BD" w:rsidP="0044220C">
      <w:pPr>
        <w:spacing w:after="0"/>
        <w:jc w:val="both"/>
        <w:rPr>
          <w:b/>
          <w:bCs/>
        </w:rPr>
      </w:pPr>
    </w:p>
    <w:p w14:paraId="617EFAC4" w14:textId="77777777" w:rsidR="002C17BD" w:rsidRDefault="002C17BD" w:rsidP="0044220C">
      <w:pPr>
        <w:spacing w:after="0"/>
        <w:jc w:val="both"/>
        <w:rPr>
          <w:b/>
          <w:bCs/>
        </w:rPr>
      </w:pPr>
    </w:p>
    <w:p w14:paraId="138643FA" w14:textId="77777777" w:rsidR="002C17BD" w:rsidRDefault="002C17BD" w:rsidP="0044220C">
      <w:pPr>
        <w:spacing w:after="0"/>
        <w:jc w:val="both"/>
        <w:rPr>
          <w:b/>
          <w:bCs/>
        </w:rPr>
      </w:pPr>
    </w:p>
    <w:p w14:paraId="5EBCDA4C" w14:textId="77777777" w:rsidR="002C17BD" w:rsidRDefault="002C17BD" w:rsidP="0044220C">
      <w:pPr>
        <w:spacing w:after="0"/>
        <w:jc w:val="both"/>
        <w:rPr>
          <w:b/>
          <w:bCs/>
        </w:rPr>
      </w:pPr>
    </w:p>
    <w:p w14:paraId="04EDB584" w14:textId="77777777" w:rsidR="002C17BD" w:rsidRDefault="002C17BD" w:rsidP="0044220C">
      <w:pPr>
        <w:spacing w:after="0"/>
        <w:jc w:val="both"/>
        <w:rPr>
          <w:b/>
          <w:bCs/>
        </w:rPr>
      </w:pPr>
    </w:p>
    <w:p w14:paraId="324D442A" w14:textId="77777777" w:rsidR="002C17BD" w:rsidRDefault="002C17BD" w:rsidP="0044220C">
      <w:pPr>
        <w:spacing w:after="0"/>
        <w:jc w:val="both"/>
        <w:rPr>
          <w:b/>
          <w:bCs/>
        </w:rPr>
      </w:pPr>
    </w:p>
    <w:p w14:paraId="460931FD" w14:textId="77777777" w:rsidR="002C17BD" w:rsidRDefault="002C17BD" w:rsidP="0044220C">
      <w:pPr>
        <w:spacing w:after="0"/>
        <w:jc w:val="both"/>
        <w:rPr>
          <w:b/>
          <w:bCs/>
        </w:rPr>
      </w:pPr>
    </w:p>
    <w:p w14:paraId="69CF9E89" w14:textId="77777777" w:rsidR="002C17BD" w:rsidRDefault="002C17BD" w:rsidP="0044220C">
      <w:pPr>
        <w:spacing w:after="0"/>
        <w:jc w:val="both"/>
        <w:rPr>
          <w:b/>
          <w:bCs/>
        </w:rPr>
      </w:pPr>
    </w:p>
    <w:p w14:paraId="5D01CFA0" w14:textId="77777777" w:rsidR="002C17BD" w:rsidRDefault="002C17BD" w:rsidP="004515C7">
      <w:pPr>
        <w:spacing w:after="0"/>
        <w:jc w:val="both"/>
      </w:pPr>
      <w:r w:rsidRPr="00B353EC">
        <w:rPr>
          <w:b/>
          <w:bCs/>
        </w:rPr>
        <w:lastRenderedPageBreak/>
        <w:t xml:space="preserve">Supplementary Table </w:t>
      </w:r>
      <w:r>
        <w:rPr>
          <w:b/>
          <w:bCs/>
        </w:rPr>
        <w:t>4</w:t>
      </w:r>
      <w:r w:rsidRPr="00B353EC">
        <w:rPr>
          <w:b/>
          <w:bCs/>
        </w:rPr>
        <w:t>.</w:t>
      </w:r>
      <w:r w:rsidRPr="00B353EC">
        <w:t xml:space="preserve">  </w:t>
      </w:r>
      <w:r>
        <w:t xml:space="preserve">Difference in the mean density of samples between assessed alternative methods and baseline inoculum.  </w:t>
      </w:r>
    </w:p>
    <w:tbl>
      <w:tblPr>
        <w:tblStyle w:val="PlainTable2"/>
        <w:tblW w:w="9073" w:type="dxa"/>
        <w:tblLook w:val="04A0" w:firstRow="1" w:lastRow="0" w:firstColumn="1" w:lastColumn="0" w:noHBand="0" w:noVBand="1"/>
      </w:tblPr>
      <w:tblGrid>
        <w:gridCol w:w="3261"/>
        <w:gridCol w:w="4536"/>
        <w:gridCol w:w="1276"/>
      </w:tblGrid>
      <w:tr w:rsidR="002C17BD" w14:paraId="6CD20D8A" w14:textId="77777777" w:rsidTr="00451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9870F82" w14:textId="77777777" w:rsidR="002C17BD" w:rsidRDefault="002C17BD" w:rsidP="000E6A04">
            <w:pPr>
              <w:jc w:val="center"/>
              <w:rPr>
                <w:lang w:eastAsia="en-AU"/>
              </w:rPr>
            </w:pPr>
          </w:p>
        </w:tc>
        <w:tc>
          <w:tcPr>
            <w:tcW w:w="4536" w:type="dxa"/>
          </w:tcPr>
          <w:p w14:paraId="3D6AB4A9" w14:textId="77777777" w:rsidR="002C17BD" w:rsidRDefault="002C17BD" w:rsidP="000E6A04">
            <w:pPr>
              <w:jc w:val="center"/>
              <w:cnfStyle w:val="100000000000" w:firstRow="1" w:lastRow="0" w:firstColumn="0" w:lastColumn="0" w:oddVBand="0" w:evenVBand="0" w:oddHBand="0" w:evenHBand="0" w:firstRowFirstColumn="0" w:firstRowLastColumn="0" w:lastRowFirstColumn="0" w:lastRowLastColumn="0"/>
              <w:rPr>
                <w:lang w:eastAsia="en-AU"/>
              </w:rPr>
            </w:pPr>
            <w:r>
              <w:t>Mean Density ± SD log10 GE/ml, 95% CI</w:t>
            </w:r>
          </w:p>
        </w:tc>
        <w:tc>
          <w:tcPr>
            <w:tcW w:w="1276" w:type="dxa"/>
          </w:tcPr>
          <w:p w14:paraId="41A18758" w14:textId="77777777" w:rsidR="002C17BD" w:rsidRDefault="002C17BD" w:rsidP="000E6A04">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P-Value</w:t>
            </w:r>
          </w:p>
        </w:tc>
      </w:tr>
      <w:tr w:rsidR="002C17BD" w14:paraId="52EB63CB"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15E476A" w14:textId="77777777" w:rsidR="002C17BD" w:rsidRPr="008150F5" w:rsidRDefault="002C17BD" w:rsidP="000E6A04">
            <w:pPr>
              <w:jc w:val="center"/>
              <w:rPr>
                <w:lang w:eastAsia="en-AU"/>
              </w:rPr>
            </w:pPr>
            <w:r w:rsidRPr="008150F5">
              <w:rPr>
                <w:lang w:eastAsia="en-AU"/>
              </w:rPr>
              <w:t xml:space="preserve">Low </w:t>
            </w:r>
            <w:r>
              <w:rPr>
                <w:lang w:eastAsia="en-AU"/>
              </w:rPr>
              <w:t>Load</w:t>
            </w:r>
            <w:r w:rsidRPr="008150F5">
              <w:rPr>
                <w:lang w:eastAsia="en-AU"/>
              </w:rPr>
              <w:t xml:space="preserve"> Samples</w:t>
            </w:r>
          </w:p>
        </w:tc>
        <w:tc>
          <w:tcPr>
            <w:tcW w:w="4536" w:type="dxa"/>
          </w:tcPr>
          <w:p w14:paraId="28E69715" w14:textId="77777777" w:rsidR="002C17BD" w:rsidRDefault="002C17BD" w:rsidP="000E6A04">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276" w:type="dxa"/>
          </w:tcPr>
          <w:p w14:paraId="313ED7D9" w14:textId="77777777" w:rsidR="002C17BD" w:rsidRDefault="002C17BD" w:rsidP="000E6A04">
            <w:pPr>
              <w:jc w:val="center"/>
              <w:cnfStyle w:val="000000100000" w:firstRow="0" w:lastRow="0" w:firstColumn="0" w:lastColumn="0" w:oddVBand="0" w:evenVBand="0" w:oddHBand="1" w:evenHBand="0" w:firstRowFirstColumn="0" w:firstRowLastColumn="0" w:lastRowFirstColumn="0" w:lastRowLastColumn="0"/>
              <w:rPr>
                <w:lang w:eastAsia="en-AU"/>
              </w:rPr>
            </w:pPr>
          </w:p>
        </w:tc>
      </w:tr>
      <w:tr w:rsidR="002C17BD" w14:paraId="2C913060" w14:textId="77777777" w:rsidTr="004515C7">
        <w:tc>
          <w:tcPr>
            <w:cnfStyle w:val="001000000000" w:firstRow="0" w:lastRow="0" w:firstColumn="1" w:lastColumn="0" w:oddVBand="0" w:evenVBand="0" w:oddHBand="0" w:evenHBand="0" w:firstRowFirstColumn="0" w:firstRowLastColumn="0" w:lastRowFirstColumn="0" w:lastRowLastColumn="0"/>
            <w:tcW w:w="3261" w:type="dxa"/>
          </w:tcPr>
          <w:p w14:paraId="2B6032EC" w14:textId="0F22BEFA" w:rsidR="002C17BD" w:rsidRPr="008150F5" w:rsidRDefault="002C17BD" w:rsidP="000E6A04">
            <w:pPr>
              <w:jc w:val="center"/>
              <w:rPr>
                <w:b w:val="0"/>
                <w:bCs w:val="0"/>
                <w:lang w:eastAsia="en-AU"/>
              </w:rPr>
            </w:pPr>
            <w:r w:rsidRPr="008150F5">
              <w:rPr>
                <w:b w:val="0"/>
                <w:bCs w:val="0"/>
              </w:rPr>
              <w:t>30°C in SDP</w:t>
            </w:r>
            <w:r>
              <w:rPr>
                <w:b w:val="0"/>
                <w:bCs w:val="0"/>
              </w:rPr>
              <w:t>s</w:t>
            </w:r>
          </w:p>
        </w:tc>
        <w:tc>
          <w:tcPr>
            <w:tcW w:w="4536" w:type="dxa"/>
          </w:tcPr>
          <w:p w14:paraId="248E48D9" w14:textId="77777777" w:rsidR="002C17BD" w:rsidRDefault="002C17BD" w:rsidP="000E6A04">
            <w:pPr>
              <w:jc w:val="center"/>
              <w:cnfStyle w:val="000000000000" w:firstRow="0" w:lastRow="0" w:firstColumn="0" w:lastColumn="0" w:oddVBand="0" w:evenVBand="0" w:oddHBand="0" w:evenHBand="0" w:firstRowFirstColumn="0" w:firstRowLastColumn="0" w:lastRowFirstColumn="0" w:lastRowLastColumn="0"/>
              <w:rPr>
                <w:lang w:eastAsia="en-AU"/>
              </w:rPr>
            </w:pPr>
            <w:r>
              <w:t>5.26 ± 0.52 log</w:t>
            </w:r>
            <w:r w:rsidRPr="004515C7">
              <w:rPr>
                <w:vertAlign w:val="subscript"/>
              </w:rPr>
              <w:t>10</w:t>
            </w:r>
            <w:r>
              <w:t xml:space="preserve"> GE/ml [4.96, 5.56]</w:t>
            </w:r>
          </w:p>
        </w:tc>
        <w:tc>
          <w:tcPr>
            <w:tcW w:w="1276" w:type="dxa"/>
          </w:tcPr>
          <w:p w14:paraId="018D80C1" w14:textId="77777777" w:rsidR="002C17BD" w:rsidRPr="008150F5" w:rsidRDefault="002C17BD" w:rsidP="000E6A04">
            <w:pPr>
              <w:jc w:val="center"/>
              <w:cnfStyle w:val="000000000000" w:firstRow="0" w:lastRow="0" w:firstColumn="0" w:lastColumn="0" w:oddVBand="0" w:evenVBand="0" w:oddHBand="0" w:evenHBand="0" w:firstRowFirstColumn="0" w:firstRowLastColumn="0" w:lastRowFirstColumn="0" w:lastRowLastColumn="0"/>
              <w:rPr>
                <w:b/>
                <w:bCs/>
                <w:lang w:eastAsia="en-AU"/>
              </w:rPr>
            </w:pPr>
            <w:r>
              <w:t>p = 0.22</w:t>
            </w:r>
          </w:p>
        </w:tc>
      </w:tr>
      <w:tr w:rsidR="002C17BD" w14:paraId="38DB3AC8"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8F9988F" w14:textId="77777777" w:rsidR="002C17BD" w:rsidRPr="008150F5" w:rsidRDefault="002C17BD" w:rsidP="000E6A04">
            <w:pPr>
              <w:jc w:val="center"/>
              <w:rPr>
                <w:b w:val="0"/>
                <w:bCs w:val="0"/>
              </w:rPr>
            </w:pPr>
            <w:r w:rsidRPr="008150F5">
              <w:rPr>
                <w:b w:val="0"/>
                <w:bCs w:val="0"/>
              </w:rPr>
              <w:t>-20°C in STGG</w:t>
            </w:r>
          </w:p>
        </w:tc>
        <w:tc>
          <w:tcPr>
            <w:tcW w:w="4536" w:type="dxa"/>
          </w:tcPr>
          <w:p w14:paraId="7A5E8870" w14:textId="77777777" w:rsidR="002C17BD" w:rsidRDefault="002C17BD" w:rsidP="000E6A04">
            <w:pPr>
              <w:jc w:val="center"/>
              <w:cnfStyle w:val="000000100000" w:firstRow="0" w:lastRow="0" w:firstColumn="0" w:lastColumn="0" w:oddVBand="0" w:evenVBand="0" w:oddHBand="1" w:evenHBand="0" w:firstRowFirstColumn="0" w:firstRowLastColumn="0" w:lastRowFirstColumn="0" w:lastRowLastColumn="0"/>
              <w:rPr>
                <w:lang w:eastAsia="en-AU"/>
              </w:rPr>
            </w:pPr>
            <w:r>
              <w:t>5.76 ± 0.44 log</w:t>
            </w:r>
            <w:r w:rsidRPr="004515C7">
              <w:rPr>
                <w:vertAlign w:val="subscript"/>
              </w:rPr>
              <w:t>10</w:t>
            </w:r>
            <w:r>
              <w:t xml:space="preserve"> GE/ml [5.51, 5.60]</w:t>
            </w:r>
          </w:p>
        </w:tc>
        <w:tc>
          <w:tcPr>
            <w:tcW w:w="1276" w:type="dxa"/>
          </w:tcPr>
          <w:p w14:paraId="17A53B28" w14:textId="3330EED3" w:rsidR="002C17BD" w:rsidRDefault="002C17BD" w:rsidP="000E6A04">
            <w:pPr>
              <w:jc w:val="center"/>
              <w:cnfStyle w:val="000000100000" w:firstRow="0" w:lastRow="0" w:firstColumn="0" w:lastColumn="0" w:oddVBand="0" w:evenVBand="0" w:oddHBand="1" w:evenHBand="0" w:firstRowFirstColumn="0" w:firstRowLastColumn="0" w:lastRowFirstColumn="0" w:lastRowLastColumn="0"/>
              <w:rPr>
                <w:lang w:eastAsia="en-AU"/>
              </w:rPr>
            </w:pPr>
            <w:r>
              <w:t>p = 0.06</w:t>
            </w:r>
          </w:p>
        </w:tc>
      </w:tr>
      <w:tr w:rsidR="002C17BD" w14:paraId="6EE37643" w14:textId="77777777" w:rsidTr="004515C7">
        <w:tc>
          <w:tcPr>
            <w:cnfStyle w:val="001000000000" w:firstRow="0" w:lastRow="0" w:firstColumn="1" w:lastColumn="0" w:oddVBand="0" w:evenVBand="0" w:oddHBand="0" w:evenHBand="0" w:firstRowFirstColumn="0" w:firstRowLastColumn="0" w:lastRowFirstColumn="0" w:lastRowLastColumn="0"/>
            <w:tcW w:w="3261" w:type="dxa"/>
          </w:tcPr>
          <w:p w14:paraId="4D6AEEE9" w14:textId="77777777" w:rsidR="002C17BD" w:rsidRPr="008150F5" w:rsidRDefault="002C17BD" w:rsidP="004515C7">
            <w:pPr>
              <w:jc w:val="center"/>
            </w:pPr>
            <w:r w:rsidRPr="008150F5">
              <w:rPr>
                <w:b w:val="0"/>
                <w:bCs w:val="0"/>
              </w:rPr>
              <w:t>-</w:t>
            </w:r>
            <w:r>
              <w:rPr>
                <w:b w:val="0"/>
                <w:bCs w:val="0"/>
              </w:rPr>
              <w:t>8</w:t>
            </w:r>
            <w:r w:rsidRPr="008150F5">
              <w:rPr>
                <w:b w:val="0"/>
                <w:bCs w:val="0"/>
              </w:rPr>
              <w:t>0°C in STGG</w:t>
            </w:r>
          </w:p>
        </w:tc>
        <w:tc>
          <w:tcPr>
            <w:tcW w:w="4536" w:type="dxa"/>
          </w:tcPr>
          <w:p w14:paraId="1A5C3BD6" w14:textId="77777777" w:rsidR="002C17BD" w:rsidRDefault="002C17BD" w:rsidP="004515C7">
            <w:pPr>
              <w:jc w:val="center"/>
              <w:cnfStyle w:val="000000000000" w:firstRow="0" w:lastRow="0" w:firstColumn="0" w:lastColumn="0" w:oddVBand="0" w:evenVBand="0" w:oddHBand="0" w:evenHBand="0" w:firstRowFirstColumn="0" w:firstRowLastColumn="0" w:lastRowFirstColumn="0" w:lastRowLastColumn="0"/>
            </w:pPr>
            <w:r>
              <w:t>5.58 ± 0.58 log</w:t>
            </w:r>
            <w:r w:rsidRPr="004515C7">
              <w:rPr>
                <w:vertAlign w:val="subscript"/>
              </w:rPr>
              <w:t>10</w:t>
            </w:r>
            <w:r>
              <w:t xml:space="preserve"> GE/ml [ 5.26, 5.90]</w:t>
            </w:r>
          </w:p>
        </w:tc>
        <w:tc>
          <w:tcPr>
            <w:tcW w:w="1276" w:type="dxa"/>
          </w:tcPr>
          <w:p w14:paraId="5F703664" w14:textId="77777777" w:rsidR="002C17BD" w:rsidRPr="00C104EB" w:rsidRDefault="002C17BD" w:rsidP="004515C7">
            <w:pPr>
              <w:jc w:val="center"/>
              <w:cnfStyle w:val="000000000000" w:firstRow="0" w:lastRow="0" w:firstColumn="0" w:lastColumn="0" w:oddVBand="0" w:evenVBand="0" w:oddHBand="0" w:evenHBand="0" w:firstRowFirstColumn="0" w:firstRowLastColumn="0" w:lastRowFirstColumn="0" w:lastRowLastColumn="0"/>
            </w:pPr>
            <w:r>
              <w:t>p = 0.53</w:t>
            </w:r>
          </w:p>
        </w:tc>
      </w:tr>
      <w:tr w:rsidR="002C17BD" w14:paraId="64C7D4EA"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73CE3AC" w14:textId="77777777" w:rsidR="002C17BD" w:rsidRPr="00E44E32" w:rsidRDefault="002C17BD" w:rsidP="004515C7">
            <w:pPr>
              <w:jc w:val="center"/>
            </w:pPr>
          </w:p>
        </w:tc>
        <w:tc>
          <w:tcPr>
            <w:tcW w:w="4536" w:type="dxa"/>
          </w:tcPr>
          <w:p w14:paraId="65F716B9" w14:textId="77777777" w:rsidR="002C17BD" w:rsidRDefault="002C17BD" w:rsidP="004515C7">
            <w:pPr>
              <w:jc w:val="center"/>
              <w:cnfStyle w:val="000000100000" w:firstRow="0" w:lastRow="0" w:firstColumn="0" w:lastColumn="0" w:oddVBand="0" w:evenVBand="0" w:oddHBand="1" w:evenHBand="0" w:firstRowFirstColumn="0" w:firstRowLastColumn="0" w:lastRowFirstColumn="0" w:lastRowLastColumn="0"/>
            </w:pPr>
          </w:p>
        </w:tc>
        <w:tc>
          <w:tcPr>
            <w:tcW w:w="1276" w:type="dxa"/>
          </w:tcPr>
          <w:p w14:paraId="532F9DDC" w14:textId="77777777" w:rsidR="002C17BD" w:rsidRPr="00C104EB" w:rsidRDefault="002C17BD" w:rsidP="004515C7">
            <w:pPr>
              <w:jc w:val="center"/>
              <w:cnfStyle w:val="000000100000" w:firstRow="0" w:lastRow="0" w:firstColumn="0" w:lastColumn="0" w:oddVBand="0" w:evenVBand="0" w:oddHBand="1" w:evenHBand="0" w:firstRowFirstColumn="0" w:firstRowLastColumn="0" w:lastRowFirstColumn="0" w:lastRowLastColumn="0"/>
            </w:pPr>
          </w:p>
        </w:tc>
      </w:tr>
      <w:tr w:rsidR="002C17BD" w14:paraId="4D60BE44" w14:textId="77777777" w:rsidTr="004515C7">
        <w:tc>
          <w:tcPr>
            <w:cnfStyle w:val="001000000000" w:firstRow="0" w:lastRow="0" w:firstColumn="1" w:lastColumn="0" w:oddVBand="0" w:evenVBand="0" w:oddHBand="0" w:evenHBand="0" w:firstRowFirstColumn="0" w:firstRowLastColumn="0" w:lastRowFirstColumn="0" w:lastRowLastColumn="0"/>
            <w:tcW w:w="3261" w:type="dxa"/>
          </w:tcPr>
          <w:p w14:paraId="61400699" w14:textId="77777777" w:rsidR="002C17BD" w:rsidRPr="008150F5" w:rsidRDefault="002C17BD" w:rsidP="004515C7">
            <w:pPr>
              <w:jc w:val="center"/>
            </w:pPr>
            <w:r w:rsidRPr="008150F5">
              <w:t xml:space="preserve">Medium </w:t>
            </w:r>
            <w:r>
              <w:t>Load</w:t>
            </w:r>
            <w:r w:rsidRPr="008150F5">
              <w:t xml:space="preserve"> Samples</w:t>
            </w:r>
          </w:p>
        </w:tc>
        <w:tc>
          <w:tcPr>
            <w:tcW w:w="4536" w:type="dxa"/>
          </w:tcPr>
          <w:p w14:paraId="704A0381" w14:textId="77777777" w:rsidR="002C17BD" w:rsidRDefault="002C17BD" w:rsidP="004515C7">
            <w:pPr>
              <w:jc w:val="center"/>
              <w:cnfStyle w:val="000000000000" w:firstRow="0" w:lastRow="0" w:firstColumn="0" w:lastColumn="0" w:oddVBand="0" w:evenVBand="0" w:oddHBand="0" w:evenHBand="0" w:firstRowFirstColumn="0" w:firstRowLastColumn="0" w:lastRowFirstColumn="0" w:lastRowLastColumn="0"/>
            </w:pPr>
          </w:p>
        </w:tc>
        <w:tc>
          <w:tcPr>
            <w:tcW w:w="1276" w:type="dxa"/>
          </w:tcPr>
          <w:p w14:paraId="62756997" w14:textId="77777777" w:rsidR="002C17BD" w:rsidRPr="00C104EB" w:rsidRDefault="002C17BD" w:rsidP="004515C7">
            <w:pPr>
              <w:jc w:val="center"/>
              <w:cnfStyle w:val="000000000000" w:firstRow="0" w:lastRow="0" w:firstColumn="0" w:lastColumn="0" w:oddVBand="0" w:evenVBand="0" w:oddHBand="0" w:evenHBand="0" w:firstRowFirstColumn="0" w:firstRowLastColumn="0" w:lastRowFirstColumn="0" w:lastRowLastColumn="0"/>
            </w:pPr>
          </w:p>
        </w:tc>
      </w:tr>
      <w:tr w:rsidR="002C17BD" w14:paraId="3C0E8B92"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3700C93" w14:textId="43053CF6" w:rsidR="002C17BD" w:rsidRPr="008150F5" w:rsidRDefault="002C17BD" w:rsidP="004515C7">
            <w:pPr>
              <w:jc w:val="center"/>
              <w:rPr>
                <w:b w:val="0"/>
                <w:bCs w:val="0"/>
              </w:rPr>
            </w:pPr>
            <w:r w:rsidRPr="008150F5">
              <w:rPr>
                <w:b w:val="0"/>
                <w:bCs w:val="0"/>
              </w:rPr>
              <w:t>30°C in SDP</w:t>
            </w:r>
            <w:r>
              <w:rPr>
                <w:b w:val="0"/>
                <w:bCs w:val="0"/>
              </w:rPr>
              <w:t>s</w:t>
            </w:r>
          </w:p>
        </w:tc>
        <w:tc>
          <w:tcPr>
            <w:tcW w:w="4536" w:type="dxa"/>
          </w:tcPr>
          <w:p w14:paraId="4C9F1D06" w14:textId="77777777" w:rsidR="002C17BD" w:rsidRDefault="002C17BD" w:rsidP="004515C7">
            <w:pPr>
              <w:jc w:val="center"/>
              <w:cnfStyle w:val="000000100000" w:firstRow="0" w:lastRow="0" w:firstColumn="0" w:lastColumn="0" w:oddVBand="0" w:evenVBand="0" w:oddHBand="1" w:evenHBand="0" w:firstRowFirstColumn="0" w:firstRowLastColumn="0" w:lastRowFirstColumn="0" w:lastRowLastColumn="0"/>
            </w:pPr>
            <w:r>
              <w:t>5.76 ± 0.65 log</w:t>
            </w:r>
            <w:r w:rsidRPr="004515C7">
              <w:rPr>
                <w:vertAlign w:val="subscript"/>
              </w:rPr>
              <w:t xml:space="preserve">10 </w:t>
            </w:r>
            <w:r>
              <w:t>GE/ml [5.40, 6.12]</w:t>
            </w:r>
          </w:p>
        </w:tc>
        <w:tc>
          <w:tcPr>
            <w:tcW w:w="1276" w:type="dxa"/>
          </w:tcPr>
          <w:p w14:paraId="0F293CCF" w14:textId="77777777" w:rsidR="002C17BD" w:rsidRPr="004515C7" w:rsidRDefault="002C17BD" w:rsidP="004515C7">
            <w:pPr>
              <w:jc w:val="center"/>
              <w:cnfStyle w:val="000000100000" w:firstRow="0" w:lastRow="0" w:firstColumn="0" w:lastColumn="0" w:oddVBand="0" w:evenVBand="0" w:oddHBand="1" w:evenHBand="0" w:firstRowFirstColumn="0" w:firstRowLastColumn="0" w:lastRowFirstColumn="0" w:lastRowLastColumn="0"/>
              <w:rPr>
                <w:b/>
                <w:bCs/>
              </w:rPr>
            </w:pPr>
            <w:r w:rsidRPr="004515C7">
              <w:rPr>
                <w:b/>
                <w:bCs/>
              </w:rPr>
              <w:t>p = 0.0006</w:t>
            </w:r>
          </w:p>
        </w:tc>
      </w:tr>
      <w:tr w:rsidR="002C17BD" w14:paraId="057DA0E3" w14:textId="77777777" w:rsidTr="004515C7">
        <w:tc>
          <w:tcPr>
            <w:cnfStyle w:val="001000000000" w:firstRow="0" w:lastRow="0" w:firstColumn="1" w:lastColumn="0" w:oddVBand="0" w:evenVBand="0" w:oddHBand="0" w:evenHBand="0" w:firstRowFirstColumn="0" w:firstRowLastColumn="0" w:lastRowFirstColumn="0" w:lastRowLastColumn="0"/>
            <w:tcW w:w="3261" w:type="dxa"/>
          </w:tcPr>
          <w:p w14:paraId="150D26A0" w14:textId="77777777" w:rsidR="002C17BD" w:rsidRPr="008150F5" w:rsidRDefault="002C17BD" w:rsidP="004515C7">
            <w:pPr>
              <w:jc w:val="center"/>
              <w:rPr>
                <w:b w:val="0"/>
                <w:bCs w:val="0"/>
              </w:rPr>
            </w:pPr>
            <w:r w:rsidRPr="008150F5">
              <w:rPr>
                <w:b w:val="0"/>
                <w:bCs w:val="0"/>
              </w:rPr>
              <w:t>-20°C in STGG</w:t>
            </w:r>
          </w:p>
        </w:tc>
        <w:tc>
          <w:tcPr>
            <w:tcW w:w="4536" w:type="dxa"/>
          </w:tcPr>
          <w:p w14:paraId="348F7FA6" w14:textId="77777777" w:rsidR="002C17BD" w:rsidRDefault="002C17BD" w:rsidP="004515C7">
            <w:pPr>
              <w:jc w:val="center"/>
              <w:cnfStyle w:val="000000000000" w:firstRow="0" w:lastRow="0" w:firstColumn="0" w:lastColumn="0" w:oddVBand="0" w:evenVBand="0" w:oddHBand="0" w:evenHBand="0" w:firstRowFirstColumn="0" w:firstRowLastColumn="0" w:lastRowFirstColumn="0" w:lastRowLastColumn="0"/>
            </w:pPr>
            <w:r>
              <w:t>6.65 ± 0.44 log</w:t>
            </w:r>
            <w:r w:rsidRPr="004515C7">
              <w:rPr>
                <w:vertAlign w:val="subscript"/>
              </w:rPr>
              <w:t>10</w:t>
            </w:r>
            <w:r>
              <w:t xml:space="preserve"> GE/ml [6.41, 6.90]</w:t>
            </w:r>
          </w:p>
        </w:tc>
        <w:tc>
          <w:tcPr>
            <w:tcW w:w="1276" w:type="dxa"/>
          </w:tcPr>
          <w:p w14:paraId="0020CDA3" w14:textId="77777777" w:rsidR="002C17BD" w:rsidRPr="00676133" w:rsidRDefault="002C17BD" w:rsidP="004515C7">
            <w:pPr>
              <w:jc w:val="center"/>
              <w:cnfStyle w:val="000000000000" w:firstRow="0" w:lastRow="0" w:firstColumn="0" w:lastColumn="0" w:oddVBand="0" w:evenVBand="0" w:oddHBand="0" w:evenHBand="0" w:firstRowFirstColumn="0" w:firstRowLastColumn="0" w:lastRowFirstColumn="0" w:lastRowLastColumn="0"/>
            </w:pPr>
            <w:r>
              <w:t>p = 0.42</w:t>
            </w:r>
          </w:p>
        </w:tc>
      </w:tr>
      <w:tr w:rsidR="002C17BD" w14:paraId="67C93BB8"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F91E08F" w14:textId="77777777" w:rsidR="002C17BD" w:rsidRPr="008150F5" w:rsidRDefault="002C17BD" w:rsidP="004515C7">
            <w:pPr>
              <w:jc w:val="center"/>
            </w:pPr>
            <w:r w:rsidRPr="008150F5">
              <w:rPr>
                <w:b w:val="0"/>
                <w:bCs w:val="0"/>
              </w:rPr>
              <w:t>-</w:t>
            </w:r>
            <w:r>
              <w:rPr>
                <w:b w:val="0"/>
                <w:bCs w:val="0"/>
              </w:rPr>
              <w:t>8</w:t>
            </w:r>
            <w:r w:rsidRPr="008150F5">
              <w:rPr>
                <w:b w:val="0"/>
                <w:bCs w:val="0"/>
              </w:rPr>
              <w:t>0°C in STGG</w:t>
            </w:r>
          </w:p>
        </w:tc>
        <w:tc>
          <w:tcPr>
            <w:tcW w:w="4536" w:type="dxa"/>
          </w:tcPr>
          <w:p w14:paraId="5A60A9B9" w14:textId="77777777" w:rsidR="002C17BD" w:rsidRDefault="002C17BD" w:rsidP="004515C7">
            <w:pPr>
              <w:jc w:val="center"/>
              <w:cnfStyle w:val="000000100000" w:firstRow="0" w:lastRow="0" w:firstColumn="0" w:lastColumn="0" w:oddVBand="0" w:evenVBand="0" w:oddHBand="1" w:evenHBand="0" w:firstRowFirstColumn="0" w:firstRowLastColumn="0" w:lastRowFirstColumn="0" w:lastRowLastColumn="0"/>
            </w:pPr>
            <w:r>
              <w:t>6.74 ± 0.52log</w:t>
            </w:r>
            <w:r w:rsidRPr="004515C7">
              <w:rPr>
                <w:vertAlign w:val="subscript"/>
              </w:rPr>
              <w:t>10</w:t>
            </w:r>
            <w:r>
              <w:t xml:space="preserve"> GE/ml [6.46, 7.03]</w:t>
            </w:r>
          </w:p>
        </w:tc>
        <w:tc>
          <w:tcPr>
            <w:tcW w:w="1276" w:type="dxa"/>
          </w:tcPr>
          <w:p w14:paraId="495BF4C0" w14:textId="77777777" w:rsidR="002C17BD" w:rsidRPr="00676133" w:rsidRDefault="002C17BD" w:rsidP="004515C7">
            <w:pPr>
              <w:jc w:val="center"/>
              <w:cnfStyle w:val="000000100000" w:firstRow="0" w:lastRow="0" w:firstColumn="0" w:lastColumn="0" w:oddVBand="0" w:evenVBand="0" w:oddHBand="1" w:evenHBand="0" w:firstRowFirstColumn="0" w:firstRowLastColumn="0" w:lastRowFirstColumn="0" w:lastRowLastColumn="0"/>
            </w:pPr>
            <w:r>
              <w:t>p = 0.21</w:t>
            </w:r>
          </w:p>
        </w:tc>
      </w:tr>
    </w:tbl>
    <w:p w14:paraId="2E04F71C" w14:textId="77777777" w:rsidR="002C17BD" w:rsidRDefault="002C17BD" w:rsidP="004515C7"/>
    <w:p w14:paraId="0F88AAEB" w14:textId="77777777" w:rsidR="002C17BD" w:rsidRDefault="002C17BD" w:rsidP="0044220C">
      <w:pPr>
        <w:spacing w:after="0"/>
        <w:jc w:val="both"/>
        <w:rPr>
          <w:b/>
          <w:bCs/>
        </w:rPr>
      </w:pPr>
    </w:p>
    <w:p w14:paraId="0911A043" w14:textId="77777777" w:rsidR="002C17BD" w:rsidRDefault="002C17BD" w:rsidP="0044220C">
      <w:pPr>
        <w:spacing w:after="0"/>
        <w:jc w:val="both"/>
        <w:rPr>
          <w:b/>
          <w:bCs/>
        </w:rPr>
      </w:pPr>
    </w:p>
    <w:p w14:paraId="043DE83C" w14:textId="77777777" w:rsidR="002C17BD" w:rsidRDefault="002C17BD" w:rsidP="0044220C">
      <w:pPr>
        <w:spacing w:after="0"/>
        <w:jc w:val="both"/>
        <w:rPr>
          <w:b/>
          <w:bCs/>
        </w:rPr>
      </w:pPr>
    </w:p>
    <w:p w14:paraId="5602FA9F" w14:textId="77777777" w:rsidR="002C17BD" w:rsidRDefault="002C17BD" w:rsidP="0044220C">
      <w:pPr>
        <w:spacing w:after="0"/>
        <w:jc w:val="both"/>
        <w:rPr>
          <w:b/>
          <w:bCs/>
        </w:rPr>
      </w:pPr>
    </w:p>
    <w:p w14:paraId="4B5581C6" w14:textId="77777777" w:rsidR="002C17BD" w:rsidRDefault="002C17BD" w:rsidP="0044220C">
      <w:pPr>
        <w:spacing w:after="0"/>
        <w:jc w:val="both"/>
        <w:rPr>
          <w:b/>
          <w:bCs/>
        </w:rPr>
      </w:pPr>
    </w:p>
    <w:p w14:paraId="2A6064DE" w14:textId="77777777" w:rsidR="002C17BD" w:rsidRDefault="002C17BD" w:rsidP="0044220C">
      <w:pPr>
        <w:spacing w:after="0"/>
        <w:jc w:val="both"/>
        <w:rPr>
          <w:b/>
          <w:bCs/>
        </w:rPr>
      </w:pPr>
    </w:p>
    <w:p w14:paraId="4F0A6D9E" w14:textId="77777777" w:rsidR="002C17BD" w:rsidRDefault="002C17BD" w:rsidP="0044220C">
      <w:pPr>
        <w:spacing w:after="0"/>
        <w:jc w:val="both"/>
        <w:rPr>
          <w:b/>
          <w:bCs/>
        </w:rPr>
      </w:pPr>
    </w:p>
    <w:p w14:paraId="5E1C1F7D" w14:textId="77777777" w:rsidR="002C17BD" w:rsidRDefault="002C17BD" w:rsidP="0044220C">
      <w:pPr>
        <w:spacing w:after="0"/>
        <w:jc w:val="both"/>
        <w:rPr>
          <w:b/>
          <w:bCs/>
        </w:rPr>
      </w:pPr>
    </w:p>
    <w:p w14:paraId="77F0D71F" w14:textId="77777777" w:rsidR="002C17BD" w:rsidRDefault="002C17BD" w:rsidP="0044220C">
      <w:pPr>
        <w:spacing w:after="0"/>
        <w:jc w:val="both"/>
        <w:rPr>
          <w:b/>
          <w:bCs/>
        </w:rPr>
      </w:pPr>
    </w:p>
    <w:p w14:paraId="6D79C2DC" w14:textId="77777777" w:rsidR="002C17BD" w:rsidRDefault="002C17BD" w:rsidP="0044220C">
      <w:pPr>
        <w:spacing w:after="0"/>
        <w:jc w:val="both"/>
        <w:rPr>
          <w:b/>
          <w:bCs/>
        </w:rPr>
      </w:pPr>
    </w:p>
    <w:p w14:paraId="733562D6" w14:textId="77777777" w:rsidR="002C17BD" w:rsidRDefault="002C17BD" w:rsidP="0044220C">
      <w:pPr>
        <w:spacing w:after="0"/>
        <w:jc w:val="both"/>
        <w:rPr>
          <w:b/>
          <w:bCs/>
        </w:rPr>
      </w:pPr>
    </w:p>
    <w:p w14:paraId="621DA1C1" w14:textId="77777777" w:rsidR="002C17BD" w:rsidRDefault="002C17BD" w:rsidP="0044220C">
      <w:pPr>
        <w:spacing w:after="0"/>
        <w:jc w:val="both"/>
        <w:rPr>
          <w:b/>
          <w:bCs/>
        </w:rPr>
      </w:pPr>
    </w:p>
    <w:p w14:paraId="25D34640" w14:textId="77777777" w:rsidR="002C17BD" w:rsidRDefault="002C17BD" w:rsidP="0044220C">
      <w:pPr>
        <w:spacing w:after="0"/>
        <w:jc w:val="both"/>
        <w:rPr>
          <w:b/>
          <w:bCs/>
        </w:rPr>
      </w:pPr>
    </w:p>
    <w:p w14:paraId="353AD6A0" w14:textId="77777777" w:rsidR="002C17BD" w:rsidRDefault="002C17BD" w:rsidP="0044220C">
      <w:pPr>
        <w:spacing w:after="0"/>
        <w:jc w:val="both"/>
        <w:rPr>
          <w:b/>
          <w:bCs/>
        </w:rPr>
      </w:pPr>
    </w:p>
    <w:p w14:paraId="2D4875A5" w14:textId="77777777" w:rsidR="002C17BD" w:rsidRDefault="002C17BD" w:rsidP="0044220C">
      <w:pPr>
        <w:spacing w:after="0"/>
        <w:jc w:val="both"/>
        <w:rPr>
          <w:b/>
          <w:bCs/>
        </w:rPr>
      </w:pPr>
    </w:p>
    <w:p w14:paraId="4FD5F349" w14:textId="77777777" w:rsidR="002C17BD" w:rsidRDefault="002C17BD" w:rsidP="0044220C">
      <w:pPr>
        <w:spacing w:after="0"/>
        <w:jc w:val="both"/>
        <w:rPr>
          <w:b/>
          <w:bCs/>
        </w:rPr>
      </w:pPr>
    </w:p>
    <w:p w14:paraId="5DE32823" w14:textId="77777777" w:rsidR="002C17BD" w:rsidRDefault="002C17BD" w:rsidP="0044220C">
      <w:pPr>
        <w:spacing w:after="0"/>
        <w:jc w:val="both"/>
        <w:rPr>
          <w:b/>
          <w:bCs/>
        </w:rPr>
      </w:pPr>
    </w:p>
    <w:p w14:paraId="6E87A0C7" w14:textId="77777777" w:rsidR="002C17BD" w:rsidRDefault="002C17BD" w:rsidP="0044220C">
      <w:pPr>
        <w:spacing w:after="0"/>
        <w:jc w:val="both"/>
        <w:rPr>
          <w:b/>
          <w:bCs/>
        </w:rPr>
      </w:pPr>
    </w:p>
    <w:p w14:paraId="642FD8DE" w14:textId="77777777" w:rsidR="002C17BD" w:rsidRDefault="002C17BD" w:rsidP="0044220C">
      <w:pPr>
        <w:spacing w:after="0"/>
        <w:jc w:val="both"/>
        <w:rPr>
          <w:b/>
          <w:bCs/>
        </w:rPr>
      </w:pPr>
    </w:p>
    <w:p w14:paraId="1A9FB01E" w14:textId="77777777" w:rsidR="002C17BD" w:rsidRDefault="002C17BD" w:rsidP="0044220C">
      <w:pPr>
        <w:spacing w:after="0"/>
        <w:jc w:val="both"/>
        <w:rPr>
          <w:b/>
          <w:bCs/>
        </w:rPr>
      </w:pPr>
    </w:p>
    <w:p w14:paraId="7B341ED9" w14:textId="77777777" w:rsidR="002C17BD" w:rsidRDefault="002C17BD" w:rsidP="0044220C">
      <w:pPr>
        <w:spacing w:after="0"/>
        <w:jc w:val="both"/>
        <w:rPr>
          <w:b/>
          <w:bCs/>
        </w:rPr>
      </w:pPr>
    </w:p>
    <w:p w14:paraId="199074A1" w14:textId="77777777" w:rsidR="002C17BD" w:rsidRDefault="002C17BD" w:rsidP="0044220C">
      <w:pPr>
        <w:spacing w:after="0"/>
        <w:jc w:val="both"/>
        <w:rPr>
          <w:b/>
          <w:bCs/>
        </w:rPr>
      </w:pPr>
    </w:p>
    <w:p w14:paraId="55D6F976" w14:textId="77777777" w:rsidR="002C17BD" w:rsidRDefault="002C17BD" w:rsidP="0044220C">
      <w:pPr>
        <w:spacing w:after="0"/>
        <w:jc w:val="both"/>
        <w:rPr>
          <w:b/>
          <w:bCs/>
        </w:rPr>
      </w:pPr>
    </w:p>
    <w:p w14:paraId="332D0DD1" w14:textId="77777777" w:rsidR="002C17BD" w:rsidRDefault="002C17BD" w:rsidP="0044220C">
      <w:pPr>
        <w:spacing w:after="0"/>
        <w:jc w:val="both"/>
        <w:rPr>
          <w:b/>
          <w:bCs/>
        </w:rPr>
      </w:pPr>
    </w:p>
    <w:p w14:paraId="6277DE9E" w14:textId="77777777" w:rsidR="002C17BD" w:rsidRDefault="002C17BD" w:rsidP="0044220C">
      <w:pPr>
        <w:spacing w:after="0"/>
        <w:jc w:val="both"/>
        <w:rPr>
          <w:b/>
          <w:bCs/>
        </w:rPr>
      </w:pPr>
    </w:p>
    <w:p w14:paraId="2BA44F7B" w14:textId="77777777" w:rsidR="002C17BD" w:rsidRDefault="002C17BD" w:rsidP="0044220C">
      <w:pPr>
        <w:spacing w:after="0"/>
        <w:jc w:val="both"/>
        <w:rPr>
          <w:b/>
          <w:bCs/>
        </w:rPr>
      </w:pPr>
    </w:p>
    <w:p w14:paraId="5989F3BB" w14:textId="77777777" w:rsidR="002C17BD" w:rsidRDefault="002C17BD" w:rsidP="0044220C">
      <w:pPr>
        <w:spacing w:after="0"/>
        <w:jc w:val="both"/>
        <w:rPr>
          <w:b/>
          <w:bCs/>
        </w:rPr>
      </w:pPr>
    </w:p>
    <w:p w14:paraId="1C5822CE" w14:textId="77777777" w:rsidR="002C17BD" w:rsidRDefault="002C17BD" w:rsidP="0044220C">
      <w:pPr>
        <w:spacing w:after="0"/>
        <w:jc w:val="both"/>
        <w:rPr>
          <w:b/>
          <w:bCs/>
        </w:rPr>
      </w:pPr>
    </w:p>
    <w:p w14:paraId="7C3BF274" w14:textId="77777777" w:rsidR="002C17BD" w:rsidRDefault="002C17BD" w:rsidP="0044220C">
      <w:pPr>
        <w:spacing w:after="0"/>
        <w:jc w:val="both"/>
        <w:rPr>
          <w:b/>
          <w:bCs/>
        </w:rPr>
      </w:pPr>
    </w:p>
    <w:p w14:paraId="22D14022" w14:textId="77777777" w:rsidR="002C17BD" w:rsidRDefault="002C17BD" w:rsidP="0044220C">
      <w:pPr>
        <w:spacing w:after="0"/>
        <w:jc w:val="both"/>
        <w:rPr>
          <w:b/>
          <w:bCs/>
        </w:rPr>
      </w:pPr>
    </w:p>
    <w:p w14:paraId="509612B8" w14:textId="77777777" w:rsidR="002C17BD" w:rsidRDefault="002C17BD" w:rsidP="0044220C">
      <w:pPr>
        <w:spacing w:after="0"/>
        <w:jc w:val="both"/>
        <w:rPr>
          <w:b/>
          <w:bCs/>
        </w:rPr>
      </w:pPr>
    </w:p>
    <w:p w14:paraId="285909CB" w14:textId="77777777" w:rsidR="002C17BD" w:rsidRDefault="002C17BD" w:rsidP="0044220C">
      <w:pPr>
        <w:spacing w:after="0"/>
        <w:jc w:val="both"/>
        <w:rPr>
          <w:b/>
          <w:bCs/>
        </w:rPr>
      </w:pPr>
    </w:p>
    <w:p w14:paraId="7AD96844" w14:textId="77777777" w:rsidR="002C17BD" w:rsidRDefault="002C17BD" w:rsidP="0044220C">
      <w:pPr>
        <w:spacing w:after="0"/>
        <w:jc w:val="both"/>
        <w:rPr>
          <w:b/>
          <w:bCs/>
        </w:rPr>
      </w:pPr>
    </w:p>
    <w:p w14:paraId="0181E966" w14:textId="77777777" w:rsidR="002C17BD" w:rsidRDefault="002C17BD" w:rsidP="0044220C">
      <w:pPr>
        <w:spacing w:after="0"/>
        <w:jc w:val="both"/>
        <w:rPr>
          <w:b/>
          <w:bCs/>
        </w:rPr>
      </w:pPr>
    </w:p>
    <w:p w14:paraId="6FE3A8B9" w14:textId="77777777" w:rsidR="002C17BD" w:rsidRDefault="002C17BD" w:rsidP="0044220C">
      <w:pPr>
        <w:spacing w:after="0"/>
        <w:jc w:val="both"/>
      </w:pPr>
      <w:r w:rsidRPr="00B353EC">
        <w:rPr>
          <w:b/>
          <w:bCs/>
        </w:rPr>
        <w:lastRenderedPageBreak/>
        <w:t xml:space="preserve">Supplementary Table </w:t>
      </w:r>
      <w:r>
        <w:rPr>
          <w:b/>
          <w:bCs/>
        </w:rPr>
        <w:t>5</w:t>
      </w:r>
      <w:r w:rsidRPr="00B353EC">
        <w:rPr>
          <w:b/>
          <w:bCs/>
        </w:rPr>
        <w:t>.</w:t>
      </w:r>
      <w:r w:rsidRPr="00B353EC">
        <w:t xml:space="preserve">  </w:t>
      </w:r>
      <w:r>
        <w:t>Difference in the mean density of samples between assessed alternative methods and the gold standard storage condition (-80</w:t>
      </w:r>
      <w:r w:rsidRPr="00E44E32">
        <w:t>°C in STGG</w:t>
      </w:r>
      <w:r>
        <w:t xml:space="preserve">). </w:t>
      </w:r>
    </w:p>
    <w:tbl>
      <w:tblPr>
        <w:tblStyle w:val="PlainTable2"/>
        <w:tblW w:w="8222" w:type="dxa"/>
        <w:tblLook w:val="04A0" w:firstRow="1" w:lastRow="0" w:firstColumn="1" w:lastColumn="0" w:noHBand="0" w:noVBand="1"/>
      </w:tblPr>
      <w:tblGrid>
        <w:gridCol w:w="3261"/>
        <w:gridCol w:w="3685"/>
        <w:gridCol w:w="1276"/>
      </w:tblGrid>
      <w:tr w:rsidR="002C17BD" w14:paraId="16D55D51" w14:textId="77777777" w:rsidTr="00451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BCCA3AB" w14:textId="77777777" w:rsidR="002C17BD" w:rsidRDefault="002C17BD" w:rsidP="005C2650">
            <w:pPr>
              <w:jc w:val="center"/>
              <w:rPr>
                <w:lang w:eastAsia="en-AU"/>
              </w:rPr>
            </w:pPr>
          </w:p>
        </w:tc>
        <w:tc>
          <w:tcPr>
            <w:tcW w:w="3685" w:type="dxa"/>
          </w:tcPr>
          <w:p w14:paraId="44AF89B3" w14:textId="77777777" w:rsidR="002C17BD" w:rsidRDefault="002C17BD" w:rsidP="005C2650">
            <w:pPr>
              <w:jc w:val="center"/>
              <w:cnfStyle w:val="100000000000" w:firstRow="1" w:lastRow="0" w:firstColumn="0" w:lastColumn="0" w:oddVBand="0" w:evenVBand="0" w:oddHBand="0" w:evenHBand="0" w:firstRowFirstColumn="0" w:firstRowLastColumn="0" w:lastRowFirstColumn="0" w:lastRowLastColumn="0"/>
              <w:rPr>
                <w:lang w:eastAsia="en-AU"/>
              </w:rPr>
            </w:pPr>
            <w:r>
              <w:t>Difference in Mean Density ± log10 GE/ml, 95% CI</w:t>
            </w:r>
          </w:p>
        </w:tc>
        <w:tc>
          <w:tcPr>
            <w:tcW w:w="1276" w:type="dxa"/>
          </w:tcPr>
          <w:p w14:paraId="1D4262CF" w14:textId="77777777" w:rsidR="002C17BD" w:rsidRDefault="002C17BD" w:rsidP="005C2650">
            <w:pPr>
              <w:jc w:val="center"/>
              <w:cnfStyle w:val="100000000000" w:firstRow="1" w:lastRow="0" w:firstColumn="0" w:lastColumn="0" w:oddVBand="0" w:evenVBand="0" w:oddHBand="0" w:evenHBand="0" w:firstRowFirstColumn="0" w:firstRowLastColumn="0" w:lastRowFirstColumn="0" w:lastRowLastColumn="0"/>
              <w:rPr>
                <w:lang w:eastAsia="en-AU"/>
              </w:rPr>
            </w:pPr>
            <w:r>
              <w:rPr>
                <w:lang w:eastAsia="en-AU"/>
              </w:rPr>
              <w:t>P-Value</w:t>
            </w:r>
          </w:p>
        </w:tc>
      </w:tr>
      <w:tr w:rsidR="002C17BD" w14:paraId="2A17DF7C"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269B629" w14:textId="77777777" w:rsidR="002C17BD" w:rsidRPr="008150F5" w:rsidRDefault="002C17BD" w:rsidP="005C2650">
            <w:pPr>
              <w:jc w:val="center"/>
              <w:rPr>
                <w:lang w:eastAsia="en-AU"/>
              </w:rPr>
            </w:pPr>
            <w:r w:rsidRPr="008150F5">
              <w:rPr>
                <w:lang w:eastAsia="en-AU"/>
              </w:rPr>
              <w:t xml:space="preserve">Low </w:t>
            </w:r>
            <w:r>
              <w:rPr>
                <w:lang w:eastAsia="en-AU"/>
              </w:rPr>
              <w:t>Load</w:t>
            </w:r>
            <w:r w:rsidRPr="008150F5">
              <w:rPr>
                <w:lang w:eastAsia="en-AU"/>
              </w:rPr>
              <w:t xml:space="preserve"> Samples</w:t>
            </w:r>
          </w:p>
        </w:tc>
        <w:tc>
          <w:tcPr>
            <w:tcW w:w="3685" w:type="dxa"/>
          </w:tcPr>
          <w:p w14:paraId="7C7DEC2D"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p>
        </w:tc>
        <w:tc>
          <w:tcPr>
            <w:tcW w:w="1276" w:type="dxa"/>
          </w:tcPr>
          <w:p w14:paraId="05DA7DC7" w14:textId="77777777" w:rsidR="002C17BD" w:rsidRDefault="002C17BD" w:rsidP="005C2650">
            <w:pPr>
              <w:jc w:val="center"/>
              <w:cnfStyle w:val="000000100000" w:firstRow="0" w:lastRow="0" w:firstColumn="0" w:lastColumn="0" w:oddVBand="0" w:evenVBand="0" w:oddHBand="1" w:evenHBand="0" w:firstRowFirstColumn="0" w:firstRowLastColumn="0" w:lastRowFirstColumn="0" w:lastRowLastColumn="0"/>
              <w:rPr>
                <w:lang w:eastAsia="en-AU"/>
              </w:rPr>
            </w:pPr>
          </w:p>
        </w:tc>
      </w:tr>
      <w:tr w:rsidR="002C17BD" w14:paraId="09E6C121" w14:textId="77777777" w:rsidTr="004515C7">
        <w:tc>
          <w:tcPr>
            <w:cnfStyle w:val="001000000000" w:firstRow="0" w:lastRow="0" w:firstColumn="1" w:lastColumn="0" w:oddVBand="0" w:evenVBand="0" w:oddHBand="0" w:evenHBand="0" w:firstRowFirstColumn="0" w:firstRowLastColumn="0" w:lastRowFirstColumn="0" w:lastRowLastColumn="0"/>
            <w:tcW w:w="3261" w:type="dxa"/>
          </w:tcPr>
          <w:p w14:paraId="70E5679E" w14:textId="6D97CA3B" w:rsidR="002C17BD" w:rsidRPr="008150F5" w:rsidRDefault="002C17BD" w:rsidP="00780720">
            <w:pPr>
              <w:jc w:val="center"/>
              <w:rPr>
                <w:b w:val="0"/>
                <w:bCs w:val="0"/>
                <w:lang w:eastAsia="en-AU"/>
              </w:rPr>
            </w:pPr>
            <w:r w:rsidRPr="008150F5">
              <w:rPr>
                <w:b w:val="0"/>
                <w:bCs w:val="0"/>
              </w:rPr>
              <w:t>30°C in SDP</w:t>
            </w:r>
            <w:r>
              <w:rPr>
                <w:b w:val="0"/>
                <w:bCs w:val="0"/>
              </w:rPr>
              <w:t>s</w:t>
            </w:r>
          </w:p>
        </w:tc>
        <w:tc>
          <w:tcPr>
            <w:tcW w:w="3685" w:type="dxa"/>
          </w:tcPr>
          <w:p w14:paraId="2BC514DB" w14:textId="77777777" w:rsidR="002C17BD" w:rsidRDefault="002C17BD" w:rsidP="00780720">
            <w:pPr>
              <w:jc w:val="center"/>
              <w:cnfStyle w:val="000000000000" w:firstRow="0" w:lastRow="0" w:firstColumn="0" w:lastColumn="0" w:oddVBand="0" w:evenVBand="0" w:oddHBand="0" w:evenHBand="0" w:firstRowFirstColumn="0" w:firstRowLastColumn="0" w:lastRowFirstColumn="0" w:lastRowLastColumn="0"/>
              <w:rPr>
                <w:lang w:eastAsia="en-AU"/>
              </w:rPr>
            </w:pPr>
            <w:r>
              <w:t>-</w:t>
            </w:r>
            <w:r w:rsidRPr="00C104EB">
              <w:t>0.32 [-0.74, 0.10],</w:t>
            </w:r>
          </w:p>
        </w:tc>
        <w:tc>
          <w:tcPr>
            <w:tcW w:w="1276" w:type="dxa"/>
          </w:tcPr>
          <w:p w14:paraId="42BDE429" w14:textId="77777777" w:rsidR="002C17BD" w:rsidRPr="008150F5" w:rsidRDefault="002C17BD" w:rsidP="00780720">
            <w:pPr>
              <w:jc w:val="center"/>
              <w:cnfStyle w:val="000000000000" w:firstRow="0" w:lastRow="0" w:firstColumn="0" w:lastColumn="0" w:oddVBand="0" w:evenVBand="0" w:oddHBand="0" w:evenHBand="0" w:firstRowFirstColumn="0" w:firstRowLastColumn="0" w:lastRowFirstColumn="0" w:lastRowLastColumn="0"/>
              <w:rPr>
                <w:b/>
                <w:bCs/>
                <w:lang w:eastAsia="en-AU"/>
              </w:rPr>
            </w:pPr>
            <w:r w:rsidRPr="00C104EB">
              <w:t>0.13</w:t>
            </w:r>
          </w:p>
        </w:tc>
      </w:tr>
      <w:tr w:rsidR="002C17BD" w14:paraId="54700A35"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8BC65B" w14:textId="77777777" w:rsidR="002C17BD" w:rsidRPr="008150F5" w:rsidRDefault="002C17BD" w:rsidP="00780720">
            <w:pPr>
              <w:jc w:val="center"/>
              <w:rPr>
                <w:b w:val="0"/>
                <w:bCs w:val="0"/>
              </w:rPr>
            </w:pPr>
            <w:r w:rsidRPr="008150F5">
              <w:rPr>
                <w:b w:val="0"/>
                <w:bCs w:val="0"/>
              </w:rPr>
              <w:t>-20°C in STGG</w:t>
            </w:r>
          </w:p>
        </w:tc>
        <w:tc>
          <w:tcPr>
            <w:tcW w:w="3685" w:type="dxa"/>
          </w:tcPr>
          <w:p w14:paraId="31459A2E" w14:textId="77777777" w:rsidR="002C17BD" w:rsidRDefault="002C17BD" w:rsidP="00780720">
            <w:pPr>
              <w:jc w:val="center"/>
              <w:cnfStyle w:val="000000100000" w:firstRow="0" w:lastRow="0" w:firstColumn="0" w:lastColumn="0" w:oddVBand="0" w:evenVBand="0" w:oddHBand="1" w:evenHBand="0" w:firstRowFirstColumn="0" w:firstRowLastColumn="0" w:lastRowFirstColumn="0" w:lastRowLastColumn="0"/>
              <w:rPr>
                <w:lang w:eastAsia="en-AU"/>
              </w:rPr>
            </w:pPr>
            <w:r>
              <w:t>+</w:t>
            </w:r>
            <w:r w:rsidRPr="00C104EB">
              <w:t xml:space="preserve">0.18 </w:t>
            </w:r>
            <w:r>
              <w:t>[</w:t>
            </w:r>
            <w:r w:rsidRPr="00C104EB">
              <w:rPr>
                <w:rFonts w:ascii="Arial" w:eastAsia="Times New Roman" w:hAnsi="Arial" w:cs="Arial"/>
                <w:sz w:val="20"/>
                <w:szCs w:val="20"/>
                <w:lang w:eastAsia="en-AU"/>
              </w:rPr>
              <w:t>-</w:t>
            </w:r>
            <w:r w:rsidRPr="00C104EB">
              <w:t>0.21, 0.56</w:t>
            </w:r>
            <w:r>
              <w:t>]</w:t>
            </w:r>
          </w:p>
        </w:tc>
        <w:tc>
          <w:tcPr>
            <w:tcW w:w="1276" w:type="dxa"/>
          </w:tcPr>
          <w:p w14:paraId="563899C5" w14:textId="77777777" w:rsidR="002C17BD" w:rsidRDefault="002C17BD" w:rsidP="00780720">
            <w:pPr>
              <w:jc w:val="center"/>
              <w:cnfStyle w:val="000000100000" w:firstRow="0" w:lastRow="0" w:firstColumn="0" w:lastColumn="0" w:oddVBand="0" w:evenVBand="0" w:oddHBand="1" w:evenHBand="0" w:firstRowFirstColumn="0" w:firstRowLastColumn="0" w:lastRowFirstColumn="0" w:lastRowLastColumn="0"/>
              <w:rPr>
                <w:lang w:eastAsia="en-AU"/>
              </w:rPr>
            </w:pPr>
            <w:r w:rsidRPr="00676133">
              <w:t>0.36</w:t>
            </w:r>
          </w:p>
        </w:tc>
      </w:tr>
      <w:tr w:rsidR="002C17BD" w14:paraId="24E57FFC" w14:textId="77777777" w:rsidTr="004515C7">
        <w:tc>
          <w:tcPr>
            <w:cnfStyle w:val="001000000000" w:firstRow="0" w:lastRow="0" w:firstColumn="1" w:lastColumn="0" w:oddVBand="0" w:evenVBand="0" w:oddHBand="0" w:evenHBand="0" w:firstRowFirstColumn="0" w:firstRowLastColumn="0" w:lastRowFirstColumn="0" w:lastRowLastColumn="0"/>
            <w:tcW w:w="3261" w:type="dxa"/>
          </w:tcPr>
          <w:p w14:paraId="694485D1" w14:textId="77777777" w:rsidR="002C17BD" w:rsidRPr="00E44E32" w:rsidRDefault="002C17BD" w:rsidP="00780720">
            <w:pPr>
              <w:jc w:val="center"/>
            </w:pPr>
          </w:p>
        </w:tc>
        <w:tc>
          <w:tcPr>
            <w:tcW w:w="3685" w:type="dxa"/>
          </w:tcPr>
          <w:p w14:paraId="04CE98B8" w14:textId="77777777" w:rsidR="002C17BD" w:rsidRDefault="002C17BD" w:rsidP="00780720">
            <w:pPr>
              <w:jc w:val="center"/>
              <w:cnfStyle w:val="000000000000" w:firstRow="0" w:lastRow="0" w:firstColumn="0" w:lastColumn="0" w:oddVBand="0" w:evenVBand="0" w:oddHBand="0" w:evenHBand="0" w:firstRowFirstColumn="0" w:firstRowLastColumn="0" w:lastRowFirstColumn="0" w:lastRowLastColumn="0"/>
            </w:pPr>
          </w:p>
        </w:tc>
        <w:tc>
          <w:tcPr>
            <w:tcW w:w="1276" w:type="dxa"/>
          </w:tcPr>
          <w:p w14:paraId="04C56CA4" w14:textId="77777777" w:rsidR="002C17BD" w:rsidRPr="00C104EB" w:rsidRDefault="002C17BD" w:rsidP="00780720">
            <w:pPr>
              <w:jc w:val="center"/>
              <w:cnfStyle w:val="000000000000" w:firstRow="0" w:lastRow="0" w:firstColumn="0" w:lastColumn="0" w:oddVBand="0" w:evenVBand="0" w:oddHBand="0" w:evenHBand="0" w:firstRowFirstColumn="0" w:firstRowLastColumn="0" w:lastRowFirstColumn="0" w:lastRowLastColumn="0"/>
            </w:pPr>
          </w:p>
        </w:tc>
      </w:tr>
      <w:tr w:rsidR="002C17BD" w14:paraId="406C7100" w14:textId="77777777" w:rsidTr="00451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36BA710" w14:textId="77777777" w:rsidR="002C17BD" w:rsidRPr="008150F5" w:rsidRDefault="002C17BD" w:rsidP="00780720">
            <w:pPr>
              <w:jc w:val="center"/>
            </w:pPr>
            <w:r w:rsidRPr="008150F5">
              <w:t xml:space="preserve">Medium </w:t>
            </w:r>
            <w:r>
              <w:t>Load</w:t>
            </w:r>
            <w:r w:rsidRPr="008150F5">
              <w:t xml:space="preserve"> Samples</w:t>
            </w:r>
          </w:p>
        </w:tc>
        <w:tc>
          <w:tcPr>
            <w:tcW w:w="3685" w:type="dxa"/>
          </w:tcPr>
          <w:p w14:paraId="23F4D35A" w14:textId="77777777" w:rsidR="002C17BD" w:rsidRDefault="002C17BD" w:rsidP="00780720">
            <w:pPr>
              <w:jc w:val="center"/>
              <w:cnfStyle w:val="000000100000" w:firstRow="0" w:lastRow="0" w:firstColumn="0" w:lastColumn="0" w:oddVBand="0" w:evenVBand="0" w:oddHBand="1" w:evenHBand="0" w:firstRowFirstColumn="0" w:firstRowLastColumn="0" w:lastRowFirstColumn="0" w:lastRowLastColumn="0"/>
            </w:pPr>
          </w:p>
        </w:tc>
        <w:tc>
          <w:tcPr>
            <w:tcW w:w="1276" w:type="dxa"/>
          </w:tcPr>
          <w:p w14:paraId="025CE290" w14:textId="77777777" w:rsidR="002C17BD" w:rsidRPr="00C104EB" w:rsidRDefault="002C17BD" w:rsidP="00780720">
            <w:pPr>
              <w:jc w:val="center"/>
              <w:cnfStyle w:val="000000100000" w:firstRow="0" w:lastRow="0" w:firstColumn="0" w:lastColumn="0" w:oddVBand="0" w:evenVBand="0" w:oddHBand="1" w:evenHBand="0" w:firstRowFirstColumn="0" w:firstRowLastColumn="0" w:lastRowFirstColumn="0" w:lastRowLastColumn="0"/>
            </w:pPr>
          </w:p>
        </w:tc>
      </w:tr>
      <w:tr w:rsidR="002C17BD" w14:paraId="62642EF3" w14:textId="77777777" w:rsidTr="004515C7">
        <w:tc>
          <w:tcPr>
            <w:cnfStyle w:val="001000000000" w:firstRow="0" w:lastRow="0" w:firstColumn="1" w:lastColumn="0" w:oddVBand="0" w:evenVBand="0" w:oddHBand="0" w:evenHBand="0" w:firstRowFirstColumn="0" w:firstRowLastColumn="0" w:lastRowFirstColumn="0" w:lastRowLastColumn="0"/>
            <w:tcW w:w="3261" w:type="dxa"/>
          </w:tcPr>
          <w:p w14:paraId="1B37D9CE" w14:textId="733628B3" w:rsidR="002C17BD" w:rsidRPr="008150F5" w:rsidRDefault="002C17BD" w:rsidP="00780720">
            <w:pPr>
              <w:jc w:val="center"/>
            </w:pPr>
            <w:r w:rsidRPr="008150F5">
              <w:rPr>
                <w:b w:val="0"/>
                <w:bCs w:val="0"/>
              </w:rPr>
              <w:t>30°C in SDP</w:t>
            </w:r>
            <w:r>
              <w:rPr>
                <w:b w:val="0"/>
                <w:bCs w:val="0"/>
              </w:rPr>
              <w:t>s</w:t>
            </w:r>
          </w:p>
        </w:tc>
        <w:tc>
          <w:tcPr>
            <w:tcW w:w="3685" w:type="dxa"/>
          </w:tcPr>
          <w:p w14:paraId="48AB8548" w14:textId="77777777" w:rsidR="002C17BD" w:rsidRDefault="002C17BD" w:rsidP="00780720">
            <w:pPr>
              <w:jc w:val="center"/>
              <w:cnfStyle w:val="000000000000" w:firstRow="0" w:lastRow="0" w:firstColumn="0" w:lastColumn="0" w:oddVBand="0" w:evenVBand="0" w:oddHBand="0" w:evenHBand="0" w:firstRowFirstColumn="0" w:firstRowLastColumn="0" w:lastRowFirstColumn="0" w:lastRowLastColumn="0"/>
            </w:pPr>
            <w:r>
              <w:t>-</w:t>
            </w:r>
            <w:r w:rsidRPr="00C104EB">
              <w:t>0.98 [-1.42, -0.55]</w:t>
            </w:r>
          </w:p>
        </w:tc>
        <w:tc>
          <w:tcPr>
            <w:tcW w:w="1276" w:type="dxa"/>
          </w:tcPr>
          <w:p w14:paraId="77250600" w14:textId="77777777" w:rsidR="002C17BD" w:rsidRPr="00C104EB" w:rsidRDefault="002C17BD" w:rsidP="00780720">
            <w:pPr>
              <w:jc w:val="center"/>
              <w:cnfStyle w:val="000000000000" w:firstRow="0" w:lastRow="0" w:firstColumn="0" w:lastColumn="0" w:oddVBand="0" w:evenVBand="0" w:oddHBand="0" w:evenHBand="0" w:firstRowFirstColumn="0" w:firstRowLastColumn="0" w:lastRowFirstColumn="0" w:lastRowLastColumn="0"/>
            </w:pPr>
            <w:r w:rsidRPr="008150F5">
              <w:rPr>
                <w:b/>
                <w:bCs/>
              </w:rPr>
              <w:t>&lt;0.0001</w:t>
            </w:r>
          </w:p>
        </w:tc>
      </w:tr>
      <w:tr w:rsidR="002C17BD" w14:paraId="48C9AD0B" w14:textId="77777777" w:rsidTr="002F1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86A1158" w14:textId="77777777" w:rsidR="002C17BD" w:rsidRPr="008150F5" w:rsidRDefault="002C17BD" w:rsidP="00780720">
            <w:pPr>
              <w:jc w:val="center"/>
              <w:rPr>
                <w:b w:val="0"/>
                <w:bCs w:val="0"/>
              </w:rPr>
            </w:pPr>
            <w:r w:rsidRPr="008150F5">
              <w:rPr>
                <w:b w:val="0"/>
                <w:bCs w:val="0"/>
              </w:rPr>
              <w:t>-20°C in STGG</w:t>
            </w:r>
          </w:p>
        </w:tc>
        <w:tc>
          <w:tcPr>
            <w:tcW w:w="3685" w:type="dxa"/>
          </w:tcPr>
          <w:p w14:paraId="58283A7A" w14:textId="77777777" w:rsidR="002C17BD" w:rsidRDefault="002C17BD" w:rsidP="00780720">
            <w:pPr>
              <w:jc w:val="center"/>
              <w:cnfStyle w:val="000000100000" w:firstRow="0" w:lastRow="0" w:firstColumn="0" w:lastColumn="0" w:oddVBand="0" w:evenVBand="0" w:oddHBand="1" w:evenHBand="0" w:firstRowFirstColumn="0" w:firstRowLastColumn="0" w:lastRowFirstColumn="0" w:lastRowLastColumn="0"/>
              <w:rPr>
                <w:lang w:eastAsia="en-AU"/>
              </w:rPr>
            </w:pPr>
            <w:r>
              <w:t>-</w:t>
            </w:r>
            <w:r w:rsidRPr="00C104EB">
              <w:t>0.09 [-0.45, 0.27]</w:t>
            </w:r>
          </w:p>
        </w:tc>
        <w:tc>
          <w:tcPr>
            <w:tcW w:w="1276" w:type="dxa"/>
          </w:tcPr>
          <w:p w14:paraId="1A584E89" w14:textId="77777777" w:rsidR="002C17BD" w:rsidRDefault="002C17BD" w:rsidP="00780720">
            <w:pPr>
              <w:jc w:val="center"/>
              <w:cnfStyle w:val="000000100000" w:firstRow="0" w:lastRow="0" w:firstColumn="0" w:lastColumn="0" w:oddVBand="0" w:evenVBand="0" w:oddHBand="1" w:evenHBand="0" w:firstRowFirstColumn="0" w:firstRowLastColumn="0" w:lastRowFirstColumn="0" w:lastRowLastColumn="0"/>
              <w:rPr>
                <w:lang w:eastAsia="en-AU"/>
              </w:rPr>
            </w:pPr>
            <w:r w:rsidRPr="00C104EB">
              <w:t>0.61</w:t>
            </w:r>
          </w:p>
        </w:tc>
      </w:tr>
    </w:tbl>
    <w:p w14:paraId="7C005F93" w14:textId="77777777" w:rsidR="002C17BD" w:rsidRDefault="002C17BD"/>
    <w:p w14:paraId="355F8FC7" w14:textId="77777777" w:rsidR="002C17BD" w:rsidRDefault="002C17BD"/>
    <w:p w14:paraId="0F475B69" w14:textId="77777777" w:rsidR="002C17BD" w:rsidRDefault="002C17BD"/>
    <w:p w14:paraId="416D114F" w14:textId="77777777" w:rsidR="002C17BD" w:rsidRDefault="002C17BD"/>
    <w:p w14:paraId="321235AA" w14:textId="77777777" w:rsidR="002C17BD" w:rsidRDefault="002C17BD"/>
    <w:p w14:paraId="7552BD4D" w14:textId="77777777" w:rsidR="002C17BD" w:rsidRDefault="002C17BD"/>
    <w:p w14:paraId="4E3E13FD" w14:textId="77777777" w:rsidR="002C17BD" w:rsidRDefault="002C17BD"/>
    <w:p w14:paraId="78B7693C" w14:textId="77777777" w:rsidR="002C17BD" w:rsidRDefault="002C17BD"/>
    <w:p w14:paraId="3E6F7B4C" w14:textId="77777777" w:rsidR="002C17BD" w:rsidRDefault="002C17BD"/>
    <w:p w14:paraId="244DE995" w14:textId="77777777" w:rsidR="002C17BD" w:rsidRDefault="002C17BD"/>
    <w:p w14:paraId="07A561A6" w14:textId="77777777" w:rsidR="002C17BD" w:rsidRDefault="002C17BD"/>
    <w:p w14:paraId="02840C91" w14:textId="77777777" w:rsidR="002C17BD" w:rsidRDefault="002C17BD"/>
    <w:p w14:paraId="7E3B42C9" w14:textId="77777777" w:rsidR="002C17BD" w:rsidRDefault="002C17BD"/>
    <w:p w14:paraId="7AFF0D00" w14:textId="77777777" w:rsidR="002C17BD" w:rsidRDefault="002C17BD"/>
    <w:p w14:paraId="6C4F0CBD" w14:textId="77777777" w:rsidR="002C17BD" w:rsidRDefault="002C17BD"/>
    <w:p w14:paraId="7426D32A" w14:textId="77777777" w:rsidR="002C17BD" w:rsidRDefault="002C17BD"/>
    <w:p w14:paraId="18AD7D5F" w14:textId="77777777" w:rsidR="002C17BD" w:rsidRDefault="002C17BD"/>
    <w:p w14:paraId="2D9C4093" w14:textId="77777777" w:rsidR="002C17BD" w:rsidRDefault="002C17BD"/>
    <w:p w14:paraId="0A78AE5A" w14:textId="77777777" w:rsidR="002C17BD" w:rsidRDefault="002C17BD"/>
    <w:p w14:paraId="7AB98E79" w14:textId="77777777" w:rsidR="002C17BD" w:rsidRDefault="002C17BD"/>
    <w:p w14:paraId="5C48D8DB" w14:textId="77777777" w:rsidR="002C17BD" w:rsidRDefault="002C17BD"/>
    <w:p w14:paraId="27686A19" w14:textId="77777777" w:rsidR="002C17BD" w:rsidRDefault="002C17BD"/>
    <w:p w14:paraId="0204F86E" w14:textId="77777777" w:rsidR="002C17BD" w:rsidRDefault="002C17BD"/>
    <w:p w14:paraId="35C82920" w14:textId="77777777" w:rsidR="00916693" w:rsidRDefault="00916693">
      <w:pPr>
        <w:rPr>
          <w:b/>
          <w:bCs/>
        </w:rPr>
        <w:sectPr w:rsidR="00916693" w:rsidSect="002C17BD">
          <w:pgSz w:w="11906" w:h="16838"/>
          <w:pgMar w:top="1440" w:right="1440" w:bottom="1440" w:left="1440" w:header="708" w:footer="708" w:gutter="0"/>
          <w:cols w:space="708"/>
          <w:docGrid w:linePitch="360"/>
        </w:sectPr>
      </w:pPr>
    </w:p>
    <w:p w14:paraId="74AD2DE3" w14:textId="55A0AFBD" w:rsidR="00394E16" w:rsidRPr="00394E16" w:rsidRDefault="00394E16" w:rsidP="00394E16">
      <w:pPr>
        <w:keepNext/>
        <w:jc w:val="center"/>
      </w:pPr>
      <w:r w:rsidRPr="00394E16">
        <w:lastRenderedPageBreak/>
        <w:drawing>
          <wp:inline distT="0" distB="0" distL="0" distR="0" wp14:anchorId="768202AA" wp14:editId="34BABEE2">
            <wp:extent cx="7553325" cy="4516530"/>
            <wp:effectExtent l="0" t="0" r="0" b="0"/>
            <wp:docPr id="1447638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154" b="10426"/>
                    <a:stretch>
                      <a:fillRect/>
                    </a:stretch>
                  </pic:blipFill>
                  <pic:spPr bwMode="auto">
                    <a:xfrm>
                      <a:off x="0" y="0"/>
                      <a:ext cx="7559416" cy="4520172"/>
                    </a:xfrm>
                    <a:prstGeom prst="rect">
                      <a:avLst/>
                    </a:prstGeom>
                    <a:noFill/>
                    <a:ln>
                      <a:noFill/>
                    </a:ln>
                    <a:extLst>
                      <a:ext uri="{53640926-AAD7-44D8-BBD7-CCE9431645EC}">
                        <a14:shadowObscured xmlns:a14="http://schemas.microsoft.com/office/drawing/2010/main"/>
                      </a:ext>
                    </a:extLst>
                  </pic:spPr>
                </pic:pic>
              </a:graphicData>
            </a:graphic>
          </wp:inline>
        </w:drawing>
      </w:r>
    </w:p>
    <w:p w14:paraId="6DED7CEA" w14:textId="080E0564" w:rsidR="00916693" w:rsidRPr="00916693" w:rsidRDefault="00916693">
      <w:pPr>
        <w:sectPr w:rsidR="00916693" w:rsidRPr="00916693" w:rsidSect="00916693">
          <w:pgSz w:w="16838" w:h="11906" w:orient="landscape"/>
          <w:pgMar w:top="1440" w:right="1440" w:bottom="1440" w:left="1440" w:header="709" w:footer="709" w:gutter="0"/>
          <w:cols w:space="708"/>
          <w:docGrid w:linePitch="360"/>
        </w:sectPr>
      </w:pPr>
      <w:r w:rsidRPr="00916693">
        <w:rPr>
          <w:b/>
          <w:bCs/>
        </w:rPr>
        <w:t xml:space="preserve">Figure </w:t>
      </w:r>
      <w:r w:rsidRPr="00916693">
        <w:rPr>
          <w:b/>
          <w:bCs/>
        </w:rPr>
        <w:fldChar w:fldCharType="begin"/>
      </w:r>
      <w:r w:rsidRPr="00916693">
        <w:rPr>
          <w:b/>
          <w:bCs/>
        </w:rPr>
        <w:instrText xml:space="preserve"> SEQ Figure \* ARABIC </w:instrText>
      </w:r>
      <w:r w:rsidRPr="00916693">
        <w:rPr>
          <w:b/>
          <w:bCs/>
        </w:rPr>
        <w:fldChar w:fldCharType="separate"/>
      </w:r>
      <w:r w:rsidRPr="00916693">
        <w:rPr>
          <w:b/>
          <w:bCs/>
        </w:rPr>
        <w:t>1</w:t>
      </w:r>
      <w:r w:rsidRPr="00916693">
        <w:rPr>
          <w:b/>
          <w:bCs/>
        </w:rPr>
        <w:fldChar w:fldCharType="end"/>
      </w:r>
      <w:r w:rsidRPr="00916693">
        <w:t xml:space="preserve"> - Flow chart of sample processin</w:t>
      </w:r>
      <w:r>
        <w:t xml:space="preserve">g. N = 40 stock samples were created including 20 low bacterial load and 20 medium bacterial load (1 per serotype) and were plated for viability on day 0. Stock samples were used to create n = 160 samples per storage condition including 80 low bacterial load and 80 medium bacterial loads and recovered at 2, 7, 14, 21 days. 28 days. Additionally, the stock samples were recovered at 28 days to check viability.   </w:t>
      </w:r>
    </w:p>
    <w:p w14:paraId="49778491" w14:textId="73BE7A94" w:rsidR="002C17BD" w:rsidRPr="002C17BD" w:rsidRDefault="002C17BD">
      <w:pPr>
        <w:rPr>
          <w:b/>
          <w:bCs/>
        </w:rPr>
      </w:pPr>
      <w:r w:rsidRPr="00D506B2">
        <w:rPr>
          <w:b/>
          <w:bCs/>
        </w:rPr>
        <w:lastRenderedPageBreak/>
        <w:t xml:space="preserve">References: </w:t>
      </w:r>
    </w:p>
    <w:p w14:paraId="092594A8" w14:textId="0F273947" w:rsidR="002C17BD" w:rsidRPr="00D506B2" w:rsidRDefault="002C17BD" w:rsidP="00D506B2">
      <w:pPr>
        <w:pStyle w:val="EndNoteBibliography"/>
        <w:spacing w:after="0"/>
      </w:pPr>
      <w:r w:rsidRPr="00D506B2">
        <w:t>1.</w:t>
      </w:r>
      <w:r w:rsidRPr="00D506B2">
        <w:tab/>
      </w:r>
      <w:r w:rsidR="002678D8" w:rsidRPr="00DD1EDD">
        <w:t xml:space="preserve">von Mollendorf C, Ulziibayar M, Gessner BD, et al. Evaluation of the impact of childhood 13-valent pneumococcal conjugate vaccine introduction on adult pneumonia in Ulaanbaatar, Mongolia: study protocol for an observational study. </w:t>
      </w:r>
      <w:r w:rsidR="002678D8" w:rsidRPr="00EB2F40">
        <w:rPr>
          <w:i/>
        </w:rPr>
        <w:t>BMC Public Health</w:t>
      </w:r>
      <w:r w:rsidR="002678D8" w:rsidRPr="002678D8">
        <w:rPr>
          <w:iCs/>
        </w:rPr>
        <w:t>.</w:t>
      </w:r>
      <w:r w:rsidR="002678D8" w:rsidRPr="00DD1EDD">
        <w:t xml:space="preserve"> 2021;21(1):1731. </w:t>
      </w:r>
    </w:p>
    <w:p w14:paraId="01C4ACAE" w14:textId="77777777" w:rsidR="002C17BD" w:rsidRPr="00D506B2" w:rsidRDefault="002C17BD" w:rsidP="00D506B2">
      <w:pPr>
        <w:pStyle w:val="EndNoteBibliography"/>
        <w:spacing w:after="0"/>
      </w:pPr>
      <w:r w:rsidRPr="00D506B2">
        <w:t>2.</w:t>
      </w:r>
      <w:r w:rsidRPr="00D506B2">
        <w:tab/>
        <w:t xml:space="preserve">Russell FM, Carapetis JR, Satzke C, Tikoduadua L, Waqatakirewa L, Chandra R, et al. Pneumococcal nasopharyngeal carriage following reduced doses of a 7-valent pneumococcal conjugate vaccine and a 23-valent pneumococcal polysaccharide vaccine booster. </w:t>
      </w:r>
      <w:r w:rsidRPr="00EB2F40">
        <w:rPr>
          <w:i/>
          <w:iCs/>
        </w:rPr>
        <w:t>Clin Vaccine Immunol.</w:t>
      </w:r>
      <w:r w:rsidRPr="00D506B2">
        <w:t xml:space="preserve"> 2010;17(12):1970–6.</w:t>
      </w:r>
    </w:p>
    <w:p w14:paraId="712132CD" w14:textId="77777777" w:rsidR="002C17BD" w:rsidRPr="00D506B2" w:rsidRDefault="002C17BD" w:rsidP="00D506B2">
      <w:pPr>
        <w:pStyle w:val="EndNoteBibliography"/>
        <w:spacing w:after="0"/>
      </w:pPr>
      <w:r w:rsidRPr="00D506B2">
        <w:t>3.</w:t>
      </w:r>
      <w:r w:rsidRPr="00D506B2">
        <w:tab/>
        <w:t xml:space="preserve">Temple B, Tran HP, Dai VTT, Smith-Vaughan H, Group V-IC, Licciardi PV, et al. Efficacy against pneumococcal carriage and the immunogenicity of reduced-dose (0 + 1 and 1 + 1) PCV10 and PCV13 schedules in Ho Chi Minh City, Viet Nam: a parallel, single-blind, randomised controlled trial. </w:t>
      </w:r>
      <w:r w:rsidRPr="00EB2F40">
        <w:rPr>
          <w:i/>
          <w:iCs/>
        </w:rPr>
        <w:t xml:space="preserve">Lancet Infect Dis. </w:t>
      </w:r>
      <w:r w:rsidRPr="00D506B2">
        <w:t>2023;23(8):933–44.</w:t>
      </w:r>
    </w:p>
    <w:p w14:paraId="21A6C708" w14:textId="12C87D04" w:rsidR="002C17BD" w:rsidRPr="00D506B2" w:rsidRDefault="002C17BD" w:rsidP="00D506B2">
      <w:pPr>
        <w:pStyle w:val="EndNoteBibliography"/>
        <w:spacing w:after="0"/>
      </w:pPr>
      <w:r w:rsidRPr="00D506B2">
        <w:t>4.</w:t>
      </w:r>
      <w:r w:rsidRPr="00D506B2">
        <w:tab/>
        <w:t>von Mollendorf C, Mungun T, Ulziibayar M, Nguyen CD, Batsaikhan P, Suuri B, et al. Effect of pneumococcal conjugate vaccination on pneumococcal carriage in hospitalised children aged 2</w:t>
      </w:r>
      <w:r>
        <w:t>-</w:t>
      </w:r>
      <w:r w:rsidRPr="00D506B2">
        <w:t>5</w:t>
      </w:r>
      <w:r>
        <w:t xml:space="preserve">9 </w:t>
      </w:r>
      <w:r w:rsidRPr="00D506B2">
        <w:t xml:space="preserve">months in Mongolia: an active pneumonia surveillance programme. </w:t>
      </w:r>
      <w:r w:rsidRPr="00EB2F40">
        <w:rPr>
          <w:i/>
          <w:iCs/>
        </w:rPr>
        <w:t>The Lancet Microbe.</w:t>
      </w:r>
      <w:r w:rsidRPr="00D506B2">
        <w:t xml:space="preserve"> 2024;5(12).</w:t>
      </w:r>
    </w:p>
    <w:p w14:paraId="162E3F52" w14:textId="77777777" w:rsidR="002C17BD" w:rsidRPr="00D506B2" w:rsidRDefault="002C17BD" w:rsidP="00D506B2">
      <w:pPr>
        <w:pStyle w:val="EndNoteBibliography"/>
        <w:spacing w:after="0"/>
      </w:pPr>
      <w:r w:rsidRPr="00D506B2">
        <w:t>5.</w:t>
      </w:r>
      <w:r w:rsidRPr="00D506B2">
        <w:tab/>
        <w:t xml:space="preserve">van Zandvoort K, Hassan AI, Bobe MO, Pell CL, Ahmed MS, Ortika BD, et al. Pre-vaccination carriage prevalence of </w:t>
      </w:r>
      <w:r w:rsidRPr="00D506B2">
        <w:rPr>
          <w:i/>
        </w:rPr>
        <w:t xml:space="preserve">Streptococcus pneumoniae </w:t>
      </w:r>
      <w:r w:rsidRPr="00D506B2">
        <w:t>serotypes among internally displaced people in Somaliland: a cross-sectional study</w:t>
      </w:r>
      <w:r w:rsidRPr="00EB2F40">
        <w:rPr>
          <w:i/>
          <w:iCs/>
        </w:rPr>
        <w:t>. Pneumonia.</w:t>
      </w:r>
      <w:r w:rsidRPr="00D506B2">
        <w:t xml:space="preserve"> 2024;16(1):25.</w:t>
      </w:r>
    </w:p>
    <w:p w14:paraId="088ADD62" w14:textId="489A1B08" w:rsidR="002C17BD" w:rsidRDefault="002C17BD" w:rsidP="002C17BD">
      <w:pPr>
        <w:pStyle w:val="EndNoteBibliography"/>
        <w:spacing w:after="0"/>
      </w:pPr>
      <w:r w:rsidRPr="00D506B2">
        <w:t>6.</w:t>
      </w:r>
      <w:r w:rsidRPr="00D506B2">
        <w:tab/>
      </w:r>
      <w:r w:rsidRPr="002C17BD">
        <w:rPr>
          <w:lang w:val="en-AU"/>
        </w:rPr>
        <w:t>SSI Diagnostica. Instructions for use: Bacterial strains [Internet]. 3rd ed. Hillerød (Denmark): SSI Diagnostica; 2024 [cited 2025 Aug 19]. Available from: https://ssid.vps.webdock.cloud/wp-content/uploads/2024/04/IFU-Bacterial-strains-10560-3.pdf</w:t>
      </w:r>
    </w:p>
    <w:p w14:paraId="073FF639" w14:textId="1195809E" w:rsidR="002C17BD" w:rsidRPr="00D506B2" w:rsidRDefault="002C17BD" w:rsidP="002C17BD">
      <w:pPr>
        <w:pStyle w:val="EndNoteBibliography"/>
        <w:spacing w:after="0"/>
      </w:pPr>
      <w:r>
        <w:t xml:space="preserve">7. </w:t>
      </w:r>
      <w:r>
        <w:tab/>
      </w:r>
      <w:r w:rsidRPr="00D506B2">
        <w:t xml:space="preserve">Satzke C, Dunne EM, Porter BD, Klugman KP, Mulholland EK. The PneuCarriage Project: A Multi-Centre Comparative Study to Identify the Best Serotyping Methods for Examining Pneumococcal Carriage in Vaccine Evaluation Studies. </w:t>
      </w:r>
      <w:r w:rsidRPr="00EB2F40">
        <w:rPr>
          <w:i/>
          <w:iCs/>
        </w:rPr>
        <w:t xml:space="preserve">PLoS Med. </w:t>
      </w:r>
      <w:r w:rsidRPr="00D506B2">
        <w:t>2015;12(11):e1001903</w:t>
      </w:r>
      <w:r w:rsidR="004F79D9">
        <w:t>.</w:t>
      </w:r>
    </w:p>
    <w:p w14:paraId="3BD59C7C" w14:textId="77777777" w:rsidR="002C17BD" w:rsidRDefault="002C17BD"/>
    <w:p w14:paraId="0CE1083B" w14:textId="77777777" w:rsidR="002C7F09" w:rsidRDefault="002C7F09"/>
    <w:sectPr w:rsidR="002C7F09" w:rsidSect="0091669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1014"/>
    <w:multiLevelType w:val="hybridMultilevel"/>
    <w:tmpl w:val="1584AC80"/>
    <w:lvl w:ilvl="0" w:tplc="A2E839C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87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2C17BD"/>
    <w:rsid w:val="000C2244"/>
    <w:rsid w:val="000F447D"/>
    <w:rsid w:val="00184130"/>
    <w:rsid w:val="002678D8"/>
    <w:rsid w:val="002C17BD"/>
    <w:rsid w:val="002C7F09"/>
    <w:rsid w:val="00394E16"/>
    <w:rsid w:val="004F79D9"/>
    <w:rsid w:val="006C3C55"/>
    <w:rsid w:val="00721A1E"/>
    <w:rsid w:val="007649BB"/>
    <w:rsid w:val="00916693"/>
    <w:rsid w:val="0092496A"/>
    <w:rsid w:val="009716FA"/>
    <w:rsid w:val="00974FDC"/>
    <w:rsid w:val="0097510A"/>
    <w:rsid w:val="00AF427F"/>
    <w:rsid w:val="00EB2F40"/>
    <w:rsid w:val="00EE6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1D44"/>
  <w15:chartTrackingRefBased/>
  <w15:docId w15:val="{3F5A0444-C4E2-4892-8B01-292EDFC7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BD"/>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17B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17B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17B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17B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C17B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C17B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C17B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C17B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C17B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7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7BD"/>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2C17BD"/>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2C17BD"/>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2C17BD"/>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2C17BD"/>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2C17BD"/>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2C17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7B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1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7B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C17BD"/>
    <w:rPr>
      <w:i/>
      <w:iCs/>
      <w:color w:val="404040" w:themeColor="text1" w:themeTint="BF"/>
      <w:sz w:val="22"/>
      <w:szCs w:val="22"/>
    </w:rPr>
  </w:style>
  <w:style w:type="paragraph" w:styleId="ListParagraph">
    <w:name w:val="List Paragraph"/>
    <w:basedOn w:val="Normal"/>
    <w:uiPriority w:val="34"/>
    <w:qFormat/>
    <w:rsid w:val="002C17BD"/>
    <w:pPr>
      <w:ind w:left="720"/>
      <w:contextualSpacing/>
    </w:pPr>
    <w:rPr>
      <w:kern w:val="2"/>
      <w14:ligatures w14:val="standardContextual"/>
    </w:rPr>
  </w:style>
  <w:style w:type="character" w:styleId="IntenseEmphasis">
    <w:name w:val="Intense Emphasis"/>
    <w:basedOn w:val="DefaultParagraphFont"/>
    <w:uiPriority w:val="21"/>
    <w:qFormat/>
    <w:rsid w:val="002C17BD"/>
    <w:rPr>
      <w:i/>
      <w:iCs/>
      <w:color w:val="0F4761" w:themeColor="accent1" w:themeShade="BF"/>
    </w:rPr>
  </w:style>
  <w:style w:type="paragraph" w:styleId="IntenseQuote">
    <w:name w:val="Intense Quote"/>
    <w:basedOn w:val="Normal"/>
    <w:next w:val="Normal"/>
    <w:link w:val="IntenseQuoteChar"/>
    <w:uiPriority w:val="30"/>
    <w:qFormat/>
    <w:rsid w:val="002C1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C17BD"/>
    <w:rPr>
      <w:i/>
      <w:iCs/>
      <w:color w:val="0F4761" w:themeColor="accent1" w:themeShade="BF"/>
      <w:sz w:val="22"/>
      <w:szCs w:val="22"/>
    </w:rPr>
  </w:style>
  <w:style w:type="character" w:styleId="IntenseReference">
    <w:name w:val="Intense Reference"/>
    <w:basedOn w:val="DefaultParagraphFont"/>
    <w:uiPriority w:val="32"/>
    <w:qFormat/>
    <w:rsid w:val="002C17BD"/>
    <w:rPr>
      <w:b/>
      <w:bCs/>
      <w:smallCaps/>
      <w:color w:val="0F4761" w:themeColor="accent1" w:themeShade="BF"/>
      <w:spacing w:val="5"/>
    </w:rPr>
  </w:style>
  <w:style w:type="character" w:styleId="CommentReference">
    <w:name w:val="annotation reference"/>
    <w:basedOn w:val="DefaultParagraphFont"/>
    <w:uiPriority w:val="99"/>
    <w:semiHidden/>
    <w:unhideWhenUsed/>
    <w:rsid w:val="002C17BD"/>
    <w:rPr>
      <w:rFonts w:cs="Times New Roman"/>
      <w:sz w:val="16"/>
      <w:szCs w:val="16"/>
    </w:rPr>
  </w:style>
  <w:style w:type="paragraph" w:styleId="CommentText">
    <w:name w:val="annotation text"/>
    <w:basedOn w:val="Normal"/>
    <w:link w:val="CommentTextChar"/>
    <w:uiPriority w:val="99"/>
    <w:unhideWhenUsed/>
    <w:rsid w:val="002C17BD"/>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2C17BD"/>
    <w:rPr>
      <w:rFonts w:eastAsia="Times New Roman" w:cs="Times New Roman"/>
      <w:kern w:val="0"/>
      <w:sz w:val="20"/>
      <w:szCs w:val="20"/>
      <w14:ligatures w14:val="none"/>
    </w:rPr>
  </w:style>
  <w:style w:type="table" w:styleId="TableGrid">
    <w:name w:val="Table Grid"/>
    <w:basedOn w:val="TableNormal"/>
    <w:uiPriority w:val="39"/>
    <w:rsid w:val="002C17BD"/>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C17BD"/>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C17BD"/>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2C17BD"/>
    <w:rPr>
      <w:b/>
      <w:bCs/>
    </w:rPr>
  </w:style>
  <w:style w:type="character" w:customStyle="1" w:styleId="CommentSubjectChar">
    <w:name w:val="Comment Subject Char"/>
    <w:basedOn w:val="CommentTextChar"/>
    <w:link w:val="CommentSubject"/>
    <w:uiPriority w:val="99"/>
    <w:semiHidden/>
    <w:rsid w:val="002C17BD"/>
    <w:rPr>
      <w:rFonts w:eastAsia="Times New Roman" w:cs="Times New Roman"/>
      <w:b/>
      <w:bCs/>
      <w:kern w:val="0"/>
      <w:sz w:val="20"/>
      <w:szCs w:val="20"/>
      <w14:ligatures w14:val="none"/>
    </w:rPr>
  </w:style>
  <w:style w:type="paragraph" w:customStyle="1" w:styleId="EndNoteBibliography">
    <w:name w:val="EndNote Bibliography"/>
    <w:basedOn w:val="Normal"/>
    <w:link w:val="EndNoteBibliographyChar"/>
    <w:rsid w:val="002C17BD"/>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2C17BD"/>
    <w:rPr>
      <w:rFonts w:ascii="Aptos" w:hAnsi="Aptos"/>
      <w:noProof/>
      <w:kern w:val="0"/>
      <w:sz w:val="22"/>
      <w:szCs w:val="22"/>
      <w:lang w:val="en-US"/>
      <w14:ligatures w14:val="none"/>
    </w:rPr>
  </w:style>
  <w:style w:type="paragraph" w:customStyle="1" w:styleId="xmsonormal">
    <w:name w:val="x_msonormal"/>
    <w:basedOn w:val="Normal"/>
    <w:rsid w:val="002C17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BibliographyTitle">
    <w:name w:val="EndNote Bibliography Title"/>
    <w:basedOn w:val="Normal"/>
    <w:link w:val="EndNoteBibliographyTitleChar"/>
    <w:rsid w:val="002C17BD"/>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2C17BD"/>
    <w:rPr>
      <w:rFonts w:ascii="Aptos" w:hAnsi="Aptos"/>
      <w:noProof/>
      <w:kern w:val="0"/>
      <w:sz w:val="22"/>
      <w:szCs w:val="22"/>
      <w:lang w:val="en-US"/>
      <w14:ligatures w14:val="none"/>
    </w:rPr>
  </w:style>
  <w:style w:type="character" w:styleId="Hyperlink">
    <w:name w:val="Hyperlink"/>
    <w:basedOn w:val="DefaultParagraphFont"/>
    <w:uiPriority w:val="99"/>
    <w:unhideWhenUsed/>
    <w:rsid w:val="002C17BD"/>
    <w:rPr>
      <w:color w:val="467886" w:themeColor="hyperlink"/>
      <w:u w:val="single"/>
    </w:rPr>
  </w:style>
  <w:style w:type="character" w:styleId="UnresolvedMention">
    <w:name w:val="Unresolved Mention"/>
    <w:basedOn w:val="DefaultParagraphFont"/>
    <w:uiPriority w:val="99"/>
    <w:semiHidden/>
    <w:unhideWhenUsed/>
    <w:rsid w:val="002C17BD"/>
    <w:rPr>
      <w:color w:val="605E5C"/>
      <w:shd w:val="clear" w:color="auto" w:fill="E1DFDD"/>
    </w:rPr>
  </w:style>
  <w:style w:type="character" w:styleId="FollowedHyperlink">
    <w:name w:val="FollowedHyperlink"/>
    <w:basedOn w:val="DefaultParagraphFont"/>
    <w:uiPriority w:val="99"/>
    <w:semiHidden/>
    <w:unhideWhenUsed/>
    <w:rsid w:val="002C17BD"/>
    <w:rPr>
      <w:color w:val="96607D" w:themeColor="followedHyperlink"/>
      <w:u w:val="single"/>
    </w:rPr>
  </w:style>
  <w:style w:type="paragraph" w:styleId="Caption">
    <w:name w:val="caption"/>
    <w:basedOn w:val="Normal"/>
    <w:next w:val="Normal"/>
    <w:uiPriority w:val="35"/>
    <w:unhideWhenUsed/>
    <w:qFormat/>
    <w:rsid w:val="0091669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2378D-76F4-4FF0-9075-CDAA27DA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Wee-Hee</dc:creator>
  <cp:keywords/>
  <dc:description/>
  <cp:lastModifiedBy>Ashleigh Wee-Hee</cp:lastModifiedBy>
  <cp:revision>3</cp:revision>
  <dcterms:created xsi:type="dcterms:W3CDTF">2026-03-04T22:38:00Z</dcterms:created>
  <dcterms:modified xsi:type="dcterms:W3CDTF">2026-03-04T23:53:00Z</dcterms:modified>
</cp:coreProperties>
</file>