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7D1EA9" w14:textId="77777777" w:rsidR="0003023C" w:rsidRPr="00F56BA1" w:rsidRDefault="0003023C" w:rsidP="0003023C">
      <w:pPr>
        <w:pStyle w:val="Heading1"/>
        <w:spacing w:line="360" w:lineRule="auto"/>
        <w:jc w:val="both"/>
        <w:rPr>
          <w:rFonts w:asciiTheme="majorBidi" w:hAnsiTheme="majorBidi"/>
          <w:sz w:val="24"/>
          <w:szCs w:val="24"/>
        </w:rPr>
      </w:pPr>
      <w:r>
        <w:t>Appendix A. Blank Scorecard (Printable)</w:t>
      </w:r>
    </w:p>
    <w:p w14:paraId="1B0E1D0D" w14:textId="77777777" w:rsidR="0003023C" w:rsidRPr="00F56BA1" w:rsidRDefault="0003023C" w:rsidP="0003023C">
      <w:pPr>
        <w:spacing w:line="360" w:lineRule="auto"/>
        <w:jc w:val="both"/>
        <w:rPr>
          <w:rFonts w:asciiTheme="majorBidi" w:hAnsiTheme="majorBidi" w:cstheme="majorBidi"/>
          <w:szCs w:val="24"/>
        </w:rPr>
      </w:pPr>
      <w:r>
        <w:t>Use this blank sheet for project scoring. Fill scores (0–5), compute weighted scores, and attach the evidence log.</w:t>
      </w:r>
    </w:p>
    <w:tbl>
      <w:tblPr>
        <w:tblStyle w:val="TableGrid"/>
        <w:tblW w:w="0" w:type="auto"/>
        <w:jc w:val="center"/>
        <w:tblLook w:val="04A0" w:firstRow="1" w:lastRow="0" w:firstColumn="1" w:lastColumn="0" w:noHBand="0" w:noVBand="1"/>
      </w:tblPr>
      <w:tblGrid>
        <w:gridCol w:w="1780"/>
        <w:gridCol w:w="1436"/>
        <w:gridCol w:w="1436"/>
        <w:gridCol w:w="1438"/>
        <w:gridCol w:w="1438"/>
        <w:gridCol w:w="1866"/>
      </w:tblGrid>
      <w:tr w:rsidR="0003023C" w:rsidRPr="00F56BA1" w14:paraId="10591276" w14:textId="77777777" w:rsidTr="008D79AA">
        <w:trPr>
          <w:jc w:val="center"/>
        </w:trPr>
        <w:tc>
          <w:tcPr>
            <w:tcW w:w="1440" w:type="dxa"/>
            <w:vAlign w:val="center"/>
          </w:tcPr>
          <w:p w14:paraId="077D4588" w14:textId="77777777" w:rsidR="0003023C" w:rsidRPr="00F56BA1" w:rsidRDefault="0003023C" w:rsidP="008D79AA">
            <w:pPr>
              <w:spacing w:line="360" w:lineRule="auto"/>
              <w:jc w:val="both"/>
              <w:rPr>
                <w:rFonts w:asciiTheme="majorBidi" w:hAnsiTheme="majorBidi" w:cstheme="majorBidi"/>
                <w:szCs w:val="24"/>
              </w:rPr>
            </w:pPr>
            <w:r w:rsidRPr="00F56BA1">
              <w:rPr>
                <w:rFonts w:asciiTheme="majorBidi" w:hAnsiTheme="majorBidi" w:cstheme="majorBidi"/>
                <w:b/>
                <w:szCs w:val="24"/>
              </w:rPr>
              <w:t>Criterion</w:t>
            </w:r>
          </w:p>
        </w:tc>
        <w:tc>
          <w:tcPr>
            <w:tcW w:w="1440" w:type="dxa"/>
            <w:vAlign w:val="center"/>
          </w:tcPr>
          <w:p w14:paraId="6BE122A8" w14:textId="77777777" w:rsidR="0003023C" w:rsidRPr="00F56BA1" w:rsidRDefault="0003023C" w:rsidP="008D79AA">
            <w:pPr>
              <w:spacing w:line="360" w:lineRule="auto"/>
              <w:jc w:val="both"/>
              <w:rPr>
                <w:rFonts w:asciiTheme="majorBidi" w:hAnsiTheme="majorBidi" w:cstheme="majorBidi"/>
                <w:szCs w:val="24"/>
              </w:rPr>
            </w:pPr>
            <w:r w:rsidRPr="00F56BA1">
              <w:rPr>
                <w:rFonts w:asciiTheme="majorBidi" w:hAnsiTheme="majorBidi" w:cstheme="majorBidi"/>
                <w:b/>
                <w:szCs w:val="24"/>
              </w:rPr>
              <w:t>Weight (%)</w:t>
            </w:r>
          </w:p>
        </w:tc>
        <w:tc>
          <w:tcPr>
            <w:tcW w:w="1440" w:type="dxa"/>
            <w:vAlign w:val="center"/>
          </w:tcPr>
          <w:p w14:paraId="36FB8656" w14:textId="77777777" w:rsidR="0003023C" w:rsidRPr="00F56BA1" w:rsidRDefault="0003023C" w:rsidP="008D79AA">
            <w:pPr>
              <w:spacing w:line="360" w:lineRule="auto"/>
              <w:jc w:val="both"/>
              <w:rPr>
                <w:rFonts w:asciiTheme="majorBidi" w:hAnsiTheme="majorBidi" w:cstheme="majorBidi"/>
                <w:szCs w:val="24"/>
              </w:rPr>
            </w:pPr>
            <w:r w:rsidRPr="00F56BA1">
              <w:rPr>
                <w:rFonts w:asciiTheme="majorBidi" w:hAnsiTheme="majorBidi" w:cstheme="majorBidi"/>
                <w:b/>
                <w:szCs w:val="24"/>
              </w:rPr>
              <w:t>Score (0–5)</w:t>
            </w:r>
          </w:p>
        </w:tc>
        <w:tc>
          <w:tcPr>
            <w:tcW w:w="1440" w:type="dxa"/>
            <w:vAlign w:val="center"/>
          </w:tcPr>
          <w:p w14:paraId="6A5D5C18" w14:textId="77777777" w:rsidR="0003023C" w:rsidRPr="00F56BA1" w:rsidRDefault="0003023C" w:rsidP="008D79AA">
            <w:pPr>
              <w:spacing w:line="360" w:lineRule="auto"/>
              <w:jc w:val="both"/>
              <w:rPr>
                <w:rFonts w:asciiTheme="majorBidi" w:hAnsiTheme="majorBidi" w:cstheme="majorBidi"/>
                <w:szCs w:val="24"/>
              </w:rPr>
            </w:pPr>
            <w:r w:rsidRPr="00F56BA1">
              <w:rPr>
                <w:rFonts w:asciiTheme="majorBidi" w:hAnsiTheme="majorBidi" w:cstheme="majorBidi"/>
                <w:b/>
                <w:szCs w:val="24"/>
              </w:rPr>
              <w:t>Weighted score</w:t>
            </w:r>
          </w:p>
        </w:tc>
        <w:tc>
          <w:tcPr>
            <w:tcW w:w="1440" w:type="dxa"/>
            <w:vAlign w:val="center"/>
          </w:tcPr>
          <w:p w14:paraId="1AA2F02B" w14:textId="77777777" w:rsidR="0003023C" w:rsidRPr="00F56BA1" w:rsidRDefault="0003023C" w:rsidP="008D79AA">
            <w:pPr>
              <w:spacing w:line="360" w:lineRule="auto"/>
              <w:jc w:val="both"/>
              <w:rPr>
                <w:rFonts w:asciiTheme="majorBidi" w:hAnsiTheme="majorBidi" w:cstheme="majorBidi"/>
                <w:szCs w:val="24"/>
              </w:rPr>
            </w:pPr>
            <w:r w:rsidRPr="00F56BA1">
              <w:rPr>
                <w:rFonts w:asciiTheme="majorBidi" w:hAnsiTheme="majorBidi" w:cstheme="majorBidi"/>
                <w:b/>
                <w:szCs w:val="24"/>
              </w:rPr>
              <w:t>Evidence refs</w:t>
            </w:r>
          </w:p>
        </w:tc>
        <w:tc>
          <w:tcPr>
            <w:tcW w:w="1440" w:type="dxa"/>
            <w:vAlign w:val="center"/>
          </w:tcPr>
          <w:p w14:paraId="77E4673A" w14:textId="77777777" w:rsidR="0003023C" w:rsidRPr="00F56BA1" w:rsidRDefault="0003023C" w:rsidP="008D79AA">
            <w:pPr>
              <w:spacing w:line="360" w:lineRule="auto"/>
              <w:jc w:val="both"/>
              <w:rPr>
                <w:rFonts w:asciiTheme="majorBidi" w:hAnsiTheme="majorBidi" w:cstheme="majorBidi"/>
                <w:szCs w:val="24"/>
              </w:rPr>
            </w:pPr>
            <w:r w:rsidRPr="00F56BA1">
              <w:rPr>
                <w:rFonts w:asciiTheme="majorBidi" w:hAnsiTheme="majorBidi" w:cstheme="majorBidi"/>
                <w:b/>
                <w:szCs w:val="24"/>
              </w:rPr>
              <w:t>Recommendation / corrective action</w:t>
            </w:r>
          </w:p>
        </w:tc>
      </w:tr>
      <w:tr w:rsidR="0003023C" w:rsidRPr="00F56BA1" w14:paraId="243FEC6D" w14:textId="77777777" w:rsidTr="008D79AA">
        <w:trPr>
          <w:jc w:val="center"/>
        </w:trPr>
        <w:tc>
          <w:tcPr>
            <w:tcW w:w="1440" w:type="dxa"/>
            <w:vAlign w:val="center"/>
          </w:tcPr>
          <w:p w14:paraId="4425EC0B" w14:textId="77777777" w:rsidR="0003023C" w:rsidRPr="00F56BA1" w:rsidRDefault="0003023C" w:rsidP="008D79AA">
            <w:pPr>
              <w:spacing w:line="360" w:lineRule="auto"/>
              <w:jc w:val="both"/>
              <w:rPr>
                <w:rFonts w:asciiTheme="majorBidi" w:hAnsiTheme="majorBidi" w:cstheme="majorBidi"/>
                <w:szCs w:val="24"/>
              </w:rPr>
            </w:pPr>
            <w:r w:rsidRPr="00F56BA1">
              <w:rPr>
                <w:rFonts w:asciiTheme="majorBidi" w:hAnsiTheme="majorBidi" w:cstheme="majorBidi"/>
                <w:szCs w:val="24"/>
              </w:rPr>
              <w:t>A. Legality &amp; ethical permissibility</w:t>
            </w:r>
          </w:p>
        </w:tc>
        <w:tc>
          <w:tcPr>
            <w:tcW w:w="1440" w:type="dxa"/>
            <w:vAlign w:val="center"/>
          </w:tcPr>
          <w:p w14:paraId="7DDD3E28" w14:textId="77777777" w:rsidR="0003023C" w:rsidRPr="00F56BA1" w:rsidRDefault="0003023C" w:rsidP="008D79AA">
            <w:pPr>
              <w:spacing w:line="360" w:lineRule="auto"/>
              <w:jc w:val="both"/>
              <w:rPr>
                <w:rFonts w:asciiTheme="majorBidi" w:hAnsiTheme="majorBidi" w:cstheme="majorBidi"/>
                <w:szCs w:val="24"/>
              </w:rPr>
            </w:pPr>
            <w:r w:rsidRPr="00F56BA1">
              <w:rPr>
                <w:rFonts w:asciiTheme="majorBidi" w:hAnsiTheme="majorBidi" w:cstheme="majorBidi"/>
                <w:szCs w:val="24"/>
              </w:rPr>
              <w:t>12</w:t>
            </w:r>
          </w:p>
        </w:tc>
        <w:tc>
          <w:tcPr>
            <w:tcW w:w="1440" w:type="dxa"/>
            <w:vAlign w:val="center"/>
          </w:tcPr>
          <w:p w14:paraId="2BA66E68" w14:textId="77777777" w:rsidR="0003023C" w:rsidRPr="00F56BA1" w:rsidRDefault="0003023C" w:rsidP="008D79AA">
            <w:pPr>
              <w:spacing w:line="360" w:lineRule="auto"/>
              <w:jc w:val="both"/>
              <w:rPr>
                <w:rFonts w:asciiTheme="majorBidi" w:hAnsiTheme="majorBidi" w:cstheme="majorBidi"/>
                <w:szCs w:val="24"/>
              </w:rPr>
            </w:pPr>
          </w:p>
        </w:tc>
        <w:tc>
          <w:tcPr>
            <w:tcW w:w="1440" w:type="dxa"/>
            <w:vAlign w:val="center"/>
          </w:tcPr>
          <w:p w14:paraId="2AE65896" w14:textId="77777777" w:rsidR="0003023C" w:rsidRPr="00F56BA1" w:rsidRDefault="0003023C" w:rsidP="008D79AA">
            <w:pPr>
              <w:spacing w:line="360" w:lineRule="auto"/>
              <w:jc w:val="both"/>
              <w:rPr>
                <w:rFonts w:asciiTheme="majorBidi" w:hAnsiTheme="majorBidi" w:cstheme="majorBidi"/>
                <w:szCs w:val="24"/>
              </w:rPr>
            </w:pPr>
          </w:p>
        </w:tc>
        <w:tc>
          <w:tcPr>
            <w:tcW w:w="1440" w:type="dxa"/>
            <w:vAlign w:val="center"/>
          </w:tcPr>
          <w:p w14:paraId="61E12CEF" w14:textId="77777777" w:rsidR="0003023C" w:rsidRPr="00F56BA1" w:rsidRDefault="0003023C" w:rsidP="008D79AA">
            <w:pPr>
              <w:spacing w:line="360" w:lineRule="auto"/>
              <w:jc w:val="both"/>
              <w:rPr>
                <w:rFonts w:asciiTheme="majorBidi" w:hAnsiTheme="majorBidi" w:cstheme="majorBidi"/>
                <w:szCs w:val="24"/>
              </w:rPr>
            </w:pPr>
          </w:p>
        </w:tc>
        <w:tc>
          <w:tcPr>
            <w:tcW w:w="1440" w:type="dxa"/>
            <w:vAlign w:val="center"/>
          </w:tcPr>
          <w:p w14:paraId="1685C0BE" w14:textId="77777777" w:rsidR="0003023C" w:rsidRPr="00F56BA1" w:rsidRDefault="0003023C" w:rsidP="008D79AA">
            <w:pPr>
              <w:spacing w:line="360" w:lineRule="auto"/>
              <w:jc w:val="both"/>
              <w:rPr>
                <w:rFonts w:asciiTheme="majorBidi" w:hAnsiTheme="majorBidi" w:cstheme="majorBidi"/>
                <w:szCs w:val="24"/>
              </w:rPr>
            </w:pPr>
          </w:p>
        </w:tc>
      </w:tr>
      <w:tr w:rsidR="0003023C" w:rsidRPr="00F56BA1" w14:paraId="408B636B" w14:textId="77777777" w:rsidTr="008D79AA">
        <w:trPr>
          <w:jc w:val="center"/>
        </w:trPr>
        <w:tc>
          <w:tcPr>
            <w:tcW w:w="1440" w:type="dxa"/>
            <w:vAlign w:val="center"/>
          </w:tcPr>
          <w:p w14:paraId="435DDC4D" w14:textId="77777777" w:rsidR="0003023C" w:rsidRPr="00F56BA1" w:rsidRDefault="0003023C" w:rsidP="008D79AA">
            <w:pPr>
              <w:spacing w:line="360" w:lineRule="auto"/>
              <w:jc w:val="both"/>
              <w:rPr>
                <w:rFonts w:asciiTheme="majorBidi" w:hAnsiTheme="majorBidi" w:cstheme="majorBidi"/>
                <w:szCs w:val="24"/>
              </w:rPr>
            </w:pPr>
            <w:r w:rsidRPr="00F56BA1">
              <w:rPr>
                <w:rFonts w:asciiTheme="majorBidi" w:hAnsiTheme="majorBidi" w:cstheme="majorBidi"/>
                <w:szCs w:val="24"/>
              </w:rPr>
              <w:t>B. Justice &amp; equitable benefit distribution</w:t>
            </w:r>
          </w:p>
        </w:tc>
        <w:tc>
          <w:tcPr>
            <w:tcW w:w="1440" w:type="dxa"/>
            <w:vAlign w:val="center"/>
          </w:tcPr>
          <w:p w14:paraId="02D9537D" w14:textId="77777777" w:rsidR="0003023C" w:rsidRPr="00F56BA1" w:rsidRDefault="0003023C" w:rsidP="008D79AA">
            <w:pPr>
              <w:spacing w:line="360" w:lineRule="auto"/>
              <w:jc w:val="both"/>
              <w:rPr>
                <w:rFonts w:asciiTheme="majorBidi" w:hAnsiTheme="majorBidi" w:cstheme="majorBidi"/>
                <w:szCs w:val="24"/>
              </w:rPr>
            </w:pPr>
            <w:r w:rsidRPr="00F56BA1">
              <w:rPr>
                <w:rFonts w:asciiTheme="majorBidi" w:hAnsiTheme="majorBidi" w:cstheme="majorBidi"/>
                <w:szCs w:val="24"/>
              </w:rPr>
              <w:t>15</w:t>
            </w:r>
          </w:p>
        </w:tc>
        <w:tc>
          <w:tcPr>
            <w:tcW w:w="1440" w:type="dxa"/>
            <w:vAlign w:val="center"/>
          </w:tcPr>
          <w:p w14:paraId="666489E5" w14:textId="77777777" w:rsidR="0003023C" w:rsidRPr="00F56BA1" w:rsidRDefault="0003023C" w:rsidP="008D79AA">
            <w:pPr>
              <w:spacing w:line="360" w:lineRule="auto"/>
              <w:jc w:val="both"/>
              <w:rPr>
                <w:rFonts w:asciiTheme="majorBidi" w:hAnsiTheme="majorBidi" w:cstheme="majorBidi"/>
                <w:szCs w:val="24"/>
              </w:rPr>
            </w:pPr>
          </w:p>
        </w:tc>
        <w:tc>
          <w:tcPr>
            <w:tcW w:w="1440" w:type="dxa"/>
            <w:vAlign w:val="center"/>
          </w:tcPr>
          <w:p w14:paraId="3A0B0BD5" w14:textId="77777777" w:rsidR="0003023C" w:rsidRPr="00F56BA1" w:rsidRDefault="0003023C" w:rsidP="008D79AA">
            <w:pPr>
              <w:spacing w:line="360" w:lineRule="auto"/>
              <w:jc w:val="both"/>
              <w:rPr>
                <w:rFonts w:asciiTheme="majorBidi" w:hAnsiTheme="majorBidi" w:cstheme="majorBidi"/>
                <w:szCs w:val="24"/>
              </w:rPr>
            </w:pPr>
          </w:p>
        </w:tc>
        <w:tc>
          <w:tcPr>
            <w:tcW w:w="1440" w:type="dxa"/>
            <w:vAlign w:val="center"/>
          </w:tcPr>
          <w:p w14:paraId="54D1BB9A" w14:textId="77777777" w:rsidR="0003023C" w:rsidRPr="00F56BA1" w:rsidRDefault="0003023C" w:rsidP="008D79AA">
            <w:pPr>
              <w:spacing w:line="360" w:lineRule="auto"/>
              <w:jc w:val="both"/>
              <w:rPr>
                <w:rFonts w:asciiTheme="majorBidi" w:hAnsiTheme="majorBidi" w:cstheme="majorBidi"/>
                <w:szCs w:val="24"/>
              </w:rPr>
            </w:pPr>
          </w:p>
        </w:tc>
        <w:tc>
          <w:tcPr>
            <w:tcW w:w="1440" w:type="dxa"/>
            <w:vAlign w:val="center"/>
          </w:tcPr>
          <w:p w14:paraId="0D16D8E4" w14:textId="77777777" w:rsidR="0003023C" w:rsidRPr="00F56BA1" w:rsidRDefault="0003023C" w:rsidP="008D79AA">
            <w:pPr>
              <w:spacing w:line="360" w:lineRule="auto"/>
              <w:jc w:val="both"/>
              <w:rPr>
                <w:rFonts w:asciiTheme="majorBidi" w:hAnsiTheme="majorBidi" w:cstheme="majorBidi"/>
                <w:szCs w:val="24"/>
              </w:rPr>
            </w:pPr>
          </w:p>
        </w:tc>
      </w:tr>
      <w:tr w:rsidR="0003023C" w:rsidRPr="00F56BA1" w14:paraId="76445D20" w14:textId="77777777" w:rsidTr="008D79AA">
        <w:trPr>
          <w:jc w:val="center"/>
        </w:trPr>
        <w:tc>
          <w:tcPr>
            <w:tcW w:w="1440" w:type="dxa"/>
            <w:vAlign w:val="center"/>
          </w:tcPr>
          <w:p w14:paraId="3E71C960" w14:textId="77777777" w:rsidR="0003023C" w:rsidRPr="00F56BA1" w:rsidRDefault="0003023C" w:rsidP="008D79AA">
            <w:pPr>
              <w:spacing w:line="360" w:lineRule="auto"/>
              <w:jc w:val="both"/>
              <w:rPr>
                <w:rFonts w:asciiTheme="majorBidi" w:hAnsiTheme="majorBidi" w:cstheme="majorBidi"/>
                <w:szCs w:val="24"/>
              </w:rPr>
            </w:pPr>
            <w:r w:rsidRPr="00F56BA1">
              <w:rPr>
                <w:rFonts w:asciiTheme="majorBidi" w:hAnsiTheme="majorBidi" w:cstheme="majorBidi"/>
                <w:szCs w:val="24"/>
              </w:rPr>
              <w:t>C. Public benefit &amp; essential services</w:t>
            </w:r>
          </w:p>
        </w:tc>
        <w:tc>
          <w:tcPr>
            <w:tcW w:w="1440" w:type="dxa"/>
            <w:vAlign w:val="center"/>
          </w:tcPr>
          <w:p w14:paraId="2E4748FC" w14:textId="77777777" w:rsidR="0003023C" w:rsidRPr="00F56BA1" w:rsidRDefault="0003023C" w:rsidP="008D79AA">
            <w:pPr>
              <w:spacing w:line="360" w:lineRule="auto"/>
              <w:jc w:val="both"/>
              <w:rPr>
                <w:rFonts w:asciiTheme="majorBidi" w:hAnsiTheme="majorBidi" w:cstheme="majorBidi"/>
                <w:szCs w:val="24"/>
              </w:rPr>
            </w:pPr>
            <w:r w:rsidRPr="00F56BA1">
              <w:rPr>
                <w:rFonts w:asciiTheme="majorBidi" w:hAnsiTheme="majorBidi" w:cstheme="majorBidi"/>
                <w:szCs w:val="24"/>
              </w:rPr>
              <w:t>10</w:t>
            </w:r>
          </w:p>
        </w:tc>
        <w:tc>
          <w:tcPr>
            <w:tcW w:w="1440" w:type="dxa"/>
            <w:vAlign w:val="center"/>
          </w:tcPr>
          <w:p w14:paraId="7FC7AE9B" w14:textId="77777777" w:rsidR="0003023C" w:rsidRPr="00F56BA1" w:rsidRDefault="0003023C" w:rsidP="008D79AA">
            <w:pPr>
              <w:spacing w:line="360" w:lineRule="auto"/>
              <w:jc w:val="both"/>
              <w:rPr>
                <w:rFonts w:asciiTheme="majorBidi" w:hAnsiTheme="majorBidi" w:cstheme="majorBidi"/>
                <w:szCs w:val="24"/>
              </w:rPr>
            </w:pPr>
          </w:p>
        </w:tc>
        <w:tc>
          <w:tcPr>
            <w:tcW w:w="1440" w:type="dxa"/>
            <w:vAlign w:val="center"/>
          </w:tcPr>
          <w:p w14:paraId="2A825FF4" w14:textId="77777777" w:rsidR="0003023C" w:rsidRPr="00F56BA1" w:rsidRDefault="0003023C" w:rsidP="008D79AA">
            <w:pPr>
              <w:spacing w:line="360" w:lineRule="auto"/>
              <w:jc w:val="both"/>
              <w:rPr>
                <w:rFonts w:asciiTheme="majorBidi" w:hAnsiTheme="majorBidi" w:cstheme="majorBidi"/>
                <w:szCs w:val="24"/>
              </w:rPr>
            </w:pPr>
          </w:p>
        </w:tc>
        <w:tc>
          <w:tcPr>
            <w:tcW w:w="1440" w:type="dxa"/>
            <w:vAlign w:val="center"/>
          </w:tcPr>
          <w:p w14:paraId="66A7DFFE" w14:textId="77777777" w:rsidR="0003023C" w:rsidRPr="00F56BA1" w:rsidRDefault="0003023C" w:rsidP="008D79AA">
            <w:pPr>
              <w:spacing w:line="360" w:lineRule="auto"/>
              <w:jc w:val="both"/>
              <w:rPr>
                <w:rFonts w:asciiTheme="majorBidi" w:hAnsiTheme="majorBidi" w:cstheme="majorBidi"/>
                <w:szCs w:val="24"/>
              </w:rPr>
            </w:pPr>
          </w:p>
        </w:tc>
        <w:tc>
          <w:tcPr>
            <w:tcW w:w="1440" w:type="dxa"/>
            <w:vAlign w:val="center"/>
          </w:tcPr>
          <w:p w14:paraId="5148F0A2" w14:textId="77777777" w:rsidR="0003023C" w:rsidRPr="00F56BA1" w:rsidRDefault="0003023C" w:rsidP="008D79AA">
            <w:pPr>
              <w:spacing w:line="360" w:lineRule="auto"/>
              <w:jc w:val="both"/>
              <w:rPr>
                <w:rFonts w:asciiTheme="majorBidi" w:hAnsiTheme="majorBidi" w:cstheme="majorBidi"/>
                <w:szCs w:val="24"/>
              </w:rPr>
            </w:pPr>
          </w:p>
        </w:tc>
      </w:tr>
      <w:tr w:rsidR="0003023C" w:rsidRPr="00F56BA1" w14:paraId="6E64D5EB" w14:textId="77777777" w:rsidTr="008D79AA">
        <w:trPr>
          <w:jc w:val="center"/>
        </w:trPr>
        <w:tc>
          <w:tcPr>
            <w:tcW w:w="1440" w:type="dxa"/>
            <w:vAlign w:val="center"/>
          </w:tcPr>
          <w:p w14:paraId="37B59281" w14:textId="77777777" w:rsidR="0003023C" w:rsidRPr="00F56BA1" w:rsidRDefault="0003023C" w:rsidP="008D79AA">
            <w:pPr>
              <w:spacing w:line="360" w:lineRule="auto"/>
              <w:jc w:val="both"/>
              <w:rPr>
                <w:rFonts w:asciiTheme="majorBidi" w:hAnsiTheme="majorBidi" w:cstheme="majorBidi"/>
                <w:szCs w:val="24"/>
              </w:rPr>
            </w:pPr>
            <w:r w:rsidRPr="00F56BA1">
              <w:rPr>
                <w:rFonts w:asciiTheme="majorBidi" w:hAnsiTheme="majorBidi" w:cstheme="majorBidi"/>
                <w:szCs w:val="24"/>
              </w:rPr>
              <w:t>D. Vulnerable‑group safeguards</w:t>
            </w:r>
          </w:p>
        </w:tc>
        <w:tc>
          <w:tcPr>
            <w:tcW w:w="1440" w:type="dxa"/>
            <w:vAlign w:val="center"/>
          </w:tcPr>
          <w:p w14:paraId="4BC23EB2" w14:textId="77777777" w:rsidR="0003023C" w:rsidRPr="00F56BA1" w:rsidRDefault="0003023C" w:rsidP="008D79AA">
            <w:pPr>
              <w:spacing w:line="360" w:lineRule="auto"/>
              <w:jc w:val="both"/>
              <w:rPr>
                <w:rFonts w:asciiTheme="majorBidi" w:hAnsiTheme="majorBidi" w:cstheme="majorBidi"/>
                <w:szCs w:val="24"/>
              </w:rPr>
            </w:pPr>
            <w:r w:rsidRPr="00F56BA1">
              <w:rPr>
                <w:rFonts w:asciiTheme="majorBidi" w:hAnsiTheme="majorBidi" w:cstheme="majorBidi"/>
                <w:szCs w:val="24"/>
              </w:rPr>
              <w:t>10</w:t>
            </w:r>
          </w:p>
        </w:tc>
        <w:tc>
          <w:tcPr>
            <w:tcW w:w="1440" w:type="dxa"/>
            <w:vAlign w:val="center"/>
          </w:tcPr>
          <w:p w14:paraId="75EC18B7" w14:textId="77777777" w:rsidR="0003023C" w:rsidRPr="00F56BA1" w:rsidRDefault="0003023C" w:rsidP="008D79AA">
            <w:pPr>
              <w:spacing w:line="360" w:lineRule="auto"/>
              <w:jc w:val="both"/>
              <w:rPr>
                <w:rFonts w:asciiTheme="majorBidi" w:hAnsiTheme="majorBidi" w:cstheme="majorBidi"/>
                <w:szCs w:val="24"/>
              </w:rPr>
            </w:pPr>
          </w:p>
        </w:tc>
        <w:tc>
          <w:tcPr>
            <w:tcW w:w="1440" w:type="dxa"/>
            <w:vAlign w:val="center"/>
          </w:tcPr>
          <w:p w14:paraId="7D7D0D74" w14:textId="77777777" w:rsidR="0003023C" w:rsidRPr="00F56BA1" w:rsidRDefault="0003023C" w:rsidP="008D79AA">
            <w:pPr>
              <w:spacing w:line="360" w:lineRule="auto"/>
              <w:jc w:val="both"/>
              <w:rPr>
                <w:rFonts w:asciiTheme="majorBidi" w:hAnsiTheme="majorBidi" w:cstheme="majorBidi"/>
                <w:szCs w:val="24"/>
              </w:rPr>
            </w:pPr>
          </w:p>
        </w:tc>
        <w:tc>
          <w:tcPr>
            <w:tcW w:w="1440" w:type="dxa"/>
            <w:vAlign w:val="center"/>
          </w:tcPr>
          <w:p w14:paraId="417A076A" w14:textId="77777777" w:rsidR="0003023C" w:rsidRPr="00F56BA1" w:rsidRDefault="0003023C" w:rsidP="008D79AA">
            <w:pPr>
              <w:spacing w:line="360" w:lineRule="auto"/>
              <w:jc w:val="both"/>
              <w:rPr>
                <w:rFonts w:asciiTheme="majorBidi" w:hAnsiTheme="majorBidi" w:cstheme="majorBidi"/>
                <w:szCs w:val="24"/>
              </w:rPr>
            </w:pPr>
          </w:p>
        </w:tc>
        <w:tc>
          <w:tcPr>
            <w:tcW w:w="1440" w:type="dxa"/>
            <w:vAlign w:val="center"/>
          </w:tcPr>
          <w:p w14:paraId="017B331F" w14:textId="77777777" w:rsidR="0003023C" w:rsidRPr="00F56BA1" w:rsidRDefault="0003023C" w:rsidP="008D79AA">
            <w:pPr>
              <w:spacing w:line="360" w:lineRule="auto"/>
              <w:jc w:val="both"/>
              <w:rPr>
                <w:rFonts w:asciiTheme="majorBidi" w:hAnsiTheme="majorBidi" w:cstheme="majorBidi"/>
                <w:szCs w:val="24"/>
              </w:rPr>
            </w:pPr>
          </w:p>
        </w:tc>
      </w:tr>
      <w:tr w:rsidR="0003023C" w:rsidRPr="00F56BA1" w14:paraId="19A6E07C" w14:textId="77777777" w:rsidTr="008D79AA">
        <w:trPr>
          <w:jc w:val="center"/>
        </w:trPr>
        <w:tc>
          <w:tcPr>
            <w:tcW w:w="1440" w:type="dxa"/>
            <w:vAlign w:val="center"/>
          </w:tcPr>
          <w:p w14:paraId="2D6F9847" w14:textId="77777777" w:rsidR="0003023C" w:rsidRPr="00F56BA1" w:rsidRDefault="0003023C" w:rsidP="008D79AA">
            <w:pPr>
              <w:spacing w:line="360" w:lineRule="auto"/>
              <w:jc w:val="both"/>
              <w:rPr>
                <w:rFonts w:asciiTheme="majorBidi" w:hAnsiTheme="majorBidi" w:cstheme="majorBidi"/>
                <w:szCs w:val="24"/>
              </w:rPr>
            </w:pPr>
            <w:r w:rsidRPr="00F56BA1">
              <w:rPr>
                <w:rFonts w:asciiTheme="majorBidi" w:hAnsiTheme="majorBidi" w:cstheme="majorBidi"/>
                <w:szCs w:val="24"/>
              </w:rPr>
              <w:t>E. Environmental stewardship</w:t>
            </w:r>
          </w:p>
        </w:tc>
        <w:tc>
          <w:tcPr>
            <w:tcW w:w="1440" w:type="dxa"/>
            <w:vAlign w:val="center"/>
          </w:tcPr>
          <w:p w14:paraId="2D319D35" w14:textId="77777777" w:rsidR="0003023C" w:rsidRPr="00F56BA1" w:rsidRDefault="0003023C" w:rsidP="008D79AA">
            <w:pPr>
              <w:spacing w:line="360" w:lineRule="auto"/>
              <w:jc w:val="both"/>
              <w:rPr>
                <w:rFonts w:asciiTheme="majorBidi" w:hAnsiTheme="majorBidi" w:cstheme="majorBidi"/>
                <w:szCs w:val="24"/>
              </w:rPr>
            </w:pPr>
            <w:r w:rsidRPr="00F56BA1">
              <w:rPr>
                <w:rFonts w:asciiTheme="majorBidi" w:hAnsiTheme="majorBidi" w:cstheme="majorBidi"/>
                <w:szCs w:val="24"/>
              </w:rPr>
              <w:t>15</w:t>
            </w:r>
          </w:p>
        </w:tc>
        <w:tc>
          <w:tcPr>
            <w:tcW w:w="1440" w:type="dxa"/>
            <w:vAlign w:val="center"/>
          </w:tcPr>
          <w:p w14:paraId="6368C3AF" w14:textId="77777777" w:rsidR="0003023C" w:rsidRPr="00F56BA1" w:rsidRDefault="0003023C" w:rsidP="008D79AA">
            <w:pPr>
              <w:spacing w:line="360" w:lineRule="auto"/>
              <w:jc w:val="both"/>
              <w:rPr>
                <w:rFonts w:asciiTheme="majorBidi" w:hAnsiTheme="majorBidi" w:cstheme="majorBidi"/>
                <w:szCs w:val="24"/>
              </w:rPr>
            </w:pPr>
          </w:p>
        </w:tc>
        <w:tc>
          <w:tcPr>
            <w:tcW w:w="1440" w:type="dxa"/>
            <w:vAlign w:val="center"/>
          </w:tcPr>
          <w:p w14:paraId="4527EAB7" w14:textId="77777777" w:rsidR="0003023C" w:rsidRPr="00F56BA1" w:rsidRDefault="0003023C" w:rsidP="008D79AA">
            <w:pPr>
              <w:spacing w:line="360" w:lineRule="auto"/>
              <w:jc w:val="both"/>
              <w:rPr>
                <w:rFonts w:asciiTheme="majorBidi" w:hAnsiTheme="majorBidi" w:cstheme="majorBidi"/>
                <w:szCs w:val="24"/>
              </w:rPr>
            </w:pPr>
          </w:p>
        </w:tc>
        <w:tc>
          <w:tcPr>
            <w:tcW w:w="1440" w:type="dxa"/>
            <w:vAlign w:val="center"/>
          </w:tcPr>
          <w:p w14:paraId="276435AA" w14:textId="77777777" w:rsidR="0003023C" w:rsidRPr="00F56BA1" w:rsidRDefault="0003023C" w:rsidP="008D79AA">
            <w:pPr>
              <w:spacing w:line="360" w:lineRule="auto"/>
              <w:jc w:val="both"/>
              <w:rPr>
                <w:rFonts w:asciiTheme="majorBidi" w:hAnsiTheme="majorBidi" w:cstheme="majorBidi"/>
                <w:szCs w:val="24"/>
              </w:rPr>
            </w:pPr>
          </w:p>
        </w:tc>
        <w:tc>
          <w:tcPr>
            <w:tcW w:w="1440" w:type="dxa"/>
            <w:vAlign w:val="center"/>
          </w:tcPr>
          <w:p w14:paraId="4A6B83AA" w14:textId="77777777" w:rsidR="0003023C" w:rsidRPr="00F56BA1" w:rsidRDefault="0003023C" w:rsidP="008D79AA">
            <w:pPr>
              <w:spacing w:line="360" w:lineRule="auto"/>
              <w:jc w:val="both"/>
              <w:rPr>
                <w:rFonts w:asciiTheme="majorBidi" w:hAnsiTheme="majorBidi" w:cstheme="majorBidi"/>
                <w:szCs w:val="24"/>
              </w:rPr>
            </w:pPr>
          </w:p>
        </w:tc>
      </w:tr>
      <w:tr w:rsidR="0003023C" w:rsidRPr="00F56BA1" w14:paraId="2F427257" w14:textId="77777777" w:rsidTr="008D79AA">
        <w:trPr>
          <w:jc w:val="center"/>
        </w:trPr>
        <w:tc>
          <w:tcPr>
            <w:tcW w:w="1440" w:type="dxa"/>
            <w:vAlign w:val="center"/>
          </w:tcPr>
          <w:p w14:paraId="31FEB2B7" w14:textId="77777777" w:rsidR="0003023C" w:rsidRPr="00F56BA1" w:rsidRDefault="0003023C" w:rsidP="008D79AA">
            <w:pPr>
              <w:spacing w:line="360" w:lineRule="auto"/>
              <w:jc w:val="both"/>
              <w:rPr>
                <w:rFonts w:asciiTheme="majorBidi" w:hAnsiTheme="majorBidi" w:cstheme="majorBidi"/>
                <w:szCs w:val="24"/>
              </w:rPr>
            </w:pPr>
            <w:r w:rsidRPr="00F56BA1">
              <w:rPr>
                <w:rFonts w:asciiTheme="majorBidi" w:hAnsiTheme="majorBidi" w:cstheme="majorBidi"/>
                <w:szCs w:val="24"/>
              </w:rPr>
              <w:t>F. Transparency &amp; procurement integrity</w:t>
            </w:r>
          </w:p>
        </w:tc>
        <w:tc>
          <w:tcPr>
            <w:tcW w:w="1440" w:type="dxa"/>
            <w:vAlign w:val="center"/>
          </w:tcPr>
          <w:p w14:paraId="131ADCC4" w14:textId="77777777" w:rsidR="0003023C" w:rsidRPr="00F56BA1" w:rsidRDefault="0003023C" w:rsidP="008D79AA">
            <w:pPr>
              <w:spacing w:line="360" w:lineRule="auto"/>
              <w:jc w:val="both"/>
              <w:rPr>
                <w:rFonts w:asciiTheme="majorBidi" w:hAnsiTheme="majorBidi" w:cstheme="majorBidi"/>
                <w:szCs w:val="24"/>
              </w:rPr>
            </w:pPr>
            <w:r w:rsidRPr="00F56BA1">
              <w:rPr>
                <w:rFonts w:asciiTheme="majorBidi" w:hAnsiTheme="majorBidi" w:cstheme="majorBidi"/>
                <w:szCs w:val="24"/>
              </w:rPr>
              <w:t>12</w:t>
            </w:r>
          </w:p>
        </w:tc>
        <w:tc>
          <w:tcPr>
            <w:tcW w:w="1440" w:type="dxa"/>
            <w:vAlign w:val="center"/>
          </w:tcPr>
          <w:p w14:paraId="08940D38" w14:textId="77777777" w:rsidR="0003023C" w:rsidRPr="00F56BA1" w:rsidRDefault="0003023C" w:rsidP="008D79AA">
            <w:pPr>
              <w:spacing w:line="360" w:lineRule="auto"/>
              <w:jc w:val="both"/>
              <w:rPr>
                <w:rFonts w:asciiTheme="majorBidi" w:hAnsiTheme="majorBidi" w:cstheme="majorBidi"/>
                <w:szCs w:val="24"/>
              </w:rPr>
            </w:pPr>
          </w:p>
        </w:tc>
        <w:tc>
          <w:tcPr>
            <w:tcW w:w="1440" w:type="dxa"/>
            <w:vAlign w:val="center"/>
          </w:tcPr>
          <w:p w14:paraId="32CBD1CB" w14:textId="77777777" w:rsidR="0003023C" w:rsidRPr="00F56BA1" w:rsidRDefault="0003023C" w:rsidP="008D79AA">
            <w:pPr>
              <w:spacing w:line="360" w:lineRule="auto"/>
              <w:jc w:val="both"/>
              <w:rPr>
                <w:rFonts w:asciiTheme="majorBidi" w:hAnsiTheme="majorBidi" w:cstheme="majorBidi"/>
                <w:szCs w:val="24"/>
              </w:rPr>
            </w:pPr>
          </w:p>
        </w:tc>
        <w:tc>
          <w:tcPr>
            <w:tcW w:w="1440" w:type="dxa"/>
            <w:vAlign w:val="center"/>
          </w:tcPr>
          <w:p w14:paraId="503C3847" w14:textId="77777777" w:rsidR="0003023C" w:rsidRPr="00F56BA1" w:rsidRDefault="0003023C" w:rsidP="008D79AA">
            <w:pPr>
              <w:spacing w:line="360" w:lineRule="auto"/>
              <w:jc w:val="both"/>
              <w:rPr>
                <w:rFonts w:asciiTheme="majorBidi" w:hAnsiTheme="majorBidi" w:cstheme="majorBidi"/>
                <w:szCs w:val="24"/>
              </w:rPr>
            </w:pPr>
          </w:p>
        </w:tc>
        <w:tc>
          <w:tcPr>
            <w:tcW w:w="1440" w:type="dxa"/>
            <w:vAlign w:val="center"/>
          </w:tcPr>
          <w:p w14:paraId="3147EC56" w14:textId="77777777" w:rsidR="0003023C" w:rsidRPr="00F56BA1" w:rsidRDefault="0003023C" w:rsidP="008D79AA">
            <w:pPr>
              <w:spacing w:line="360" w:lineRule="auto"/>
              <w:jc w:val="both"/>
              <w:rPr>
                <w:rFonts w:asciiTheme="majorBidi" w:hAnsiTheme="majorBidi" w:cstheme="majorBidi"/>
                <w:szCs w:val="24"/>
              </w:rPr>
            </w:pPr>
          </w:p>
        </w:tc>
      </w:tr>
      <w:tr w:rsidR="0003023C" w:rsidRPr="00F56BA1" w14:paraId="48576C74" w14:textId="77777777" w:rsidTr="008D79AA">
        <w:trPr>
          <w:jc w:val="center"/>
        </w:trPr>
        <w:tc>
          <w:tcPr>
            <w:tcW w:w="1440" w:type="dxa"/>
            <w:vAlign w:val="center"/>
          </w:tcPr>
          <w:p w14:paraId="232937F1" w14:textId="77777777" w:rsidR="0003023C" w:rsidRPr="00F56BA1" w:rsidRDefault="0003023C" w:rsidP="008D79AA">
            <w:pPr>
              <w:spacing w:line="360" w:lineRule="auto"/>
              <w:jc w:val="both"/>
              <w:rPr>
                <w:rFonts w:asciiTheme="majorBidi" w:hAnsiTheme="majorBidi" w:cstheme="majorBidi"/>
                <w:szCs w:val="24"/>
              </w:rPr>
            </w:pPr>
            <w:r w:rsidRPr="00F56BA1">
              <w:rPr>
                <w:rFonts w:asciiTheme="majorBidi" w:hAnsiTheme="majorBidi" w:cstheme="majorBidi"/>
                <w:szCs w:val="24"/>
              </w:rPr>
              <w:t>G. Governance &amp; anti‑corruption</w:t>
            </w:r>
          </w:p>
        </w:tc>
        <w:tc>
          <w:tcPr>
            <w:tcW w:w="1440" w:type="dxa"/>
            <w:vAlign w:val="center"/>
          </w:tcPr>
          <w:p w14:paraId="7F53E533" w14:textId="77777777" w:rsidR="0003023C" w:rsidRPr="00F56BA1" w:rsidRDefault="0003023C" w:rsidP="008D79AA">
            <w:pPr>
              <w:spacing w:line="360" w:lineRule="auto"/>
              <w:jc w:val="both"/>
              <w:rPr>
                <w:rFonts w:asciiTheme="majorBidi" w:hAnsiTheme="majorBidi" w:cstheme="majorBidi"/>
                <w:szCs w:val="24"/>
              </w:rPr>
            </w:pPr>
            <w:r w:rsidRPr="00F56BA1">
              <w:rPr>
                <w:rFonts w:asciiTheme="majorBidi" w:hAnsiTheme="majorBidi" w:cstheme="majorBidi"/>
                <w:szCs w:val="24"/>
              </w:rPr>
              <w:t>12</w:t>
            </w:r>
          </w:p>
        </w:tc>
        <w:tc>
          <w:tcPr>
            <w:tcW w:w="1440" w:type="dxa"/>
            <w:vAlign w:val="center"/>
          </w:tcPr>
          <w:p w14:paraId="508CCEC3" w14:textId="77777777" w:rsidR="0003023C" w:rsidRPr="00F56BA1" w:rsidRDefault="0003023C" w:rsidP="008D79AA">
            <w:pPr>
              <w:spacing w:line="360" w:lineRule="auto"/>
              <w:jc w:val="both"/>
              <w:rPr>
                <w:rFonts w:asciiTheme="majorBidi" w:hAnsiTheme="majorBidi" w:cstheme="majorBidi"/>
                <w:szCs w:val="24"/>
              </w:rPr>
            </w:pPr>
          </w:p>
        </w:tc>
        <w:tc>
          <w:tcPr>
            <w:tcW w:w="1440" w:type="dxa"/>
            <w:vAlign w:val="center"/>
          </w:tcPr>
          <w:p w14:paraId="44E4E4C8" w14:textId="77777777" w:rsidR="0003023C" w:rsidRPr="00F56BA1" w:rsidRDefault="0003023C" w:rsidP="008D79AA">
            <w:pPr>
              <w:spacing w:line="360" w:lineRule="auto"/>
              <w:jc w:val="both"/>
              <w:rPr>
                <w:rFonts w:asciiTheme="majorBidi" w:hAnsiTheme="majorBidi" w:cstheme="majorBidi"/>
                <w:szCs w:val="24"/>
              </w:rPr>
            </w:pPr>
          </w:p>
        </w:tc>
        <w:tc>
          <w:tcPr>
            <w:tcW w:w="1440" w:type="dxa"/>
            <w:vAlign w:val="center"/>
          </w:tcPr>
          <w:p w14:paraId="1C29B39C" w14:textId="77777777" w:rsidR="0003023C" w:rsidRPr="00F56BA1" w:rsidRDefault="0003023C" w:rsidP="008D79AA">
            <w:pPr>
              <w:spacing w:line="360" w:lineRule="auto"/>
              <w:jc w:val="both"/>
              <w:rPr>
                <w:rFonts w:asciiTheme="majorBidi" w:hAnsiTheme="majorBidi" w:cstheme="majorBidi"/>
                <w:szCs w:val="24"/>
              </w:rPr>
            </w:pPr>
          </w:p>
        </w:tc>
        <w:tc>
          <w:tcPr>
            <w:tcW w:w="1440" w:type="dxa"/>
            <w:vAlign w:val="center"/>
          </w:tcPr>
          <w:p w14:paraId="06DC312E" w14:textId="77777777" w:rsidR="0003023C" w:rsidRPr="00F56BA1" w:rsidRDefault="0003023C" w:rsidP="008D79AA">
            <w:pPr>
              <w:spacing w:line="360" w:lineRule="auto"/>
              <w:jc w:val="both"/>
              <w:rPr>
                <w:rFonts w:asciiTheme="majorBidi" w:hAnsiTheme="majorBidi" w:cstheme="majorBidi"/>
                <w:szCs w:val="24"/>
              </w:rPr>
            </w:pPr>
          </w:p>
        </w:tc>
      </w:tr>
      <w:tr w:rsidR="0003023C" w:rsidRPr="00F56BA1" w14:paraId="7A45CFE2" w14:textId="77777777" w:rsidTr="008D79AA">
        <w:trPr>
          <w:jc w:val="center"/>
        </w:trPr>
        <w:tc>
          <w:tcPr>
            <w:tcW w:w="1440" w:type="dxa"/>
            <w:vAlign w:val="center"/>
          </w:tcPr>
          <w:p w14:paraId="5CE88790" w14:textId="77777777" w:rsidR="0003023C" w:rsidRPr="00F56BA1" w:rsidRDefault="0003023C" w:rsidP="008D79AA">
            <w:pPr>
              <w:spacing w:line="360" w:lineRule="auto"/>
              <w:jc w:val="both"/>
              <w:rPr>
                <w:rFonts w:asciiTheme="majorBidi" w:hAnsiTheme="majorBidi" w:cstheme="majorBidi"/>
                <w:szCs w:val="24"/>
              </w:rPr>
            </w:pPr>
            <w:r w:rsidRPr="00F56BA1">
              <w:rPr>
                <w:rFonts w:asciiTheme="majorBidi" w:hAnsiTheme="majorBidi" w:cstheme="majorBidi"/>
                <w:szCs w:val="24"/>
              </w:rPr>
              <w:lastRenderedPageBreak/>
              <w:t>H. Financial sustainability (life‑cycle)</w:t>
            </w:r>
          </w:p>
        </w:tc>
        <w:tc>
          <w:tcPr>
            <w:tcW w:w="1440" w:type="dxa"/>
            <w:vAlign w:val="center"/>
          </w:tcPr>
          <w:p w14:paraId="5FA58EF4" w14:textId="77777777" w:rsidR="0003023C" w:rsidRPr="00F56BA1" w:rsidRDefault="0003023C" w:rsidP="008D79AA">
            <w:pPr>
              <w:spacing w:line="360" w:lineRule="auto"/>
              <w:jc w:val="both"/>
              <w:rPr>
                <w:rFonts w:asciiTheme="majorBidi" w:hAnsiTheme="majorBidi" w:cstheme="majorBidi"/>
                <w:szCs w:val="24"/>
              </w:rPr>
            </w:pPr>
            <w:r w:rsidRPr="00F56BA1">
              <w:rPr>
                <w:rFonts w:asciiTheme="majorBidi" w:hAnsiTheme="majorBidi" w:cstheme="majorBidi"/>
                <w:szCs w:val="24"/>
              </w:rPr>
              <w:t>8</w:t>
            </w:r>
          </w:p>
        </w:tc>
        <w:tc>
          <w:tcPr>
            <w:tcW w:w="1440" w:type="dxa"/>
            <w:vAlign w:val="center"/>
          </w:tcPr>
          <w:p w14:paraId="6D6A1934" w14:textId="77777777" w:rsidR="0003023C" w:rsidRPr="00F56BA1" w:rsidRDefault="0003023C" w:rsidP="008D79AA">
            <w:pPr>
              <w:spacing w:line="360" w:lineRule="auto"/>
              <w:jc w:val="both"/>
              <w:rPr>
                <w:rFonts w:asciiTheme="majorBidi" w:hAnsiTheme="majorBidi" w:cstheme="majorBidi"/>
                <w:szCs w:val="24"/>
              </w:rPr>
            </w:pPr>
          </w:p>
        </w:tc>
        <w:tc>
          <w:tcPr>
            <w:tcW w:w="1440" w:type="dxa"/>
            <w:vAlign w:val="center"/>
          </w:tcPr>
          <w:p w14:paraId="1A55D5AE" w14:textId="77777777" w:rsidR="0003023C" w:rsidRPr="00F56BA1" w:rsidRDefault="0003023C" w:rsidP="008D79AA">
            <w:pPr>
              <w:spacing w:line="360" w:lineRule="auto"/>
              <w:jc w:val="both"/>
              <w:rPr>
                <w:rFonts w:asciiTheme="majorBidi" w:hAnsiTheme="majorBidi" w:cstheme="majorBidi"/>
                <w:szCs w:val="24"/>
              </w:rPr>
            </w:pPr>
          </w:p>
        </w:tc>
        <w:tc>
          <w:tcPr>
            <w:tcW w:w="1440" w:type="dxa"/>
            <w:vAlign w:val="center"/>
          </w:tcPr>
          <w:p w14:paraId="69F33C5D" w14:textId="77777777" w:rsidR="0003023C" w:rsidRPr="00F56BA1" w:rsidRDefault="0003023C" w:rsidP="008D79AA">
            <w:pPr>
              <w:spacing w:line="360" w:lineRule="auto"/>
              <w:jc w:val="both"/>
              <w:rPr>
                <w:rFonts w:asciiTheme="majorBidi" w:hAnsiTheme="majorBidi" w:cstheme="majorBidi"/>
                <w:szCs w:val="24"/>
              </w:rPr>
            </w:pPr>
          </w:p>
        </w:tc>
        <w:tc>
          <w:tcPr>
            <w:tcW w:w="1440" w:type="dxa"/>
            <w:vAlign w:val="center"/>
          </w:tcPr>
          <w:p w14:paraId="335FB8EB" w14:textId="77777777" w:rsidR="0003023C" w:rsidRPr="00F56BA1" w:rsidRDefault="0003023C" w:rsidP="008D79AA">
            <w:pPr>
              <w:spacing w:line="360" w:lineRule="auto"/>
              <w:jc w:val="both"/>
              <w:rPr>
                <w:rFonts w:asciiTheme="majorBidi" w:hAnsiTheme="majorBidi" w:cstheme="majorBidi"/>
                <w:szCs w:val="24"/>
              </w:rPr>
            </w:pPr>
          </w:p>
        </w:tc>
      </w:tr>
      <w:tr w:rsidR="0003023C" w:rsidRPr="00F56BA1" w14:paraId="1AF1A8D4" w14:textId="77777777" w:rsidTr="008D79AA">
        <w:trPr>
          <w:jc w:val="center"/>
        </w:trPr>
        <w:tc>
          <w:tcPr>
            <w:tcW w:w="1440" w:type="dxa"/>
            <w:vAlign w:val="center"/>
          </w:tcPr>
          <w:p w14:paraId="6344FA00" w14:textId="77777777" w:rsidR="0003023C" w:rsidRPr="00F56BA1" w:rsidRDefault="0003023C" w:rsidP="008D79AA">
            <w:pPr>
              <w:spacing w:line="360" w:lineRule="auto"/>
              <w:jc w:val="both"/>
              <w:rPr>
                <w:rFonts w:asciiTheme="majorBidi" w:hAnsiTheme="majorBidi" w:cstheme="majorBidi"/>
                <w:szCs w:val="24"/>
              </w:rPr>
            </w:pPr>
            <w:r w:rsidRPr="00F56BA1">
              <w:rPr>
                <w:rFonts w:asciiTheme="majorBidi" w:hAnsiTheme="majorBidi" w:cstheme="majorBidi"/>
                <w:szCs w:val="24"/>
              </w:rPr>
              <w:t>I. Knowledge, capacity &amp; innovation</w:t>
            </w:r>
          </w:p>
        </w:tc>
        <w:tc>
          <w:tcPr>
            <w:tcW w:w="1440" w:type="dxa"/>
            <w:vAlign w:val="center"/>
          </w:tcPr>
          <w:p w14:paraId="6837B73A" w14:textId="77777777" w:rsidR="0003023C" w:rsidRPr="00F56BA1" w:rsidRDefault="0003023C" w:rsidP="008D79AA">
            <w:pPr>
              <w:spacing w:line="360" w:lineRule="auto"/>
              <w:jc w:val="both"/>
              <w:rPr>
                <w:rFonts w:asciiTheme="majorBidi" w:hAnsiTheme="majorBidi" w:cstheme="majorBidi"/>
                <w:szCs w:val="24"/>
              </w:rPr>
            </w:pPr>
            <w:r w:rsidRPr="00F56BA1">
              <w:rPr>
                <w:rFonts w:asciiTheme="majorBidi" w:hAnsiTheme="majorBidi" w:cstheme="majorBidi"/>
                <w:szCs w:val="24"/>
              </w:rPr>
              <w:t>6</w:t>
            </w:r>
          </w:p>
        </w:tc>
        <w:tc>
          <w:tcPr>
            <w:tcW w:w="1440" w:type="dxa"/>
            <w:vAlign w:val="center"/>
          </w:tcPr>
          <w:p w14:paraId="3C7D151F" w14:textId="77777777" w:rsidR="0003023C" w:rsidRPr="00F56BA1" w:rsidRDefault="0003023C" w:rsidP="008D79AA">
            <w:pPr>
              <w:spacing w:line="360" w:lineRule="auto"/>
              <w:jc w:val="both"/>
              <w:rPr>
                <w:rFonts w:asciiTheme="majorBidi" w:hAnsiTheme="majorBidi" w:cstheme="majorBidi"/>
                <w:szCs w:val="24"/>
              </w:rPr>
            </w:pPr>
          </w:p>
        </w:tc>
        <w:tc>
          <w:tcPr>
            <w:tcW w:w="1440" w:type="dxa"/>
            <w:vAlign w:val="center"/>
          </w:tcPr>
          <w:p w14:paraId="25A01311" w14:textId="77777777" w:rsidR="0003023C" w:rsidRPr="00F56BA1" w:rsidRDefault="0003023C" w:rsidP="008D79AA">
            <w:pPr>
              <w:spacing w:line="360" w:lineRule="auto"/>
              <w:jc w:val="both"/>
              <w:rPr>
                <w:rFonts w:asciiTheme="majorBidi" w:hAnsiTheme="majorBidi" w:cstheme="majorBidi"/>
                <w:szCs w:val="24"/>
              </w:rPr>
            </w:pPr>
          </w:p>
        </w:tc>
        <w:tc>
          <w:tcPr>
            <w:tcW w:w="1440" w:type="dxa"/>
            <w:vAlign w:val="center"/>
          </w:tcPr>
          <w:p w14:paraId="09082DA0" w14:textId="77777777" w:rsidR="0003023C" w:rsidRPr="00F56BA1" w:rsidRDefault="0003023C" w:rsidP="008D79AA">
            <w:pPr>
              <w:spacing w:line="360" w:lineRule="auto"/>
              <w:jc w:val="both"/>
              <w:rPr>
                <w:rFonts w:asciiTheme="majorBidi" w:hAnsiTheme="majorBidi" w:cstheme="majorBidi"/>
                <w:szCs w:val="24"/>
              </w:rPr>
            </w:pPr>
          </w:p>
        </w:tc>
        <w:tc>
          <w:tcPr>
            <w:tcW w:w="1440" w:type="dxa"/>
            <w:vAlign w:val="center"/>
          </w:tcPr>
          <w:p w14:paraId="19CAFA51" w14:textId="77777777" w:rsidR="0003023C" w:rsidRPr="00F56BA1" w:rsidRDefault="0003023C" w:rsidP="008D79AA">
            <w:pPr>
              <w:spacing w:line="360" w:lineRule="auto"/>
              <w:jc w:val="both"/>
              <w:rPr>
                <w:rFonts w:asciiTheme="majorBidi" w:hAnsiTheme="majorBidi" w:cstheme="majorBidi"/>
                <w:szCs w:val="24"/>
              </w:rPr>
            </w:pPr>
          </w:p>
        </w:tc>
      </w:tr>
      <w:tr w:rsidR="0003023C" w:rsidRPr="00F56BA1" w14:paraId="7F220F70" w14:textId="77777777" w:rsidTr="008D79AA">
        <w:trPr>
          <w:jc w:val="center"/>
        </w:trPr>
        <w:tc>
          <w:tcPr>
            <w:tcW w:w="1440" w:type="dxa"/>
            <w:vAlign w:val="center"/>
          </w:tcPr>
          <w:p w14:paraId="43E697B8" w14:textId="77777777" w:rsidR="0003023C" w:rsidRPr="00F56BA1" w:rsidRDefault="0003023C" w:rsidP="008D79AA">
            <w:pPr>
              <w:spacing w:line="360" w:lineRule="auto"/>
              <w:jc w:val="both"/>
              <w:rPr>
                <w:rFonts w:asciiTheme="majorBidi" w:hAnsiTheme="majorBidi" w:cstheme="majorBidi"/>
                <w:szCs w:val="24"/>
              </w:rPr>
            </w:pPr>
            <w:r w:rsidRPr="00F56BA1">
              <w:rPr>
                <w:rFonts w:asciiTheme="majorBidi" w:hAnsiTheme="majorBidi" w:cstheme="majorBidi"/>
                <w:szCs w:val="24"/>
              </w:rPr>
              <w:t>Total</w:t>
            </w:r>
          </w:p>
        </w:tc>
        <w:tc>
          <w:tcPr>
            <w:tcW w:w="1440" w:type="dxa"/>
            <w:vAlign w:val="center"/>
          </w:tcPr>
          <w:p w14:paraId="00574B5C" w14:textId="77777777" w:rsidR="0003023C" w:rsidRPr="00F56BA1" w:rsidRDefault="0003023C" w:rsidP="008D79AA">
            <w:pPr>
              <w:spacing w:line="360" w:lineRule="auto"/>
              <w:jc w:val="both"/>
              <w:rPr>
                <w:rFonts w:asciiTheme="majorBidi" w:hAnsiTheme="majorBidi" w:cstheme="majorBidi"/>
                <w:szCs w:val="24"/>
              </w:rPr>
            </w:pPr>
            <w:r w:rsidRPr="00F56BA1">
              <w:rPr>
                <w:rFonts w:asciiTheme="majorBidi" w:hAnsiTheme="majorBidi" w:cstheme="majorBidi"/>
                <w:szCs w:val="24"/>
              </w:rPr>
              <w:t>100</w:t>
            </w:r>
          </w:p>
        </w:tc>
        <w:tc>
          <w:tcPr>
            <w:tcW w:w="1440" w:type="dxa"/>
            <w:vAlign w:val="center"/>
          </w:tcPr>
          <w:p w14:paraId="2FF2AFE9" w14:textId="77777777" w:rsidR="0003023C" w:rsidRPr="00F56BA1" w:rsidRDefault="0003023C" w:rsidP="008D79AA">
            <w:pPr>
              <w:spacing w:line="360" w:lineRule="auto"/>
              <w:jc w:val="both"/>
              <w:rPr>
                <w:rFonts w:asciiTheme="majorBidi" w:hAnsiTheme="majorBidi" w:cstheme="majorBidi"/>
                <w:szCs w:val="24"/>
              </w:rPr>
            </w:pPr>
          </w:p>
        </w:tc>
        <w:tc>
          <w:tcPr>
            <w:tcW w:w="1440" w:type="dxa"/>
            <w:vAlign w:val="center"/>
          </w:tcPr>
          <w:p w14:paraId="0C534CEC" w14:textId="77777777" w:rsidR="0003023C" w:rsidRPr="00F56BA1" w:rsidRDefault="0003023C" w:rsidP="008D79AA">
            <w:pPr>
              <w:spacing w:line="360" w:lineRule="auto"/>
              <w:jc w:val="both"/>
              <w:rPr>
                <w:rFonts w:asciiTheme="majorBidi" w:hAnsiTheme="majorBidi" w:cstheme="majorBidi"/>
                <w:szCs w:val="24"/>
              </w:rPr>
            </w:pPr>
          </w:p>
        </w:tc>
        <w:tc>
          <w:tcPr>
            <w:tcW w:w="1440" w:type="dxa"/>
            <w:vAlign w:val="center"/>
          </w:tcPr>
          <w:p w14:paraId="72BAC256" w14:textId="77777777" w:rsidR="0003023C" w:rsidRPr="00F56BA1" w:rsidRDefault="0003023C" w:rsidP="008D79AA">
            <w:pPr>
              <w:spacing w:line="360" w:lineRule="auto"/>
              <w:jc w:val="both"/>
              <w:rPr>
                <w:rFonts w:asciiTheme="majorBidi" w:hAnsiTheme="majorBidi" w:cstheme="majorBidi"/>
                <w:szCs w:val="24"/>
              </w:rPr>
            </w:pPr>
          </w:p>
        </w:tc>
        <w:tc>
          <w:tcPr>
            <w:tcW w:w="1440" w:type="dxa"/>
            <w:vAlign w:val="center"/>
          </w:tcPr>
          <w:p w14:paraId="01BE5DD3" w14:textId="77777777" w:rsidR="0003023C" w:rsidRPr="00F56BA1" w:rsidRDefault="0003023C" w:rsidP="008D79AA">
            <w:pPr>
              <w:spacing w:line="360" w:lineRule="auto"/>
              <w:jc w:val="both"/>
              <w:rPr>
                <w:rFonts w:asciiTheme="majorBidi" w:hAnsiTheme="majorBidi" w:cstheme="majorBidi"/>
                <w:szCs w:val="24"/>
              </w:rPr>
            </w:pPr>
          </w:p>
        </w:tc>
      </w:tr>
    </w:tbl>
    <w:p w14:paraId="58B726D6" w14:textId="77777777" w:rsidR="0003023C" w:rsidRPr="00F56BA1" w:rsidRDefault="0003023C" w:rsidP="0003023C">
      <w:pPr>
        <w:pStyle w:val="Heading1"/>
        <w:spacing w:line="360" w:lineRule="auto"/>
        <w:jc w:val="both"/>
        <w:rPr>
          <w:rFonts w:asciiTheme="majorBidi" w:hAnsiTheme="majorBidi"/>
          <w:sz w:val="24"/>
          <w:szCs w:val="24"/>
        </w:rPr>
      </w:pPr>
      <w:r>
        <w:t>Appendix B. Detailed Indicator Definitions (Calibration Notes)</w:t>
      </w:r>
    </w:p>
    <w:p w14:paraId="0559C6EC" w14:textId="77777777" w:rsidR="0003023C" w:rsidRPr="00F56BA1" w:rsidRDefault="0003023C" w:rsidP="0003023C">
      <w:pPr>
        <w:spacing w:line="360" w:lineRule="auto"/>
        <w:jc w:val="both"/>
        <w:rPr>
          <w:rFonts w:asciiTheme="majorBidi" w:hAnsiTheme="majorBidi" w:cstheme="majorBidi"/>
          <w:szCs w:val="24"/>
        </w:rPr>
      </w:pPr>
      <w:r>
        <w:t>This appendix provides calibration notes for consistent scoring across evaluators. For Criterion E (Environmental stewardship), evaluators should verify that the project includes: (1) a completed ESIA; (2) mitigation measures with budgets; (3) monitoring KPIs and reporting frequency; (4) contingency planning for incidents; and (5) life‑cycle environmental considerations (construction, operation, and decommissioning). Scores of 4–5 require publicly disclosed monitoring results and independent verification.</w:t>
      </w:r>
    </w:p>
    <w:p w14:paraId="603103C7" w14:textId="77777777" w:rsidR="0003023C" w:rsidRDefault="0003023C" w:rsidP="0003023C">
      <w:pPr>
        <w:spacing w:line="360" w:lineRule="auto"/>
        <w:jc w:val="both"/>
      </w:pPr>
      <w:r>
        <w:t>For Criterion F (Transparency and procurement integrity), evaluators should test procurement controls by sampling tender files, verifying publication of calls and awards, checking evaluation matrices, and confirming that complaints are logged and resolved. Scores of 4–5 require a complete contract register, documented bidder communications, and post‑award monitoring of variations.</w:t>
      </w:r>
    </w:p>
    <w:p w14:paraId="536AE466" w14:textId="77777777" w:rsidR="0003023C" w:rsidRDefault="0003023C" w:rsidP="0003023C">
      <w:pPr>
        <w:spacing w:line="360" w:lineRule="auto"/>
        <w:jc w:val="both"/>
      </w:pPr>
      <w:r>
        <w:t>For Criterion G (Governance and anti‑corruption), evaluators should review the governance charter, mandates, meeting minutes, segregation of duties, approval thresholds, and conflict‑of‑interest controls. Scores of 4–5 require independent audit follow‑up, corrective action tracking, and whistleblowing protection.</w:t>
      </w:r>
    </w:p>
    <w:p w14:paraId="46C9079A" w14:textId="77777777" w:rsidR="0003023C" w:rsidRDefault="0003023C" w:rsidP="0003023C">
      <w:pPr>
        <w:spacing w:line="360" w:lineRule="auto"/>
        <w:jc w:val="both"/>
      </w:pPr>
      <w:r>
        <w:t xml:space="preserve">For Criterion H (Financial sustainability), evaluators should check whether life‑cycle costing includes preventive maintenance, spare parts, staffing, training, and energy inputs, and whether </w:t>
      </w:r>
      <w:r>
        <w:lastRenderedPageBreak/>
        <w:t>financing commitments exist for O&amp;M. Scores of 4–5 require a funded O&amp;M plan, dedicated budget lines, and a reserve mechanism.</w:t>
      </w:r>
    </w:p>
    <w:p w14:paraId="29358406" w14:textId="77777777" w:rsidR="0003023C" w:rsidRDefault="0003023C" w:rsidP="0003023C">
      <w:pPr>
        <w:spacing w:line="360" w:lineRule="auto"/>
        <w:jc w:val="both"/>
      </w:pPr>
      <w:r>
        <w:t>For Criterion I (Knowledge and innovation), evaluators should assess whether the project builds local capacity: training hours, certification pathways, partnerships with universities or vocational centers, and evidence of knowledge transfer (manuals, standard operating procedures, mentoring). Scores of 4–5 require measurable learning outcomes and continued capacity support beyond project handover.</w:t>
      </w:r>
    </w:p>
    <w:p w14:paraId="0516B54C" w14:textId="77777777" w:rsidR="0003023C" w:rsidRPr="009E7EC1" w:rsidRDefault="0003023C" w:rsidP="0003023C">
      <w:pPr>
        <w:spacing w:line="360" w:lineRule="auto"/>
        <w:jc w:val="both"/>
        <w:rPr>
          <w:rFonts w:asciiTheme="majorBidi" w:hAnsiTheme="majorBidi" w:cstheme="majorBidi"/>
          <w:b/>
          <w:bCs/>
          <w:color w:val="0070C0"/>
          <w:szCs w:val="24"/>
        </w:rPr>
      </w:pPr>
      <w:r w:rsidRPr="009E7EC1">
        <w:rPr>
          <w:b/>
          <w:bCs/>
        </w:rPr>
        <w:t xml:space="preserve">Appendix C. Sector‑Specific Indicator Bank </w:t>
      </w:r>
    </w:p>
    <w:p w14:paraId="5335D34A" w14:textId="77777777" w:rsidR="0003023C" w:rsidRPr="00F56BA1" w:rsidRDefault="0003023C" w:rsidP="0003023C">
      <w:pPr>
        <w:spacing w:line="360" w:lineRule="auto"/>
        <w:jc w:val="both"/>
        <w:rPr>
          <w:rFonts w:asciiTheme="majorBidi" w:hAnsiTheme="majorBidi" w:cstheme="majorBidi"/>
          <w:szCs w:val="24"/>
        </w:rPr>
      </w:pPr>
      <w:r>
        <w:t>This indicator bank provides optional metrics that evaluators can select depending on project type. It is designed to support consistent scoring while allowing contextual adaptation.</w:t>
      </w:r>
    </w:p>
    <w:p w14:paraId="52F79DF1" w14:textId="77777777" w:rsidR="0003023C" w:rsidRDefault="0003023C" w:rsidP="0003023C">
      <w:pPr>
        <w:spacing w:line="360" w:lineRule="auto"/>
        <w:jc w:val="both"/>
      </w:pPr>
      <w:r>
        <w:t>C‑1 Water and sanitation projects: effluent compliance rate; frequency of water quality publication; percentage of population with improved access; affordability index for low‑income households; sludge handling compliance; energy intensity per cubic meter treated.</w:t>
      </w:r>
    </w:p>
    <w:p w14:paraId="0072FB26" w14:textId="77777777" w:rsidR="0003023C" w:rsidRDefault="0003023C" w:rsidP="0003023C">
      <w:pPr>
        <w:spacing w:line="360" w:lineRule="auto"/>
        <w:jc w:val="both"/>
      </w:pPr>
      <w:r>
        <w:t>C‑2 Energy projects: emissions intensity; renewable share; reliability (downtime); affordability for vulnerable groups; supply‑chain due diligence; end‑of‑life disposal plan; local technician certification numbers.</w:t>
      </w:r>
    </w:p>
    <w:p w14:paraId="5619970D" w14:textId="77777777" w:rsidR="0003023C" w:rsidRDefault="0003023C" w:rsidP="0003023C">
      <w:pPr>
        <w:spacing w:line="360" w:lineRule="auto"/>
        <w:jc w:val="both"/>
      </w:pPr>
      <w:r>
        <w:t>C‑3 Agriculture projects: water use efficiency; soil organic matter trend; chemical input reduction; smallholder participation rate; fair contract clauses; biodiversity buffer zones; post‑harvest loss reduction.</w:t>
      </w:r>
    </w:p>
    <w:p w14:paraId="2EC4BB0C" w14:textId="77777777" w:rsidR="0003023C" w:rsidRDefault="0003023C" w:rsidP="0003023C">
      <w:pPr>
        <w:spacing w:line="360" w:lineRule="auto"/>
        <w:jc w:val="both"/>
      </w:pPr>
      <w:r>
        <w:t>C‑4 Transport and infrastructure: safety incidents; accessibility for persons with disabilities; resettlement and compensation completion rates; maintenance funding ratio; procurement transparency index.</w:t>
      </w:r>
    </w:p>
    <w:p w14:paraId="4C487AD3" w14:textId="77777777" w:rsidR="0003023C" w:rsidRDefault="0003023C" w:rsidP="0003023C">
      <w:pPr>
        <w:spacing w:line="360" w:lineRule="auto"/>
        <w:jc w:val="both"/>
      </w:pPr>
      <w:r>
        <w:t>C‑5 Education and skills: enrollment and retention rates for disadvantaged groups; teacher training hours; learning outcome improvements; local curriculum relevance; digital inclusion metrics.</w:t>
      </w:r>
    </w:p>
    <w:p w14:paraId="139CC4BA" w14:textId="77777777" w:rsidR="0003023C" w:rsidRDefault="0003023C" w:rsidP="0003023C">
      <w:pPr>
        <w:spacing w:line="360" w:lineRule="auto"/>
        <w:jc w:val="both"/>
      </w:pPr>
      <w:r>
        <w:t>C‑6 Health projects: service coverage; patient satisfaction; affordability; supply chain integrity; waste management compliance; infection control metrics.</w:t>
      </w:r>
    </w:p>
    <w:p w14:paraId="0033BF68" w14:textId="77777777" w:rsidR="0003023C" w:rsidRDefault="0003023C" w:rsidP="0003023C">
      <w:pPr>
        <w:spacing w:line="360" w:lineRule="auto"/>
        <w:jc w:val="both"/>
      </w:pPr>
      <w:r>
        <w:lastRenderedPageBreak/>
        <w:t>Evaluators should select indicators that (a) have a clear data source, (b) are measurable at reasonable cost, and (c) correspond to the determinant being scored.</w:t>
      </w:r>
    </w:p>
    <w:p w14:paraId="5C42B639" w14:textId="77777777" w:rsidR="0003023C" w:rsidRPr="00BD614F" w:rsidRDefault="0003023C" w:rsidP="0003023C">
      <w:pPr>
        <w:spacing w:line="360" w:lineRule="auto"/>
        <w:jc w:val="both"/>
        <w:rPr>
          <w:rFonts w:asciiTheme="majorBidi" w:hAnsiTheme="majorBidi" w:cstheme="majorBidi"/>
          <w:b/>
          <w:bCs/>
          <w:color w:val="0070C0"/>
          <w:szCs w:val="24"/>
        </w:rPr>
      </w:pPr>
      <w:r>
        <w:t>Appendix D. Financing Committee Checklist (One‑Page Decision Aid)</w:t>
      </w:r>
    </w:p>
    <w:p w14:paraId="06558074" w14:textId="77777777" w:rsidR="0003023C" w:rsidRPr="00F56BA1" w:rsidRDefault="0003023C" w:rsidP="0003023C">
      <w:pPr>
        <w:spacing w:line="360" w:lineRule="auto"/>
        <w:jc w:val="both"/>
        <w:rPr>
          <w:rFonts w:asciiTheme="majorBidi" w:hAnsiTheme="majorBidi" w:cstheme="majorBidi"/>
          <w:szCs w:val="24"/>
        </w:rPr>
      </w:pPr>
      <w:r>
        <w:t>This checklist helps decision makers use the PEM quickly while preserving an auditable trail. It is not a substitute for scoring; it is a ‘gateway’ tool that flags high‑risk gaps.</w:t>
      </w:r>
    </w:p>
    <w:p w14:paraId="192D988B" w14:textId="77777777" w:rsidR="0003023C" w:rsidRDefault="0003023C" w:rsidP="0003023C">
      <w:pPr>
        <w:spacing w:line="360" w:lineRule="auto"/>
        <w:jc w:val="both"/>
      </w:pPr>
      <w:r>
        <w:t>D‑1 Legality and ethical permissibility: Has the financing structure been reviewed for prohibited elements? Are suppliers screened for illegal or harmful activity?</w:t>
      </w:r>
    </w:p>
    <w:p w14:paraId="0541BB08" w14:textId="77777777" w:rsidR="0003023C" w:rsidRDefault="0003023C" w:rsidP="0003023C">
      <w:pPr>
        <w:spacing w:line="360" w:lineRule="auto"/>
        <w:jc w:val="both"/>
      </w:pPr>
      <w:r>
        <w:t>D‑2 Justice and inclusion: Who benefits and who bears costs? Does the project include explicit measures to avoid displacement, exclusion, or unfair wage practices?</w:t>
      </w:r>
    </w:p>
    <w:p w14:paraId="45B0CDAA" w14:textId="77777777" w:rsidR="0003023C" w:rsidRDefault="0003023C" w:rsidP="0003023C">
      <w:pPr>
        <w:spacing w:line="360" w:lineRule="auto"/>
        <w:jc w:val="both"/>
      </w:pPr>
      <w:r>
        <w:t>D‑3 Environmental stewardship: Is there a completed ESIA/EIA with funded mitigation and monitoring? Are there clear thresholds and reporting schedules for key pollutants and resource use?</w:t>
      </w:r>
    </w:p>
    <w:p w14:paraId="2ACECF98" w14:textId="77777777" w:rsidR="0003023C" w:rsidRDefault="0003023C" w:rsidP="0003023C">
      <w:pPr>
        <w:spacing w:line="360" w:lineRule="auto"/>
        <w:jc w:val="both"/>
      </w:pPr>
      <w:r>
        <w:t>D‑4 Transparency and procurement: Are tender documents, evaluation criteria, and award results publicly available? Is there a contract register and variation control?</w:t>
      </w:r>
    </w:p>
    <w:p w14:paraId="5AFED614" w14:textId="77777777" w:rsidR="0003023C" w:rsidRDefault="0003023C" w:rsidP="0003023C">
      <w:pPr>
        <w:spacing w:line="360" w:lineRule="auto"/>
        <w:jc w:val="both"/>
      </w:pPr>
      <w:r>
        <w:t>D‑5 Governance and anti‑corruption: Are conflicts of interest declared? Is there independent oversight and a mechanism for reporting misconduct?</w:t>
      </w:r>
    </w:p>
    <w:p w14:paraId="7D67B1A0" w14:textId="77777777" w:rsidR="0003023C" w:rsidRDefault="0003023C" w:rsidP="0003023C">
      <w:pPr>
        <w:spacing w:line="360" w:lineRule="auto"/>
        <w:jc w:val="both"/>
      </w:pPr>
      <w:r>
        <w:t>D‑6 Financial sustainability: Is operation and maintenance fully funded for the life‑cycle? Is there a realistic plan for staffing, spare parts, and preventive maintenance?</w:t>
      </w:r>
    </w:p>
    <w:p w14:paraId="0E164AB4" w14:textId="77777777" w:rsidR="0003023C" w:rsidRDefault="0003023C" w:rsidP="0003023C">
      <w:pPr>
        <w:spacing w:line="360" w:lineRule="auto"/>
        <w:jc w:val="both"/>
      </w:pPr>
      <w:r>
        <w:t>D‑7 Knowledge and innovation: Does the project build local capacity (training, certification, manuals, knowledge transfer)? Will the implementing agency be able to operate the asset without permanent dependence on external contractors?</w:t>
      </w:r>
    </w:p>
    <w:p w14:paraId="083C8D5F" w14:textId="77777777" w:rsidR="0003023C" w:rsidRDefault="0003023C" w:rsidP="0003023C">
      <w:pPr>
        <w:spacing w:line="360" w:lineRule="auto"/>
        <w:jc w:val="both"/>
      </w:pPr>
      <w:r>
        <w:t>Decision note: if any of D‑1, D‑3, or D‑5 is ‘No,’ the committee should either defer approval or approve only with binding, budgeted corrective actions and independent verification milestones.</w:t>
      </w:r>
    </w:p>
    <w:p w14:paraId="647BD0E1" w14:textId="77777777" w:rsidR="00DE6AE2" w:rsidRDefault="00DE6AE2"/>
    <w:sectPr w:rsidR="00DE6AE2" w:rsidSect="0003023C">
      <w:footerReference w:type="default" r:id="rId4"/>
      <w:pgSz w:w="12240" w:h="15840"/>
      <w:pgMar w:top="1418" w:right="1418" w:bottom="1418" w:left="141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082EE9" w14:textId="77777777" w:rsidR="0003023C" w:rsidRDefault="0003023C">
    <w:pPr>
      <w:pStyle w:val="Footer"/>
      <w:tabs>
        <w:tab w:val="clear" w:pos="4680"/>
        <w:tab w:val="clear" w:pos="9360"/>
      </w:tabs>
      <w:jc w:val="center"/>
      <w:rPr>
        <w:caps/>
        <w:color w:val="156082" w:themeColor="accent1"/>
      </w:rPr>
    </w:pPr>
    <w:r>
      <w:rPr>
        <w:caps/>
        <w:color w:val="156082" w:themeColor="accent1"/>
      </w:rPr>
      <w:fldChar w:fldCharType="begin"/>
    </w:r>
    <w:r>
      <w:rPr>
        <w:caps/>
        <w:color w:val="156082" w:themeColor="accent1"/>
      </w:rPr>
      <w:instrText>PAGE   \* MERGEFORMAT</w:instrText>
    </w:r>
    <w:r>
      <w:rPr>
        <w:caps/>
        <w:color w:val="156082" w:themeColor="accent1"/>
      </w:rPr>
      <w:fldChar w:fldCharType="separate"/>
    </w:r>
    <w:r w:rsidRPr="00D96AA3">
      <w:rPr>
        <w:caps/>
        <w:noProof/>
        <w:color w:val="156082" w:themeColor="accent1"/>
        <w:lang w:val="fr-FR"/>
      </w:rPr>
      <w:t>1</w:t>
    </w:r>
    <w:r>
      <w:rPr>
        <w:caps/>
        <w:color w:val="156082" w:themeColor="accent1"/>
      </w:rPr>
      <w:fldChar w:fldCharType="end"/>
    </w:r>
  </w:p>
  <w:p w14:paraId="52FC595D" w14:textId="77777777" w:rsidR="0003023C" w:rsidRDefault="0003023C">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023C"/>
    <w:rsid w:val="0003023C"/>
    <w:rsid w:val="00195413"/>
    <w:rsid w:val="003D0186"/>
    <w:rsid w:val="006B2468"/>
    <w:rsid w:val="007278E4"/>
    <w:rsid w:val="00A3738C"/>
    <w:rsid w:val="00BC6C35"/>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A9E652"/>
  <w15:chartTrackingRefBased/>
  <w15:docId w15:val="{0D75CF03-73B5-420F-9227-AF6CAB051E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023C"/>
    <w:pPr>
      <w:spacing w:after="200" w:line="276" w:lineRule="auto"/>
    </w:pPr>
    <w:rPr>
      <w:rFonts w:ascii="Times New Roman" w:eastAsia="Times New Roman" w:hAnsi="Times New Roman" w:cs="Times New Roman"/>
      <w:kern w:val="0"/>
      <w:szCs w:val="22"/>
      <w14:ligatures w14:val="none"/>
    </w:rPr>
  </w:style>
  <w:style w:type="paragraph" w:styleId="Heading1">
    <w:name w:val="heading 1"/>
    <w:basedOn w:val="Normal"/>
    <w:next w:val="Normal"/>
    <w:link w:val="Heading1Char"/>
    <w:uiPriority w:val="9"/>
    <w:qFormat/>
    <w:rsid w:val="0003023C"/>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03023C"/>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03023C"/>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03023C"/>
    <w:pPr>
      <w:keepNext/>
      <w:keepLines/>
      <w:spacing w:before="80" w:after="40" w:line="278" w:lineRule="auto"/>
      <w:outlineLvl w:val="3"/>
    </w:pPr>
    <w:rPr>
      <w:rFonts w:asciiTheme="minorHAnsi" w:eastAsiaTheme="majorEastAsia" w:hAnsiTheme="minorHAnsi" w:cstheme="majorBidi"/>
      <w:i/>
      <w:iCs/>
      <w:color w:val="0F4761" w:themeColor="accent1" w:themeShade="BF"/>
      <w:kern w:val="2"/>
      <w:szCs w:val="24"/>
      <w14:ligatures w14:val="standardContextual"/>
    </w:rPr>
  </w:style>
  <w:style w:type="paragraph" w:styleId="Heading5">
    <w:name w:val="heading 5"/>
    <w:basedOn w:val="Normal"/>
    <w:next w:val="Normal"/>
    <w:link w:val="Heading5Char"/>
    <w:uiPriority w:val="9"/>
    <w:semiHidden/>
    <w:unhideWhenUsed/>
    <w:qFormat/>
    <w:rsid w:val="0003023C"/>
    <w:pPr>
      <w:keepNext/>
      <w:keepLines/>
      <w:spacing w:before="80" w:after="40" w:line="278" w:lineRule="auto"/>
      <w:outlineLvl w:val="4"/>
    </w:pPr>
    <w:rPr>
      <w:rFonts w:asciiTheme="minorHAnsi" w:eastAsiaTheme="majorEastAsia" w:hAnsiTheme="minorHAnsi" w:cstheme="majorBidi"/>
      <w:color w:val="0F4761" w:themeColor="accent1" w:themeShade="BF"/>
      <w:kern w:val="2"/>
      <w:szCs w:val="24"/>
      <w14:ligatures w14:val="standardContextual"/>
    </w:rPr>
  </w:style>
  <w:style w:type="paragraph" w:styleId="Heading6">
    <w:name w:val="heading 6"/>
    <w:basedOn w:val="Normal"/>
    <w:next w:val="Normal"/>
    <w:link w:val="Heading6Char"/>
    <w:uiPriority w:val="9"/>
    <w:semiHidden/>
    <w:unhideWhenUsed/>
    <w:qFormat/>
    <w:rsid w:val="0003023C"/>
    <w:pPr>
      <w:keepNext/>
      <w:keepLines/>
      <w:spacing w:before="40" w:after="0" w:line="278" w:lineRule="auto"/>
      <w:outlineLvl w:val="5"/>
    </w:pPr>
    <w:rPr>
      <w:rFonts w:asciiTheme="minorHAnsi" w:eastAsiaTheme="majorEastAsia" w:hAnsiTheme="minorHAnsi" w:cstheme="majorBidi"/>
      <w:i/>
      <w:iCs/>
      <w:color w:val="595959" w:themeColor="text1" w:themeTint="A6"/>
      <w:kern w:val="2"/>
      <w:szCs w:val="24"/>
      <w14:ligatures w14:val="standardContextual"/>
    </w:rPr>
  </w:style>
  <w:style w:type="paragraph" w:styleId="Heading7">
    <w:name w:val="heading 7"/>
    <w:basedOn w:val="Normal"/>
    <w:next w:val="Normal"/>
    <w:link w:val="Heading7Char"/>
    <w:uiPriority w:val="9"/>
    <w:semiHidden/>
    <w:unhideWhenUsed/>
    <w:qFormat/>
    <w:rsid w:val="0003023C"/>
    <w:pPr>
      <w:keepNext/>
      <w:keepLines/>
      <w:spacing w:before="40" w:after="0" w:line="278" w:lineRule="auto"/>
      <w:outlineLvl w:val="6"/>
    </w:pPr>
    <w:rPr>
      <w:rFonts w:asciiTheme="minorHAnsi" w:eastAsiaTheme="majorEastAsia" w:hAnsiTheme="minorHAnsi" w:cstheme="majorBidi"/>
      <w:color w:val="595959" w:themeColor="text1" w:themeTint="A6"/>
      <w:kern w:val="2"/>
      <w:szCs w:val="24"/>
      <w14:ligatures w14:val="standardContextual"/>
    </w:rPr>
  </w:style>
  <w:style w:type="paragraph" w:styleId="Heading8">
    <w:name w:val="heading 8"/>
    <w:basedOn w:val="Normal"/>
    <w:next w:val="Normal"/>
    <w:link w:val="Heading8Char"/>
    <w:uiPriority w:val="9"/>
    <w:semiHidden/>
    <w:unhideWhenUsed/>
    <w:qFormat/>
    <w:rsid w:val="0003023C"/>
    <w:pPr>
      <w:keepNext/>
      <w:keepLines/>
      <w:spacing w:after="0" w:line="278" w:lineRule="auto"/>
      <w:outlineLvl w:val="7"/>
    </w:pPr>
    <w:rPr>
      <w:rFonts w:asciiTheme="minorHAnsi" w:eastAsiaTheme="majorEastAsia" w:hAnsiTheme="minorHAnsi" w:cstheme="majorBidi"/>
      <w:i/>
      <w:iCs/>
      <w:color w:val="272727" w:themeColor="text1" w:themeTint="D8"/>
      <w:kern w:val="2"/>
      <w:szCs w:val="24"/>
      <w14:ligatures w14:val="standardContextual"/>
    </w:rPr>
  </w:style>
  <w:style w:type="paragraph" w:styleId="Heading9">
    <w:name w:val="heading 9"/>
    <w:basedOn w:val="Normal"/>
    <w:next w:val="Normal"/>
    <w:link w:val="Heading9Char"/>
    <w:uiPriority w:val="9"/>
    <w:semiHidden/>
    <w:unhideWhenUsed/>
    <w:qFormat/>
    <w:rsid w:val="0003023C"/>
    <w:pPr>
      <w:keepNext/>
      <w:keepLines/>
      <w:spacing w:after="0" w:line="278" w:lineRule="auto"/>
      <w:outlineLvl w:val="8"/>
    </w:pPr>
    <w:rPr>
      <w:rFonts w:asciiTheme="minorHAnsi" w:eastAsiaTheme="majorEastAsia" w:hAnsiTheme="minorHAnsi" w:cstheme="majorBidi"/>
      <w:color w:val="272727" w:themeColor="text1" w:themeTint="D8"/>
      <w:kern w:val="2"/>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023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3023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3023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3023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3023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3023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3023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3023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3023C"/>
    <w:rPr>
      <w:rFonts w:eastAsiaTheme="majorEastAsia" w:cstheme="majorBidi"/>
      <w:color w:val="272727" w:themeColor="text1" w:themeTint="D8"/>
    </w:rPr>
  </w:style>
  <w:style w:type="paragraph" w:styleId="Title">
    <w:name w:val="Title"/>
    <w:basedOn w:val="Normal"/>
    <w:next w:val="Normal"/>
    <w:link w:val="TitleChar"/>
    <w:uiPriority w:val="10"/>
    <w:qFormat/>
    <w:rsid w:val="0003023C"/>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03023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3023C"/>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03023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3023C"/>
    <w:pPr>
      <w:spacing w:before="160" w:after="160" w:line="278" w:lineRule="auto"/>
      <w:jc w:val="center"/>
    </w:pPr>
    <w:rPr>
      <w:rFonts w:asciiTheme="minorHAnsi" w:eastAsiaTheme="minorHAnsi" w:hAnsiTheme="minorHAnsi" w:cstheme="minorBidi"/>
      <w:i/>
      <w:iCs/>
      <w:color w:val="404040" w:themeColor="text1" w:themeTint="BF"/>
      <w:kern w:val="2"/>
      <w:szCs w:val="24"/>
      <w14:ligatures w14:val="standardContextual"/>
    </w:rPr>
  </w:style>
  <w:style w:type="character" w:customStyle="1" w:styleId="QuoteChar">
    <w:name w:val="Quote Char"/>
    <w:basedOn w:val="DefaultParagraphFont"/>
    <w:link w:val="Quote"/>
    <w:uiPriority w:val="29"/>
    <w:rsid w:val="0003023C"/>
    <w:rPr>
      <w:i/>
      <w:iCs/>
      <w:color w:val="404040" w:themeColor="text1" w:themeTint="BF"/>
    </w:rPr>
  </w:style>
  <w:style w:type="paragraph" w:styleId="ListParagraph">
    <w:name w:val="List Paragraph"/>
    <w:basedOn w:val="Normal"/>
    <w:uiPriority w:val="34"/>
    <w:qFormat/>
    <w:rsid w:val="0003023C"/>
    <w:pPr>
      <w:spacing w:after="160" w:line="278" w:lineRule="auto"/>
      <w:ind w:left="720"/>
      <w:contextualSpacing/>
    </w:pPr>
    <w:rPr>
      <w:rFonts w:asciiTheme="minorHAnsi" w:eastAsiaTheme="minorHAnsi" w:hAnsiTheme="minorHAnsi" w:cstheme="minorBidi"/>
      <w:kern w:val="2"/>
      <w:szCs w:val="24"/>
      <w14:ligatures w14:val="standardContextual"/>
    </w:rPr>
  </w:style>
  <w:style w:type="character" w:styleId="IntenseEmphasis">
    <w:name w:val="Intense Emphasis"/>
    <w:basedOn w:val="DefaultParagraphFont"/>
    <w:uiPriority w:val="21"/>
    <w:qFormat/>
    <w:rsid w:val="0003023C"/>
    <w:rPr>
      <w:i/>
      <w:iCs/>
      <w:color w:val="0F4761" w:themeColor="accent1" w:themeShade="BF"/>
    </w:rPr>
  </w:style>
  <w:style w:type="paragraph" w:styleId="IntenseQuote">
    <w:name w:val="Intense Quote"/>
    <w:basedOn w:val="Normal"/>
    <w:next w:val="Normal"/>
    <w:link w:val="IntenseQuoteChar"/>
    <w:uiPriority w:val="30"/>
    <w:qFormat/>
    <w:rsid w:val="0003023C"/>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Cs w:val="24"/>
      <w14:ligatures w14:val="standardContextual"/>
    </w:rPr>
  </w:style>
  <w:style w:type="character" w:customStyle="1" w:styleId="IntenseQuoteChar">
    <w:name w:val="Intense Quote Char"/>
    <w:basedOn w:val="DefaultParagraphFont"/>
    <w:link w:val="IntenseQuote"/>
    <w:uiPriority w:val="30"/>
    <w:rsid w:val="0003023C"/>
    <w:rPr>
      <w:i/>
      <w:iCs/>
      <w:color w:val="0F4761" w:themeColor="accent1" w:themeShade="BF"/>
    </w:rPr>
  </w:style>
  <w:style w:type="character" w:styleId="IntenseReference">
    <w:name w:val="Intense Reference"/>
    <w:basedOn w:val="DefaultParagraphFont"/>
    <w:uiPriority w:val="32"/>
    <w:qFormat/>
    <w:rsid w:val="0003023C"/>
    <w:rPr>
      <w:b/>
      <w:bCs/>
      <w:smallCaps/>
      <w:color w:val="0F4761" w:themeColor="accent1" w:themeShade="BF"/>
      <w:spacing w:val="5"/>
    </w:rPr>
  </w:style>
  <w:style w:type="paragraph" w:styleId="Footer">
    <w:name w:val="footer"/>
    <w:basedOn w:val="Normal"/>
    <w:link w:val="FooterChar"/>
    <w:uiPriority w:val="99"/>
    <w:unhideWhenUsed/>
    <w:rsid w:val="0003023C"/>
    <w:pPr>
      <w:tabs>
        <w:tab w:val="center" w:pos="4680"/>
        <w:tab w:val="right" w:pos="9360"/>
      </w:tabs>
      <w:spacing w:after="0" w:line="240" w:lineRule="auto"/>
    </w:pPr>
  </w:style>
  <w:style w:type="character" w:customStyle="1" w:styleId="FooterChar">
    <w:name w:val="Footer Char"/>
    <w:basedOn w:val="DefaultParagraphFont"/>
    <w:link w:val="Footer"/>
    <w:uiPriority w:val="99"/>
    <w:rsid w:val="0003023C"/>
    <w:rPr>
      <w:rFonts w:ascii="Times New Roman" w:eastAsia="Times New Roman" w:hAnsi="Times New Roman" w:cs="Times New Roman"/>
      <w:kern w:val="0"/>
      <w:szCs w:val="22"/>
      <w14:ligatures w14:val="none"/>
    </w:rPr>
  </w:style>
  <w:style w:type="table" w:styleId="TableGrid">
    <w:name w:val="Table Grid"/>
    <w:basedOn w:val="TableNormal"/>
    <w:uiPriority w:val="59"/>
    <w:rsid w:val="0003023C"/>
    <w:pPr>
      <w:spacing w:after="0" w:line="240" w:lineRule="auto"/>
    </w:pPr>
    <w:rPr>
      <w:rFonts w:eastAsiaTheme="minorEastAsia"/>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781</Words>
  <Characters>5190</Characters>
  <Application>Microsoft Office Word</Application>
  <DocSecurity>0</DocSecurity>
  <Lines>136</Lines>
  <Paragraphs>55</Paragraphs>
  <ScaleCrop>false</ScaleCrop>
  <Company>Springer Nature</Company>
  <LinksUpToDate>false</LinksUpToDate>
  <CharactersWithSpaces>5916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2026-03-09T14:10:00Z</dcterms:created>
  <dcterms:modified xsi:type="dcterms:W3CDTF">2026-03-09T14:11:00Z</dcterms:modified>
</cp:coreProperties>
</file>