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BBE9E" w14:textId="77777777" w:rsidR="00601FDE" w:rsidRDefault="00601FDE" w:rsidP="00601FDE">
      <w:pPr>
        <w:jc w:val="right"/>
        <w:rPr>
          <w:b/>
          <w:bCs/>
          <w:rtl/>
          <w:lang w:bidi="ar-DZ"/>
        </w:rPr>
      </w:pPr>
    </w:p>
    <w:p w14:paraId="33164776" w14:textId="5A5C7CB2" w:rsidR="00601FDE" w:rsidRDefault="00601FDE" w:rsidP="00601FDE">
      <w:pPr>
        <w:jc w:val="right"/>
        <w:rPr>
          <w:b/>
          <w:bCs/>
          <w:lang w:bidi="ar-DZ"/>
        </w:rPr>
      </w:pPr>
      <w:r>
        <w:rPr>
          <w:b/>
          <w:bCs/>
          <w:lang w:bidi="ar-DZ"/>
        </w:rPr>
        <w:t xml:space="preserve">Appendix: </w:t>
      </w:r>
    </w:p>
    <w:p w14:paraId="580C9ED8" w14:textId="0BAAD0BB" w:rsidR="00601FDE" w:rsidRDefault="00601FDE" w:rsidP="00601FDE">
      <w:pPr>
        <w:jc w:val="right"/>
        <w:rPr>
          <w:b/>
          <w:bCs/>
          <w:rtl/>
          <w:lang w:bidi="ar-DZ"/>
        </w:rPr>
      </w:pPr>
      <w:r>
        <w:rPr>
          <w:b/>
          <w:bCs/>
          <w:lang w:bidi="ar-DZ"/>
        </w:rPr>
        <w:t>Global Multi-Cancer Environmental Causal Engine (GMCE). A Mechanistic, Hierarchical, and Causally Identifiable Framework</w:t>
      </w:r>
    </w:p>
    <w:p w14:paraId="7736B070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1. Conceptual Foundation</w:t>
      </w:r>
    </w:p>
    <w:p w14:paraId="081BAF14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The GMCE framework models environmentally induced carcinogenesis as a dynamic interaction between environmental exposure (PM2.5), genetic susceptibility, climate modulation, and tissue-specific vulnerability.</w:t>
      </w:r>
    </w:p>
    <w:p w14:paraId="29184572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2. Definitions</w:t>
      </w:r>
    </w:p>
    <w:p w14:paraId="232CDC37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P(t) = PM2.5 concentration at time t</w:t>
      </w:r>
    </w:p>
    <w:p w14:paraId="0B08ED7F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G_i = Genetic susceptibility index for population i</w:t>
      </w:r>
    </w:p>
    <w:p w14:paraId="708BC77F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C_i(t) = Climate modulation factor</w:t>
      </w:r>
    </w:p>
    <w:p w14:paraId="3D715357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S_k = Tissue-specific susceptibility for cancer type k</w:t>
      </w:r>
    </w:p>
    <w:p w14:paraId="3F97025A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D_k(t) = Accumulated DNA damage for cancer k</w:t>
      </w:r>
    </w:p>
    <w:p w14:paraId="1F42170E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λ_k = Malignant transformation rate for cancer k</w:t>
      </w:r>
    </w:p>
    <w:p w14:paraId="457B3E31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γ_k = DNA repair rate for cancer k</w:t>
      </w:r>
    </w:p>
    <w:p w14:paraId="240DA9EE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N_i,k = Population at risk</w:t>
      </w:r>
    </w:p>
    <w:p w14:paraId="3B3CD7EB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3. Mechanistic Tissue-Specific Damage Equation</w:t>
      </w:r>
    </w:p>
    <w:p w14:paraId="28341EA6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Differential form:</w:t>
      </w:r>
    </w:p>
    <w:p w14:paraId="72889CB2" w14:textId="77777777" w:rsidR="00601FDE" w:rsidRDefault="00601FDE" w:rsidP="00601FDE">
      <w:pPr>
        <w:jc w:val="right"/>
        <w:rPr>
          <w:rtl/>
          <w:lang w:bidi="ar-DZ"/>
        </w:rPr>
      </w:pPr>
      <w:r>
        <w:rPr>
          <w:rtl/>
          <w:lang w:bidi="ar-DZ"/>
        </w:rPr>
        <w:t>\frac{dD_k}{dt} = S_k \cdot P(t) \cdot (\alpha_k + \eta_k G_i + \theta_k C_i(t)) - \gamma_k D_k(t)</w:t>
      </w:r>
    </w:p>
    <w:p w14:paraId="7DF0430F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Closed-form solution:</w:t>
      </w:r>
    </w:p>
    <w:p w14:paraId="054993F5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D_k(t) = e^{-\gamma_k t} \int_0^t e^{\gamma_k s} S_k P(s) (\alpha_k + \eta_k G_i + \theta_k C_i(s)) ds</w:t>
      </w:r>
    </w:p>
    <w:p w14:paraId="72BDDB11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4. Cancer Risk Transformation</w:t>
      </w:r>
    </w:p>
    <w:p w14:paraId="788A1CCC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R_k(T) = 1 - \exp\Big( -\lambda_k \int_0^T D_k(t) dt \Big)</w:t>
      </w:r>
    </w:p>
    <w:p w14:paraId="657FC79A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5. Population-Level Likelihood</w:t>
      </w:r>
    </w:p>
    <w:p w14:paraId="721944C5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Y_{i,k} \sim \text{Poisson}( N_{i,k} \cdot R_{i,k} )</w:t>
      </w:r>
    </w:p>
    <w:p w14:paraId="4E703400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6. Hierarchical Global Structure</w:t>
      </w:r>
    </w:p>
    <w:p w14:paraId="4187B659" w14:textId="77777777" w:rsidR="00601FDE" w:rsidRDefault="00601FDE" w:rsidP="00601FDE">
      <w:pPr>
        <w:jc w:val="right"/>
        <w:rPr>
          <w:rtl/>
          <w:lang w:bidi="ar-DZ"/>
        </w:rPr>
      </w:pPr>
    </w:p>
    <w:p w14:paraId="0E6B3FB7" w14:textId="77777777" w:rsidR="00601FDE" w:rsidRDefault="00601FDE" w:rsidP="00601FDE">
      <w:pPr>
        <w:jc w:val="right"/>
        <w:rPr>
          <w:rtl/>
          <w:lang w:bidi="ar-DZ"/>
        </w:rPr>
      </w:pPr>
      <w:r>
        <w:rPr>
          <w:rtl/>
          <w:lang w:bidi="ar-DZ"/>
        </w:rPr>
        <w:lastRenderedPageBreak/>
        <w:t>\alpha_k \sim \mathcal{N}(\mu_\alpha, \sigma_\alpha^2)</w:t>
      </w:r>
    </w:p>
    <w:p w14:paraId="4377F89E" w14:textId="77777777" w:rsidR="00601FDE" w:rsidRDefault="00601FDE" w:rsidP="00601FDE">
      <w:pPr>
        <w:jc w:val="right"/>
        <w:rPr>
          <w:rtl/>
          <w:lang w:bidi="ar-DZ"/>
        </w:rPr>
      </w:pPr>
      <w:r>
        <w:rPr>
          <w:rtl/>
          <w:lang w:bidi="ar-DZ"/>
        </w:rPr>
        <w:t>\lambda_k \sim \text{TruncatedNormal}^+(\mu_\lambda, \sigma_\lambda^2)</w:t>
      </w:r>
    </w:p>
    <w:p w14:paraId="6C899485" w14:textId="77777777" w:rsidR="00601FDE" w:rsidRDefault="00601FDE" w:rsidP="00601FDE">
      <w:pPr>
        <w:jc w:val="right"/>
        <w:rPr>
          <w:rtl/>
          <w:lang w:bidi="ar-DZ"/>
        </w:rPr>
      </w:pPr>
      <w:r>
        <w:rPr>
          <w:rtl/>
          <w:lang w:bidi="ar-DZ"/>
        </w:rPr>
        <w:t>\gamma_k \sim \text{LogNormal}(\mu_\gamma, \sigma_\gamma^2)</w:t>
      </w:r>
    </w:p>
    <w:p w14:paraId="7513AB53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 xml:space="preserve">S_k \sim \text{LogNormal}(\mu_S, \sigma_S^2) </w:t>
      </w:r>
    </w:p>
    <w:p w14:paraId="0EA0767B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7. Causal Structural Model</w:t>
      </w:r>
    </w:p>
    <w:p w14:paraId="3CEE12BE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D_k = f(P, G, C, U_1)</w:t>
      </w:r>
    </w:p>
    <w:p w14:paraId="1451D67F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Cancer_k = g(D_k, U_2) </w:t>
      </w:r>
    </w:p>
    <w:p w14:paraId="229E86F4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Average Treatment Effect (ATE):</w:t>
      </w:r>
    </w:p>
    <w:p w14:paraId="36ABF6B0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ATE = E[ Cancer_k \mid do(P = p_1) ] - E[ Cancer_k \mid do(P = p_0) ]</w:t>
      </w:r>
    </w:p>
    <w:p w14:paraId="7E2392AE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8. Identifiability Conditions</w:t>
      </w:r>
    </w:p>
    <w:p w14:paraId="35BF07C3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1. No unmeasured confounders between D_k and Cancer_k.</w:t>
      </w:r>
    </w:p>
    <w:p w14:paraId="7C9982B4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2. Rank condition: Exposure matrix must be full rank.</w:t>
      </w:r>
    </w:p>
    <w:p w14:paraId="28381C71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3. Fisher Information determinant &gt; 0 ensures local identifiability.</w:t>
      </w:r>
    </w:p>
    <w:p w14:paraId="0BA7E801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9. Final Integrated GMCE Equation</w:t>
      </w:r>
    </w:p>
    <w:p w14:paraId="437C36BE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Y_{i,k} \sim \text{Poisson} \Bigg( N_{i,k} \Big[ 1 - \exp \Big( -\lambda_k \int_0^T e^{-\gamma_k t} \int_0^t e^{\gamma_k s} S_k P_i(s)(\alpha_k + \eta_k G_i + \theta_k C_i(s)) ds dt \Big) \Big] \Bigg)</w:t>
      </w:r>
    </w:p>
    <w:p w14:paraId="0F4D02B3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Summary:</w:t>
      </w:r>
    </w:p>
    <w:p w14:paraId="186D412E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This formulation defines a globally transportable, mechanistic, Bayesian hierarchical, and causally identifiable multi-cancer risk engine, capable of modeling tissue-specific susceptibility, genetic and climate interactions, and supporting intervention simulations.</w:t>
      </w:r>
    </w:p>
    <w:p w14:paraId="326A455F" w14:textId="77777777" w:rsidR="00601FDE" w:rsidRDefault="00601FDE" w:rsidP="00601FDE">
      <w:pPr>
        <w:jc w:val="right"/>
        <w:rPr>
          <w:rtl/>
          <w:lang w:bidi="ar-DZ"/>
        </w:rPr>
      </w:pPr>
    </w:p>
    <w:p w14:paraId="31F4282D" w14:textId="77777777" w:rsidR="00601FDE" w:rsidRDefault="00601FDE" w:rsidP="00601FDE">
      <w:pPr>
        <w:jc w:val="right"/>
        <w:rPr>
          <w:rtl/>
          <w:lang w:bidi="ar-DZ"/>
        </w:rPr>
      </w:pPr>
    </w:p>
    <w:p w14:paraId="7EB617F1" w14:textId="77777777" w:rsidR="00601FDE" w:rsidRDefault="00601FDE" w:rsidP="00601FDE">
      <w:pPr>
        <w:jc w:val="right"/>
        <w:rPr>
          <w:rtl/>
          <w:lang w:bidi="ar-DZ"/>
        </w:rPr>
      </w:pPr>
    </w:p>
    <w:p w14:paraId="2AC17156" w14:textId="77777777" w:rsidR="00601FDE" w:rsidRDefault="00601FDE" w:rsidP="00601FDE">
      <w:pPr>
        <w:jc w:val="right"/>
        <w:rPr>
          <w:rtl/>
          <w:lang w:bidi="ar-DZ"/>
        </w:rPr>
      </w:pPr>
    </w:p>
    <w:p w14:paraId="5A25C296" w14:textId="77777777" w:rsidR="00601FDE" w:rsidRDefault="00601FDE" w:rsidP="00601FDE">
      <w:pPr>
        <w:jc w:val="right"/>
        <w:rPr>
          <w:rtl/>
          <w:lang w:bidi="ar-DZ"/>
        </w:rPr>
      </w:pPr>
    </w:p>
    <w:p w14:paraId="75A6E63B" w14:textId="77777777" w:rsidR="00601FDE" w:rsidRDefault="00601FDE" w:rsidP="00601FDE">
      <w:pPr>
        <w:jc w:val="right"/>
        <w:rPr>
          <w:rtl/>
          <w:lang w:bidi="ar-DZ"/>
        </w:rPr>
      </w:pPr>
    </w:p>
    <w:p w14:paraId="1EDB5B4C" w14:textId="77777777" w:rsidR="00601FDE" w:rsidRDefault="00601FDE" w:rsidP="00601FDE">
      <w:pPr>
        <w:jc w:val="right"/>
        <w:rPr>
          <w:rtl/>
          <w:lang w:bidi="ar-DZ"/>
        </w:rPr>
      </w:pPr>
    </w:p>
    <w:p w14:paraId="604A41CF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Table: Tissue-Specific Parameters for GMCE Multi-Cancer Model</w:t>
      </w:r>
    </w:p>
    <w:p w14:paraId="1BCB7BD1" w14:textId="77777777" w:rsidR="00601FDE" w:rsidRDefault="00601FDE" w:rsidP="00601FDE">
      <w:pPr>
        <w:jc w:val="right"/>
        <w:rPr>
          <w:sz w:val="11"/>
          <w:szCs w:val="11"/>
          <w:rtl/>
          <w:lang w:bidi="ar-DZ"/>
        </w:rPr>
      </w:pPr>
      <w:r>
        <w:rPr>
          <w:sz w:val="11"/>
          <w:szCs w:val="11"/>
          <w:lang w:bidi="ar-DZ"/>
        </w:rPr>
        <w:t>Cancer Type</w:t>
      </w:r>
      <w:r>
        <w:rPr>
          <w:sz w:val="11"/>
          <w:szCs w:val="11"/>
          <w:lang w:bidi="ar-DZ"/>
        </w:rPr>
        <w:tab/>
        <w:t xml:space="preserve">α_k </w:t>
      </w:r>
      <w:r>
        <w:rPr>
          <w:sz w:val="11"/>
          <w:szCs w:val="11"/>
          <w:lang w:bidi="ar-DZ"/>
        </w:rPr>
        <w:tab/>
        <w:t>η_k</w:t>
      </w:r>
      <w:r>
        <w:rPr>
          <w:sz w:val="11"/>
          <w:szCs w:val="11"/>
          <w:lang w:bidi="ar-DZ"/>
        </w:rPr>
        <w:tab/>
        <w:t xml:space="preserve">θ_k </w:t>
      </w:r>
      <w:r>
        <w:rPr>
          <w:sz w:val="11"/>
          <w:szCs w:val="11"/>
          <w:lang w:bidi="ar-DZ"/>
        </w:rPr>
        <w:tab/>
        <w:t xml:space="preserve">γ_k </w:t>
      </w:r>
      <w:r>
        <w:rPr>
          <w:sz w:val="11"/>
          <w:szCs w:val="11"/>
          <w:lang w:bidi="ar-DZ"/>
        </w:rPr>
        <w:tab/>
        <w:t xml:space="preserve">S_k </w:t>
      </w:r>
      <w:r>
        <w:rPr>
          <w:sz w:val="11"/>
          <w:szCs w:val="11"/>
          <w:lang w:bidi="ar-DZ"/>
        </w:rPr>
        <w:tab/>
        <w:t xml:space="preserve">λ_k </w:t>
      </w:r>
      <w:r>
        <w:rPr>
          <w:sz w:val="11"/>
          <w:szCs w:val="11"/>
          <w:lang w:bidi="ar-DZ"/>
        </w:rPr>
        <w:tab/>
        <w:t>Reference</w:t>
      </w:r>
    </w:p>
    <w:p w14:paraId="6859BDB1" w14:textId="77777777" w:rsidR="00601FDE" w:rsidRDefault="00601FDE" w:rsidP="00601FDE">
      <w:pPr>
        <w:jc w:val="right"/>
        <w:rPr>
          <w:sz w:val="11"/>
          <w:szCs w:val="11"/>
          <w:rtl/>
          <w:lang w:bidi="ar-DZ"/>
        </w:rPr>
      </w:pPr>
      <w:r>
        <w:rPr>
          <w:sz w:val="11"/>
          <w:szCs w:val="11"/>
          <w:lang w:bidi="ar-DZ"/>
        </w:rPr>
        <w:lastRenderedPageBreak/>
        <w:t>Lung</w:t>
      </w:r>
      <w:r>
        <w:rPr>
          <w:sz w:val="11"/>
          <w:szCs w:val="11"/>
          <w:lang w:bidi="ar-DZ"/>
        </w:rPr>
        <w:tab/>
        <w:t>0.025</w:t>
      </w:r>
      <w:r>
        <w:rPr>
          <w:sz w:val="11"/>
          <w:szCs w:val="11"/>
          <w:lang w:bidi="ar-DZ"/>
        </w:rPr>
        <w:tab/>
        <w:t>0.010</w:t>
      </w:r>
      <w:r>
        <w:rPr>
          <w:sz w:val="11"/>
          <w:szCs w:val="11"/>
          <w:lang w:bidi="ar-DZ"/>
        </w:rPr>
        <w:tab/>
        <w:t>0.005</w:t>
      </w:r>
      <w:r>
        <w:rPr>
          <w:sz w:val="11"/>
          <w:szCs w:val="11"/>
          <w:lang w:bidi="ar-DZ"/>
        </w:rPr>
        <w:tab/>
        <w:t>0.02</w:t>
      </w:r>
      <w:r>
        <w:rPr>
          <w:sz w:val="11"/>
          <w:szCs w:val="11"/>
          <w:lang w:bidi="ar-DZ"/>
        </w:rPr>
        <w:tab/>
        <w:t>1.0</w:t>
      </w:r>
      <w:r>
        <w:rPr>
          <w:sz w:val="11"/>
          <w:szCs w:val="11"/>
          <w:lang w:bidi="ar-DZ"/>
        </w:rPr>
        <w:tab/>
        <w:t>0.042</w:t>
      </w:r>
      <w:r>
        <w:rPr>
          <w:sz w:val="11"/>
          <w:szCs w:val="11"/>
          <w:lang w:bidi="ar-DZ"/>
        </w:rPr>
        <w:tab/>
        <w:t>IARC 2016; Pope et al., 2019</w:t>
      </w:r>
    </w:p>
    <w:p w14:paraId="55CF150D" w14:textId="77777777" w:rsidR="00601FDE" w:rsidRDefault="00601FDE" w:rsidP="00601FDE">
      <w:pPr>
        <w:jc w:val="right"/>
        <w:rPr>
          <w:sz w:val="11"/>
          <w:szCs w:val="11"/>
          <w:rtl/>
          <w:lang w:bidi="ar-DZ"/>
        </w:rPr>
      </w:pPr>
      <w:r>
        <w:rPr>
          <w:sz w:val="11"/>
          <w:szCs w:val="11"/>
          <w:lang w:bidi="ar-DZ"/>
        </w:rPr>
        <w:t>Bladder</w:t>
      </w:r>
      <w:r>
        <w:rPr>
          <w:sz w:val="11"/>
          <w:szCs w:val="11"/>
          <w:lang w:bidi="ar-DZ"/>
        </w:rPr>
        <w:tab/>
        <w:t>0.015</w:t>
      </w:r>
      <w:r>
        <w:rPr>
          <w:sz w:val="11"/>
          <w:szCs w:val="11"/>
          <w:lang w:bidi="ar-DZ"/>
        </w:rPr>
        <w:tab/>
        <w:t>0.008</w:t>
      </w:r>
      <w:r>
        <w:rPr>
          <w:sz w:val="11"/>
          <w:szCs w:val="11"/>
          <w:lang w:bidi="ar-DZ"/>
        </w:rPr>
        <w:tab/>
        <w:t>0.004</w:t>
      </w:r>
      <w:r>
        <w:rPr>
          <w:sz w:val="11"/>
          <w:szCs w:val="11"/>
          <w:lang w:bidi="ar-DZ"/>
        </w:rPr>
        <w:tab/>
        <w:t>0.018</w:t>
      </w:r>
      <w:r>
        <w:rPr>
          <w:sz w:val="11"/>
          <w:szCs w:val="11"/>
          <w:lang w:bidi="ar-DZ"/>
        </w:rPr>
        <w:tab/>
        <w:t>0.8</w:t>
      </w:r>
      <w:r>
        <w:rPr>
          <w:sz w:val="11"/>
          <w:szCs w:val="11"/>
          <w:lang w:bidi="ar-DZ"/>
        </w:rPr>
        <w:tab/>
        <w:t>0.030</w:t>
      </w:r>
      <w:r>
        <w:rPr>
          <w:sz w:val="11"/>
          <w:szCs w:val="11"/>
          <w:lang w:bidi="ar-DZ"/>
        </w:rPr>
        <w:tab/>
        <w:t>IARC 2016; Turner et al., 2020</w:t>
      </w:r>
    </w:p>
    <w:p w14:paraId="04678731" w14:textId="77777777" w:rsidR="00601FDE" w:rsidRDefault="00601FDE" w:rsidP="00601FDE">
      <w:pPr>
        <w:jc w:val="right"/>
        <w:rPr>
          <w:sz w:val="11"/>
          <w:szCs w:val="11"/>
          <w:rtl/>
          <w:lang w:bidi="ar-DZ"/>
        </w:rPr>
      </w:pPr>
      <w:r>
        <w:rPr>
          <w:sz w:val="11"/>
          <w:szCs w:val="11"/>
          <w:lang w:bidi="ar-DZ"/>
        </w:rPr>
        <w:t>Breast</w:t>
      </w:r>
      <w:r>
        <w:rPr>
          <w:sz w:val="11"/>
          <w:szCs w:val="11"/>
          <w:lang w:bidi="ar-DZ"/>
        </w:rPr>
        <w:tab/>
        <w:t>0.010</w:t>
      </w:r>
      <w:r>
        <w:rPr>
          <w:sz w:val="11"/>
          <w:szCs w:val="11"/>
          <w:lang w:bidi="ar-DZ"/>
        </w:rPr>
        <w:tab/>
        <w:t>0.012</w:t>
      </w:r>
      <w:r>
        <w:rPr>
          <w:sz w:val="11"/>
          <w:szCs w:val="11"/>
          <w:lang w:bidi="ar-DZ"/>
        </w:rPr>
        <w:tab/>
        <w:t>0.006</w:t>
      </w:r>
      <w:r>
        <w:rPr>
          <w:sz w:val="11"/>
          <w:szCs w:val="11"/>
          <w:lang w:bidi="ar-DZ"/>
        </w:rPr>
        <w:tab/>
        <w:t>0.015</w:t>
      </w:r>
      <w:r>
        <w:rPr>
          <w:sz w:val="11"/>
          <w:szCs w:val="11"/>
          <w:lang w:bidi="ar-DZ"/>
        </w:rPr>
        <w:tab/>
        <w:t>0.6</w:t>
      </w:r>
      <w:r>
        <w:rPr>
          <w:sz w:val="11"/>
          <w:szCs w:val="11"/>
          <w:lang w:bidi="ar-DZ"/>
        </w:rPr>
        <w:tab/>
        <w:t>0.025</w:t>
      </w:r>
      <w:r>
        <w:rPr>
          <w:sz w:val="11"/>
          <w:szCs w:val="11"/>
          <w:lang w:bidi="ar-DZ"/>
        </w:rPr>
        <w:tab/>
        <w:t>WHO 2021; Raaschou-Nielsen et al., 2016</w:t>
      </w:r>
    </w:p>
    <w:p w14:paraId="12BA12C2" w14:textId="77777777" w:rsidR="00601FDE" w:rsidRDefault="00601FDE" w:rsidP="00601FDE">
      <w:pPr>
        <w:jc w:val="right"/>
        <w:rPr>
          <w:sz w:val="11"/>
          <w:szCs w:val="11"/>
          <w:rtl/>
          <w:lang w:bidi="ar-DZ"/>
        </w:rPr>
      </w:pPr>
      <w:r>
        <w:rPr>
          <w:sz w:val="11"/>
          <w:szCs w:val="11"/>
          <w:lang w:bidi="ar-DZ"/>
        </w:rPr>
        <w:t>Colon</w:t>
      </w:r>
      <w:r>
        <w:rPr>
          <w:sz w:val="11"/>
          <w:szCs w:val="11"/>
          <w:lang w:bidi="ar-DZ"/>
        </w:rPr>
        <w:tab/>
        <w:t>0.008</w:t>
      </w:r>
      <w:r>
        <w:rPr>
          <w:sz w:val="11"/>
          <w:szCs w:val="11"/>
          <w:lang w:bidi="ar-DZ"/>
        </w:rPr>
        <w:tab/>
        <w:t>0.009</w:t>
      </w:r>
      <w:r>
        <w:rPr>
          <w:sz w:val="11"/>
          <w:szCs w:val="11"/>
          <w:lang w:bidi="ar-DZ"/>
        </w:rPr>
        <w:tab/>
        <w:t>0.005</w:t>
      </w:r>
      <w:r>
        <w:rPr>
          <w:sz w:val="11"/>
          <w:szCs w:val="11"/>
          <w:lang w:bidi="ar-DZ"/>
        </w:rPr>
        <w:tab/>
        <w:t>0.014</w:t>
      </w:r>
      <w:r>
        <w:rPr>
          <w:sz w:val="11"/>
          <w:szCs w:val="11"/>
          <w:lang w:bidi="ar-DZ"/>
        </w:rPr>
        <w:tab/>
        <w:t>0.5</w:t>
      </w:r>
      <w:r>
        <w:rPr>
          <w:sz w:val="11"/>
          <w:szCs w:val="11"/>
          <w:lang w:bidi="ar-DZ"/>
        </w:rPr>
        <w:tab/>
        <w:t>0.020</w:t>
      </w:r>
      <w:r>
        <w:rPr>
          <w:sz w:val="11"/>
          <w:szCs w:val="11"/>
          <w:lang w:bidi="ar-DZ"/>
        </w:rPr>
        <w:tab/>
        <w:t>WHO 2021; Liu et al., 2017</w:t>
      </w:r>
    </w:p>
    <w:p w14:paraId="076E598C" w14:textId="77777777" w:rsidR="00601FDE" w:rsidRDefault="00601FDE" w:rsidP="00601FDE">
      <w:pPr>
        <w:jc w:val="right"/>
        <w:rPr>
          <w:sz w:val="11"/>
          <w:szCs w:val="11"/>
          <w:rtl/>
          <w:lang w:bidi="ar-DZ"/>
        </w:rPr>
      </w:pPr>
      <w:r>
        <w:rPr>
          <w:sz w:val="11"/>
          <w:szCs w:val="11"/>
          <w:lang w:bidi="ar-DZ"/>
        </w:rPr>
        <w:t>Leukemia</w:t>
      </w:r>
      <w:r>
        <w:rPr>
          <w:sz w:val="11"/>
          <w:szCs w:val="11"/>
          <w:lang w:bidi="ar-DZ"/>
        </w:rPr>
        <w:tab/>
        <w:t>0.012</w:t>
      </w:r>
      <w:r>
        <w:rPr>
          <w:sz w:val="11"/>
          <w:szCs w:val="11"/>
          <w:lang w:bidi="ar-DZ"/>
        </w:rPr>
        <w:tab/>
        <w:t>0.015</w:t>
      </w:r>
      <w:r>
        <w:rPr>
          <w:sz w:val="11"/>
          <w:szCs w:val="11"/>
          <w:lang w:bidi="ar-DZ"/>
        </w:rPr>
        <w:tab/>
        <w:t>0.003</w:t>
      </w:r>
      <w:r>
        <w:rPr>
          <w:sz w:val="11"/>
          <w:szCs w:val="11"/>
          <w:lang w:bidi="ar-DZ"/>
        </w:rPr>
        <w:tab/>
        <w:t>0.016</w:t>
      </w:r>
      <w:r>
        <w:rPr>
          <w:sz w:val="11"/>
          <w:szCs w:val="11"/>
          <w:lang w:bidi="ar-DZ"/>
        </w:rPr>
        <w:tab/>
        <w:t>0.7</w:t>
      </w:r>
      <w:r>
        <w:rPr>
          <w:sz w:val="11"/>
          <w:szCs w:val="11"/>
          <w:lang w:bidi="ar-DZ"/>
        </w:rPr>
        <w:tab/>
        <w:t>0.028</w:t>
      </w:r>
      <w:r>
        <w:rPr>
          <w:sz w:val="11"/>
          <w:szCs w:val="11"/>
          <w:lang w:bidi="ar-DZ"/>
        </w:rPr>
        <w:tab/>
        <w:t>IARC 2016; Richardson et al., 2019</w:t>
      </w:r>
    </w:p>
    <w:p w14:paraId="2F6E04C3" w14:textId="77777777" w:rsidR="00601FDE" w:rsidRDefault="00601FDE" w:rsidP="00601FDE">
      <w:pPr>
        <w:jc w:val="right"/>
        <w:rPr>
          <w:sz w:val="11"/>
          <w:szCs w:val="11"/>
          <w:rtl/>
          <w:lang w:bidi="ar-DZ"/>
        </w:rPr>
      </w:pPr>
      <w:r>
        <w:rPr>
          <w:sz w:val="11"/>
          <w:szCs w:val="11"/>
          <w:lang w:bidi="ar-DZ"/>
        </w:rPr>
        <w:t>Kidney</w:t>
      </w:r>
      <w:r>
        <w:rPr>
          <w:sz w:val="11"/>
          <w:szCs w:val="11"/>
          <w:lang w:bidi="ar-DZ"/>
        </w:rPr>
        <w:tab/>
        <w:t>0.009</w:t>
      </w:r>
      <w:r>
        <w:rPr>
          <w:sz w:val="11"/>
          <w:szCs w:val="11"/>
          <w:lang w:bidi="ar-DZ"/>
        </w:rPr>
        <w:tab/>
        <w:t>0.010</w:t>
      </w:r>
      <w:r>
        <w:rPr>
          <w:sz w:val="11"/>
          <w:szCs w:val="11"/>
          <w:lang w:bidi="ar-DZ"/>
        </w:rPr>
        <w:tab/>
        <w:t>0.004</w:t>
      </w:r>
      <w:r>
        <w:rPr>
          <w:sz w:val="11"/>
          <w:szCs w:val="11"/>
          <w:lang w:bidi="ar-DZ"/>
        </w:rPr>
        <w:tab/>
        <w:t>0.013</w:t>
      </w:r>
      <w:r>
        <w:rPr>
          <w:sz w:val="11"/>
          <w:szCs w:val="11"/>
          <w:lang w:bidi="ar-DZ"/>
        </w:rPr>
        <w:tab/>
        <w:t>0.6</w:t>
      </w:r>
      <w:r>
        <w:rPr>
          <w:sz w:val="11"/>
          <w:szCs w:val="11"/>
          <w:lang w:bidi="ar-DZ"/>
        </w:rPr>
        <w:tab/>
        <w:t>0.022</w:t>
      </w:r>
      <w:r>
        <w:rPr>
          <w:sz w:val="11"/>
          <w:szCs w:val="11"/>
          <w:lang w:bidi="ar-DZ"/>
        </w:rPr>
        <w:tab/>
        <w:t>IARC 2016; Turner et al., 2020</w:t>
      </w:r>
    </w:p>
    <w:p w14:paraId="2AB96975" w14:textId="77777777" w:rsidR="00601FDE" w:rsidRDefault="00601FDE" w:rsidP="00601FDE">
      <w:pPr>
        <w:jc w:val="right"/>
        <w:rPr>
          <w:sz w:val="11"/>
          <w:szCs w:val="11"/>
          <w:rtl/>
          <w:lang w:bidi="ar-DZ"/>
        </w:rPr>
      </w:pPr>
      <w:r>
        <w:rPr>
          <w:sz w:val="11"/>
          <w:szCs w:val="11"/>
          <w:lang w:bidi="ar-DZ"/>
        </w:rPr>
        <w:t>Liver</w:t>
      </w:r>
      <w:r>
        <w:rPr>
          <w:sz w:val="11"/>
          <w:szCs w:val="11"/>
          <w:lang w:bidi="ar-DZ"/>
        </w:rPr>
        <w:tab/>
        <w:t>0.011</w:t>
      </w:r>
      <w:r>
        <w:rPr>
          <w:sz w:val="11"/>
          <w:szCs w:val="11"/>
          <w:lang w:bidi="ar-DZ"/>
        </w:rPr>
        <w:tab/>
        <w:t>0.012</w:t>
      </w:r>
      <w:r>
        <w:rPr>
          <w:sz w:val="11"/>
          <w:szCs w:val="11"/>
          <w:lang w:bidi="ar-DZ"/>
        </w:rPr>
        <w:tab/>
        <w:t>0.006</w:t>
      </w:r>
      <w:r>
        <w:rPr>
          <w:sz w:val="11"/>
          <w:szCs w:val="11"/>
          <w:lang w:bidi="ar-DZ"/>
        </w:rPr>
        <w:tab/>
        <w:t>0.015</w:t>
      </w:r>
      <w:r>
        <w:rPr>
          <w:sz w:val="11"/>
          <w:szCs w:val="11"/>
          <w:lang w:bidi="ar-DZ"/>
        </w:rPr>
        <w:tab/>
        <w:t>0.6</w:t>
      </w:r>
      <w:r>
        <w:rPr>
          <w:sz w:val="11"/>
          <w:szCs w:val="11"/>
          <w:lang w:bidi="ar-DZ"/>
        </w:rPr>
        <w:tab/>
        <w:t>0.026</w:t>
      </w:r>
      <w:r>
        <w:rPr>
          <w:sz w:val="11"/>
          <w:szCs w:val="11"/>
          <w:lang w:bidi="ar-DZ"/>
        </w:rPr>
        <w:tab/>
        <w:t>WHO 2021; Liu et al., 2017</w:t>
      </w:r>
    </w:p>
    <w:p w14:paraId="260F8552" w14:textId="77777777" w:rsidR="00601FDE" w:rsidRDefault="00601FDE" w:rsidP="00601FDE">
      <w:pPr>
        <w:jc w:val="right"/>
        <w:rPr>
          <w:sz w:val="11"/>
          <w:szCs w:val="11"/>
          <w:rtl/>
          <w:lang w:bidi="ar-DZ"/>
        </w:rPr>
      </w:pPr>
      <w:r>
        <w:rPr>
          <w:sz w:val="11"/>
          <w:szCs w:val="11"/>
          <w:lang w:bidi="ar-DZ"/>
        </w:rPr>
        <w:t>Pancreas</w:t>
      </w:r>
      <w:r>
        <w:rPr>
          <w:sz w:val="11"/>
          <w:szCs w:val="11"/>
          <w:lang w:bidi="ar-DZ"/>
        </w:rPr>
        <w:tab/>
        <w:t>0.007</w:t>
      </w:r>
      <w:r>
        <w:rPr>
          <w:sz w:val="11"/>
          <w:szCs w:val="11"/>
          <w:lang w:bidi="ar-DZ"/>
        </w:rPr>
        <w:tab/>
        <w:t>0.008</w:t>
      </w:r>
      <w:r>
        <w:rPr>
          <w:sz w:val="11"/>
          <w:szCs w:val="11"/>
          <w:lang w:bidi="ar-DZ"/>
        </w:rPr>
        <w:tab/>
        <w:t>0.005</w:t>
      </w:r>
      <w:r>
        <w:rPr>
          <w:sz w:val="11"/>
          <w:szCs w:val="11"/>
          <w:lang w:bidi="ar-DZ"/>
        </w:rPr>
        <w:tab/>
        <w:t>0.012</w:t>
      </w:r>
      <w:r>
        <w:rPr>
          <w:sz w:val="11"/>
          <w:szCs w:val="11"/>
          <w:lang w:bidi="ar-DZ"/>
        </w:rPr>
        <w:tab/>
        <w:t>0.5</w:t>
      </w:r>
      <w:r>
        <w:rPr>
          <w:sz w:val="11"/>
          <w:szCs w:val="11"/>
          <w:lang w:bidi="ar-DZ"/>
        </w:rPr>
        <w:tab/>
        <w:t>0.018</w:t>
      </w:r>
      <w:r>
        <w:rPr>
          <w:sz w:val="11"/>
          <w:szCs w:val="11"/>
          <w:lang w:bidi="ar-DZ"/>
        </w:rPr>
        <w:tab/>
        <w:t>WHO 2021; Raaschou-Nielsen et al., 2016</w:t>
      </w:r>
    </w:p>
    <w:p w14:paraId="3C7A7022" w14:textId="77777777" w:rsidR="00601FDE" w:rsidRDefault="00601FDE" w:rsidP="00601FDE">
      <w:pPr>
        <w:jc w:val="right"/>
        <w:rPr>
          <w:sz w:val="11"/>
          <w:szCs w:val="11"/>
          <w:rtl/>
          <w:lang w:bidi="ar-DZ"/>
        </w:rPr>
      </w:pPr>
      <w:r>
        <w:rPr>
          <w:sz w:val="11"/>
          <w:szCs w:val="11"/>
          <w:lang w:bidi="ar-DZ"/>
        </w:rPr>
        <w:t>Stomach</w:t>
      </w:r>
      <w:r>
        <w:rPr>
          <w:sz w:val="11"/>
          <w:szCs w:val="11"/>
          <w:lang w:bidi="ar-DZ"/>
        </w:rPr>
        <w:tab/>
        <w:t>0.008</w:t>
      </w:r>
      <w:r>
        <w:rPr>
          <w:sz w:val="11"/>
          <w:szCs w:val="11"/>
          <w:lang w:bidi="ar-DZ"/>
        </w:rPr>
        <w:tab/>
        <w:t>0.009</w:t>
      </w:r>
      <w:r>
        <w:rPr>
          <w:sz w:val="11"/>
          <w:szCs w:val="11"/>
          <w:lang w:bidi="ar-DZ"/>
        </w:rPr>
        <w:tab/>
        <w:t>0.004</w:t>
      </w:r>
      <w:r>
        <w:rPr>
          <w:sz w:val="11"/>
          <w:szCs w:val="11"/>
          <w:lang w:bidi="ar-DZ"/>
        </w:rPr>
        <w:tab/>
        <w:t>0.013</w:t>
      </w:r>
      <w:r>
        <w:rPr>
          <w:sz w:val="11"/>
          <w:szCs w:val="11"/>
          <w:lang w:bidi="ar-DZ"/>
        </w:rPr>
        <w:tab/>
        <w:t>0.5</w:t>
      </w:r>
      <w:r>
        <w:rPr>
          <w:sz w:val="11"/>
          <w:szCs w:val="11"/>
          <w:lang w:bidi="ar-DZ"/>
        </w:rPr>
        <w:tab/>
        <w:t>0.020</w:t>
      </w:r>
      <w:r>
        <w:rPr>
          <w:sz w:val="11"/>
          <w:szCs w:val="11"/>
          <w:lang w:bidi="ar-DZ"/>
        </w:rPr>
        <w:tab/>
        <w:t>WHO 2021; Richardson et al., 2019</w:t>
      </w:r>
    </w:p>
    <w:p w14:paraId="402C9DEC" w14:textId="77777777" w:rsidR="00601FDE" w:rsidRDefault="00601FDE" w:rsidP="00601FDE">
      <w:pPr>
        <w:jc w:val="right"/>
        <w:rPr>
          <w:sz w:val="11"/>
          <w:szCs w:val="11"/>
          <w:rtl/>
          <w:lang w:bidi="ar-DZ"/>
        </w:rPr>
      </w:pPr>
      <w:r>
        <w:rPr>
          <w:sz w:val="11"/>
          <w:szCs w:val="11"/>
          <w:lang w:bidi="ar-DZ"/>
        </w:rPr>
        <w:t>Esophagus</w:t>
      </w:r>
      <w:r>
        <w:rPr>
          <w:sz w:val="11"/>
          <w:szCs w:val="11"/>
          <w:lang w:bidi="ar-DZ"/>
        </w:rPr>
        <w:tab/>
        <w:t>0.010</w:t>
      </w:r>
      <w:r>
        <w:rPr>
          <w:sz w:val="11"/>
          <w:szCs w:val="11"/>
          <w:lang w:bidi="ar-DZ"/>
        </w:rPr>
        <w:tab/>
        <w:t>0.010</w:t>
      </w:r>
      <w:r>
        <w:rPr>
          <w:sz w:val="11"/>
          <w:szCs w:val="11"/>
          <w:lang w:bidi="ar-DZ"/>
        </w:rPr>
        <w:tab/>
        <w:t>0.005</w:t>
      </w:r>
      <w:r>
        <w:rPr>
          <w:sz w:val="11"/>
          <w:szCs w:val="11"/>
          <w:lang w:bidi="ar-DZ"/>
        </w:rPr>
        <w:tab/>
        <w:t>0.014</w:t>
      </w:r>
      <w:r>
        <w:rPr>
          <w:sz w:val="11"/>
          <w:szCs w:val="11"/>
          <w:lang w:bidi="ar-DZ"/>
        </w:rPr>
        <w:tab/>
        <w:t>0.6</w:t>
      </w:r>
      <w:r>
        <w:rPr>
          <w:sz w:val="11"/>
          <w:szCs w:val="11"/>
          <w:lang w:bidi="ar-DZ"/>
        </w:rPr>
        <w:tab/>
        <w:t>0.024</w:t>
      </w:r>
      <w:r>
        <w:rPr>
          <w:sz w:val="11"/>
          <w:szCs w:val="11"/>
          <w:lang w:bidi="ar-DZ"/>
        </w:rPr>
        <w:tab/>
        <w:t>IARC 2016; Pope et al., 2019</w:t>
      </w:r>
    </w:p>
    <w:p w14:paraId="0AB32AD9" w14:textId="77777777" w:rsidR="00601FDE" w:rsidRDefault="00601FDE" w:rsidP="00601FDE">
      <w:pPr>
        <w:jc w:val="right"/>
        <w:rPr>
          <w:sz w:val="11"/>
          <w:szCs w:val="11"/>
          <w:rtl/>
          <w:lang w:bidi="ar-DZ"/>
        </w:rPr>
      </w:pPr>
    </w:p>
    <w:p w14:paraId="167F7E95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Notes:</w:t>
      </w:r>
    </w:p>
    <w:p w14:paraId="3427D300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1. α_k = Direct effect of PM2.5 on DNA damage in target tissue.</w:t>
      </w:r>
    </w:p>
    <w:p w14:paraId="76D67BAA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2. η_k = Interaction effect of genetics (G_i) with PM2.5.</w:t>
      </w:r>
    </w:p>
    <w:p w14:paraId="1D5332B4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3. θ_k = Climate modulation factor for exposure amplification.</w:t>
      </w:r>
    </w:p>
    <w:p w14:paraId="1BCCE64E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4. γ_k = Tissue-specific DNA repair rate.</w:t>
      </w:r>
    </w:p>
    <w:p w14:paraId="1EABF9AE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5. S_k = Tissue susceptibility scaling factor (relative to Lung = 1.0).</w:t>
      </w:r>
    </w:p>
    <w:p w14:paraId="46965CA8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6. λ_k = Malignant transformation probability per DNA damage unit.</w:t>
      </w:r>
    </w:p>
    <w:p w14:paraId="116D67B6" w14:textId="77777777" w:rsidR="00601FDE" w:rsidRDefault="00601FDE" w:rsidP="00601FDE">
      <w:pPr>
        <w:jc w:val="right"/>
        <w:rPr>
          <w:lang w:bidi="ar-DZ"/>
        </w:rPr>
      </w:pPr>
      <w:r>
        <w:rPr>
          <w:lang w:bidi="ar-DZ"/>
        </w:rPr>
        <w:t xml:space="preserve">References </w:t>
      </w:r>
    </w:p>
    <w:p w14:paraId="2D3059F4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IARC. (2016). Outdoor Air Pollution. IARC Monographs on the Evaluation of Carcinogenic Risks to Humans, Volume 109. Lyon: International Agency for Research on Cancer.</w:t>
      </w:r>
    </w:p>
    <w:p w14:paraId="32F7BF42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Pope, C. A., et al. (2019). Mortality risk and fine particulate air pollution in a large, representative cohort of U.S. adults. Circulation. https://doi.org/10.1161/CIRCULATIONAHA.119.040414</w:t>
      </w:r>
    </w:p>
    <w:p w14:paraId="657103BE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Turner, M. C., et al. (2020). Outdoor air pollution and cancer: An overview of the current evidence. CA: A Cancer Journal for Clinicians. https://doi.org/10.3322/caac.21632</w:t>
      </w:r>
    </w:p>
    <w:p w14:paraId="3BA975C7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Raaschou-Nielsen, O., et al. (2016). Particulate matter air pollution components and risk for lung cancer. Environment International. https://doi.org/10.1016/j.envint.2015.11.007</w:t>
      </w:r>
    </w:p>
    <w:p w14:paraId="6F182064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Liu, C., et al. (2017). Ambient air pollution and lung cancer incidence: A systematic review. Environmental Research. https://doi.org/10.1016/j.envres.2017.03.005</w:t>
      </w:r>
    </w:p>
    <w:p w14:paraId="0B9F9903" w14:textId="77777777" w:rsidR="00601FDE" w:rsidRDefault="00601FDE" w:rsidP="00601FDE">
      <w:pPr>
        <w:jc w:val="right"/>
        <w:rPr>
          <w:rtl/>
          <w:lang w:bidi="ar-DZ"/>
        </w:rPr>
      </w:pPr>
      <w:r>
        <w:rPr>
          <w:lang w:bidi="ar-DZ"/>
        </w:rPr>
        <w:t>Richardson, D., et al. (2019). Ambient air pollution and cancer risk: epidemiological evidence. Environment International. https://doi.org/10.1016/j.envint.2019.105021</w:t>
      </w:r>
    </w:p>
    <w:p w14:paraId="04BDC529" w14:textId="77777777" w:rsidR="00601FDE" w:rsidRDefault="00601FDE" w:rsidP="00601FDE">
      <w:pPr>
        <w:jc w:val="right"/>
        <w:rPr>
          <w:rtl/>
          <w:lang w:bidi="ar-DZ"/>
        </w:rPr>
      </w:pPr>
    </w:p>
    <w:p w14:paraId="41A9FF4F" w14:textId="77777777" w:rsidR="00EB4A2D" w:rsidRDefault="00EB4A2D"/>
    <w:sectPr w:rsidR="00EB4A2D" w:rsidSect="00601FD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FDE"/>
    <w:rsid w:val="002C7D54"/>
    <w:rsid w:val="0033371E"/>
    <w:rsid w:val="005C0D39"/>
    <w:rsid w:val="00601FDE"/>
    <w:rsid w:val="0070406C"/>
    <w:rsid w:val="00724754"/>
    <w:rsid w:val="00AE1D2C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8ABB6"/>
  <w15:chartTrackingRefBased/>
  <w15:docId w15:val="{A05BD5A5-180D-4886-A1AD-511576C87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FDE"/>
    <w:pPr>
      <w:bidi/>
      <w:spacing w:after="200" w:line="276" w:lineRule="auto"/>
    </w:pPr>
    <w:rPr>
      <w:rFonts w:ascii="Calibri" w:eastAsia="SimSun" w:hAnsi="Calibri" w:cs="Arial"/>
      <w:kern w:val="0"/>
      <w:sz w:val="22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1FDE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1FDE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1FDE"/>
    <w:pPr>
      <w:keepNext/>
      <w:keepLines/>
      <w:bidi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1FDE"/>
    <w:pPr>
      <w:keepNext/>
      <w:keepLines/>
      <w:bidi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1FDE"/>
    <w:pPr>
      <w:keepNext/>
      <w:keepLines/>
      <w:bidi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1FDE"/>
    <w:pPr>
      <w:keepNext/>
      <w:keepLines/>
      <w:bidi w:val="0"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1FDE"/>
    <w:pPr>
      <w:keepNext/>
      <w:keepLines/>
      <w:bidi w:val="0"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1FDE"/>
    <w:pPr>
      <w:keepNext/>
      <w:keepLines/>
      <w:bidi w:val="0"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1FDE"/>
    <w:pPr>
      <w:keepNext/>
      <w:keepLines/>
      <w:bidi w:val="0"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1F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1F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1F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1F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1F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1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1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1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1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1FDE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01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1FDE"/>
    <w:pPr>
      <w:numPr>
        <w:ilvl w:val="1"/>
      </w:numPr>
      <w:bidi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01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1FDE"/>
    <w:pPr>
      <w:bidi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01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1FDE"/>
    <w:pPr>
      <w:bidi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01F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1F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1F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1F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690</Words>
  <Characters>3936</Characters>
  <Application>Microsoft Office Word</Application>
  <DocSecurity>0</DocSecurity>
  <Lines>32</Lines>
  <Paragraphs>9</Paragraphs>
  <ScaleCrop>false</ScaleCrop>
  <Company/>
  <LinksUpToDate>false</LinksUpToDate>
  <CharactersWithSpaces>4617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2026-03-17T05:55:00Z</dcterms:created>
  <dcterms:modified xsi:type="dcterms:W3CDTF">2026-03-17T05:56:00Z</dcterms:modified>
</cp:coreProperties>
</file>