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Supplementary Materials</w:t>
      </w:r>
    </w:p>
    <w:p>
      <w:r>
        <w:t>Manuscript: Leprosy in India: Progress Since Elimination, Persistent Grade-2 Disability, and Priorities for a Disability-Sensitive Endgame</w:t>
      </w:r>
    </w:p>
    <w:p>
      <w:r>
        <w:t>Journal: Current Tropical Medicine Reports</w:t>
      </w:r>
    </w:p>
    <w:p>
      <w:r>
        <w:t>Article Type: Review Article</w:t>
      </w:r>
    </w:p>
    <w:p>
      <w:r>
        <w:t>Date: February 27, 2026</w:t>
      </w:r>
    </w:p>
    <w:p>
      <w:pPr>
        <w:pStyle w:val="Heading1"/>
      </w:pPr>
      <w:r>
        <w:t>Supplementary Methods S1: Search and Selection Framework</w:t>
      </w:r>
    </w:p>
    <w:p>
      <w:r>
        <w:t>Sources searched: WHO documents and WER updates; MoHFW and PIB official updates; and peer-reviewed literature relevant to leprosy epidemiology, diagnostic delay, and disability. Terms included leprosy, India, grade 2 disability, elimination, delay, and surveillance. Inclusion focused on documents reporting core indicators or policy-relevant interpretation.</w:t>
      </w:r>
    </w:p>
    <w:p>
      <w:pPr>
        <w:pStyle w:val="Heading1"/>
      </w:pPr>
      <w:r>
        <w:t>Supplementary Table S1: Indicator Definitions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Indicator</w:t>
            </w:r>
          </w:p>
        </w:tc>
        <w:tc>
          <w:tcPr>
            <w:tcW w:type="dxa" w:w="2880"/>
          </w:tcPr>
          <w:p>
            <w:r>
              <w:t>Definition</w:t>
            </w:r>
          </w:p>
        </w:tc>
        <w:tc>
          <w:tcPr>
            <w:tcW w:type="dxa" w:w="2880"/>
          </w:tcPr>
          <w:p>
            <w:r>
              <w:t>Unit/denominator</w:t>
            </w:r>
          </w:p>
        </w:tc>
      </w:tr>
      <w:tr>
        <w:tc>
          <w:tcPr>
            <w:tcW w:type="dxa" w:w="2880"/>
          </w:tcPr>
          <w:p>
            <w:r>
              <w:t>PR</w:t>
            </w:r>
          </w:p>
        </w:tc>
        <w:tc>
          <w:tcPr>
            <w:tcW w:type="dxa" w:w="2880"/>
          </w:tcPr>
          <w:p>
            <w:r>
              <w:t>Registered prevalence at time point</w:t>
            </w:r>
          </w:p>
        </w:tc>
        <w:tc>
          <w:tcPr>
            <w:tcW w:type="dxa" w:w="2880"/>
          </w:tcPr>
          <w:p>
            <w:r>
              <w:t>per 10,000</w:t>
            </w:r>
          </w:p>
        </w:tc>
      </w:tr>
      <w:tr>
        <w:tc>
          <w:tcPr>
            <w:tcW w:type="dxa" w:w="2880"/>
          </w:tcPr>
          <w:p>
            <w:r>
              <w:t>ANCDR</w:t>
            </w:r>
          </w:p>
        </w:tc>
        <w:tc>
          <w:tcPr>
            <w:tcW w:type="dxa" w:w="2880"/>
          </w:tcPr>
          <w:p>
            <w:r>
              <w:t>New cases detected in period</w:t>
            </w:r>
          </w:p>
        </w:tc>
        <w:tc>
          <w:tcPr>
            <w:tcW w:type="dxa" w:w="2880"/>
          </w:tcPr>
          <w:p>
            <w:r>
              <w:t>per 100,000</w:t>
            </w:r>
          </w:p>
        </w:tc>
      </w:tr>
      <w:tr>
        <w:tc>
          <w:tcPr>
            <w:tcW w:type="dxa" w:w="2880"/>
          </w:tcPr>
          <w:p>
            <w:r>
              <w:t>Child proportion</w:t>
            </w:r>
          </w:p>
        </w:tc>
        <w:tc>
          <w:tcPr>
            <w:tcW w:type="dxa" w:w="2880"/>
          </w:tcPr>
          <w:p>
            <w:r>
              <w:t>Child cases among new cases</w:t>
            </w:r>
          </w:p>
        </w:tc>
        <w:tc>
          <w:tcPr>
            <w:tcW w:type="dxa" w:w="2880"/>
          </w:tcPr>
          <w:p>
            <w:r>
              <w:t>%</w:t>
            </w:r>
          </w:p>
        </w:tc>
      </w:tr>
      <w:tr>
        <w:tc>
          <w:tcPr>
            <w:tcW w:type="dxa" w:w="2880"/>
          </w:tcPr>
          <w:p>
            <w:r>
              <w:t>G2D rate</w:t>
            </w:r>
          </w:p>
        </w:tc>
        <w:tc>
          <w:tcPr>
            <w:tcW w:type="dxa" w:w="2880"/>
          </w:tcPr>
          <w:p>
            <w:r>
              <w:t>New grade-2 disability cases</w:t>
            </w:r>
          </w:p>
        </w:tc>
        <w:tc>
          <w:tcPr>
            <w:tcW w:type="dxa" w:w="2880"/>
          </w:tcPr>
          <w:p>
            <w:r>
              <w:t>per million</w:t>
            </w:r>
          </w:p>
        </w:tc>
      </w:tr>
    </w:tbl>
    <w:p>
      <w:pPr>
        <w:pStyle w:val="Heading1"/>
      </w:pPr>
      <w:r>
        <w:t>Supplementary Table S2: Derived Calculations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Measure</w:t>
            </w:r>
          </w:p>
        </w:tc>
        <w:tc>
          <w:tcPr>
            <w:tcW w:type="dxa" w:w="2880"/>
          </w:tcPr>
          <w:p>
            <w:r>
              <w:t>Formula</w:t>
            </w:r>
          </w:p>
        </w:tc>
        <w:tc>
          <w:tcPr>
            <w:tcW w:type="dxa" w:w="2880"/>
          </w:tcPr>
          <w:p>
            <w:r>
              <w:t>Purpose</w:t>
            </w:r>
          </w:p>
        </w:tc>
      </w:tr>
      <w:tr>
        <w:tc>
          <w:tcPr>
            <w:tcW w:type="dxa" w:w="2880"/>
          </w:tcPr>
          <w:p>
            <w:r>
              <w:t>Relative change</w:t>
            </w:r>
          </w:p>
        </w:tc>
        <w:tc>
          <w:tcPr>
            <w:tcW w:type="dxa" w:w="2880"/>
          </w:tcPr>
          <w:p>
            <w:r>
              <w:t>(latest-baseline)/baseline</w:t>
            </w:r>
          </w:p>
        </w:tc>
        <w:tc>
          <w:tcPr>
            <w:tcW w:type="dxa" w:w="2880"/>
          </w:tcPr>
          <w:p>
            <w:r>
              <w:t>direction and magnitude</w:t>
            </w:r>
          </w:p>
        </w:tc>
      </w:tr>
      <w:tr>
        <w:tc>
          <w:tcPr>
            <w:tcW w:type="dxa" w:w="2880"/>
          </w:tcPr>
          <w:p>
            <w:r>
              <w:t>Annualized change</w:t>
            </w:r>
          </w:p>
        </w:tc>
        <w:tc>
          <w:tcPr>
            <w:tcW w:type="dxa" w:w="2880"/>
          </w:tcPr>
          <w:p>
            <w:r>
              <w:t>(latest/baseline)^(1/n)-1</w:t>
            </w:r>
          </w:p>
        </w:tc>
        <w:tc>
          <w:tcPr>
            <w:tcW w:type="dxa" w:w="2880"/>
          </w:tcPr>
          <w:p>
            <w:r>
              <w:t>pace of change</w:t>
            </w:r>
          </w:p>
        </w:tc>
      </w:tr>
      <w:tr>
        <w:tc>
          <w:tcPr>
            <w:tcW w:type="dxa" w:w="2880"/>
          </w:tcPr>
          <w:p>
            <w:r>
              <w:t>2027 continuation</w:t>
            </w:r>
          </w:p>
        </w:tc>
        <w:tc>
          <w:tcPr>
            <w:tcW w:type="dxa" w:w="2880"/>
          </w:tcPr>
          <w:p>
            <w:r>
              <w:t>latest*(1+annualized)^2</w:t>
            </w:r>
          </w:p>
        </w:tc>
        <w:tc>
          <w:tcPr>
            <w:tcW w:type="dxa" w:w="2880"/>
          </w:tcPr>
          <w:p>
            <w:r>
              <w:t>trajectory sufficiency check</w:t>
            </w:r>
          </w:p>
        </w:tc>
      </w:tr>
    </w:tbl>
    <w:p>
      <w:pPr>
        <w:pStyle w:val="Heading1"/>
      </w:pPr>
      <w:r>
        <w:t>Supplementary Note S1: Interpretation Guardrails</w:t>
      </w:r>
    </w:p>
    <w:p>
      <w:r>
        <w:t>These analyses are descriptive and policy-oriented. Scenario outputs are heuristic and should not be interpreted as causal forecasts.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