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2C98" w14:textId="77777777" w:rsidR="00161602" w:rsidRDefault="00161602" w:rsidP="00161602">
      <w:pPr>
        <w:spacing w:line="480" w:lineRule="auto"/>
        <w:ind w:left="720" w:hanging="720"/>
        <w:rPr>
          <w:rFonts w:ascii="Times New Roman" w:eastAsia="Times New Roman" w:hAnsi="Times New Roman" w:cs="Times New Roman"/>
          <w:b/>
          <w:bCs/>
          <w:sz w:val="36"/>
          <w:szCs w:val="36"/>
        </w:rPr>
      </w:pPr>
      <w:r w:rsidRPr="2F253C5C">
        <w:rPr>
          <w:rFonts w:ascii="Times New Roman" w:eastAsia="Times New Roman" w:hAnsi="Times New Roman" w:cs="Times New Roman"/>
          <w:b/>
          <w:bCs/>
          <w:sz w:val="36"/>
          <w:szCs w:val="36"/>
        </w:rPr>
        <w:t xml:space="preserve">Appendix A      </w:t>
      </w:r>
      <w:proofErr w:type="spellStart"/>
      <w:r w:rsidRPr="2F253C5C">
        <w:rPr>
          <w:rFonts w:ascii="Times New Roman" w:eastAsia="Times New Roman" w:hAnsi="Times New Roman" w:cs="Times New Roman"/>
          <w:b/>
          <w:bCs/>
          <w:sz w:val="36"/>
          <w:szCs w:val="36"/>
        </w:rPr>
        <w:t>Delphistar</w:t>
      </w:r>
      <w:proofErr w:type="spellEnd"/>
      <w:r w:rsidRPr="2F253C5C">
        <w:rPr>
          <w:rFonts w:ascii="Times New Roman" w:eastAsia="Times New Roman" w:hAnsi="Times New Roman" w:cs="Times New Roman"/>
          <w:b/>
          <w:bCs/>
          <w:sz w:val="36"/>
          <w:szCs w:val="36"/>
        </w:rPr>
        <w:t xml:space="preserve"> Checklist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40"/>
        <w:gridCol w:w="1320"/>
        <w:gridCol w:w="600"/>
        <w:gridCol w:w="2820"/>
        <w:gridCol w:w="1140"/>
        <w:gridCol w:w="3405"/>
      </w:tblGrid>
      <w:tr w:rsidR="00161602" w14:paraId="061A791F" w14:textId="77777777" w:rsidTr="00194BBD">
        <w:trPr>
          <w:trHeight w:val="300"/>
        </w:trPr>
        <w:tc>
          <w:tcPr>
            <w:tcW w:w="1140" w:type="dxa"/>
            <w:shd w:val="clear" w:color="auto" w:fill="BFBFBF" w:themeFill="background1" w:themeFillShade="BF"/>
            <w:tcMar>
              <w:left w:w="105" w:type="dxa"/>
              <w:right w:w="105" w:type="dxa"/>
            </w:tcMar>
            <w:vAlign w:val="center"/>
          </w:tcPr>
          <w:p w14:paraId="2AA6B75C" w14:textId="77777777" w:rsidR="00161602" w:rsidRDefault="00161602" w:rsidP="00194BBD">
            <w:pPr>
              <w:rPr>
                <w:rFonts w:ascii="Calibri" w:eastAsia="Calibri" w:hAnsi="Calibri" w:cs="Calibri"/>
                <w:color w:val="5B9BD5"/>
                <w:sz w:val="20"/>
                <w:szCs w:val="20"/>
              </w:rPr>
            </w:pPr>
            <w:r w:rsidRPr="3526D701">
              <w:rPr>
                <w:rFonts w:ascii="Calibri" w:eastAsia="Calibri" w:hAnsi="Calibri" w:cs="Calibri"/>
                <w:b/>
                <w:bCs/>
                <w:color w:val="5B9BD5"/>
                <w:sz w:val="20"/>
                <w:szCs w:val="20"/>
              </w:rPr>
              <w:t xml:space="preserve">Topic </w:t>
            </w:r>
          </w:p>
        </w:tc>
        <w:tc>
          <w:tcPr>
            <w:tcW w:w="1320" w:type="dxa"/>
            <w:shd w:val="clear" w:color="auto" w:fill="BFBFBF" w:themeFill="background1" w:themeFillShade="BF"/>
            <w:tcMar>
              <w:left w:w="105" w:type="dxa"/>
              <w:right w:w="105" w:type="dxa"/>
            </w:tcMar>
            <w:vAlign w:val="center"/>
          </w:tcPr>
          <w:p w14:paraId="58D50CB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 xml:space="preserve">Section </w:t>
            </w:r>
          </w:p>
        </w:tc>
        <w:tc>
          <w:tcPr>
            <w:tcW w:w="600" w:type="dxa"/>
            <w:shd w:val="clear" w:color="auto" w:fill="BFBFBF" w:themeFill="background1" w:themeFillShade="BF"/>
            <w:tcMar>
              <w:left w:w="105" w:type="dxa"/>
              <w:right w:w="105" w:type="dxa"/>
            </w:tcMar>
            <w:vAlign w:val="center"/>
          </w:tcPr>
          <w:p w14:paraId="0056204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Item</w:t>
            </w:r>
          </w:p>
        </w:tc>
        <w:tc>
          <w:tcPr>
            <w:tcW w:w="2820" w:type="dxa"/>
            <w:shd w:val="clear" w:color="auto" w:fill="BFBFBF" w:themeFill="background1" w:themeFillShade="BF"/>
            <w:tcMar>
              <w:left w:w="105" w:type="dxa"/>
              <w:right w:w="105" w:type="dxa"/>
            </w:tcMar>
            <w:vAlign w:val="center"/>
          </w:tcPr>
          <w:p w14:paraId="0320FC11"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Checklist Item</w:t>
            </w:r>
          </w:p>
        </w:tc>
        <w:tc>
          <w:tcPr>
            <w:tcW w:w="1140" w:type="dxa"/>
            <w:shd w:val="clear" w:color="auto" w:fill="BFBFBF" w:themeFill="background1" w:themeFillShade="BF"/>
            <w:tcMar>
              <w:left w:w="105" w:type="dxa"/>
              <w:right w:w="105" w:type="dxa"/>
            </w:tcMar>
          </w:tcPr>
          <w:p w14:paraId="2372DB7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Location where item is reported</w:t>
            </w:r>
          </w:p>
        </w:tc>
        <w:tc>
          <w:tcPr>
            <w:tcW w:w="3405" w:type="dxa"/>
            <w:shd w:val="clear" w:color="auto" w:fill="BFBFBF" w:themeFill="background1" w:themeFillShade="BF"/>
            <w:tcMar>
              <w:left w:w="105" w:type="dxa"/>
              <w:right w:w="105" w:type="dxa"/>
            </w:tcMar>
          </w:tcPr>
          <w:p w14:paraId="085A2A6E"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b/>
                <w:bCs/>
                <w:color w:val="000000" w:themeColor="text1"/>
                <w:sz w:val="20"/>
                <w:szCs w:val="20"/>
              </w:rPr>
              <w:t>Answer</w:t>
            </w:r>
          </w:p>
        </w:tc>
      </w:tr>
      <w:tr w:rsidR="00161602" w14:paraId="349DCCF7" w14:textId="77777777" w:rsidTr="00194BBD">
        <w:trPr>
          <w:trHeight w:val="300"/>
        </w:trPr>
        <w:tc>
          <w:tcPr>
            <w:tcW w:w="1140" w:type="dxa"/>
            <w:vMerge w:val="restart"/>
            <w:tcMar>
              <w:left w:w="105" w:type="dxa"/>
              <w:right w:w="105" w:type="dxa"/>
            </w:tcMar>
            <w:vAlign w:val="center"/>
          </w:tcPr>
          <w:p w14:paraId="40A54A1B"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I</w:t>
            </w:r>
          </w:p>
          <w:p w14:paraId="2018B39B"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Title and Abstract</w:t>
            </w:r>
          </w:p>
        </w:tc>
        <w:tc>
          <w:tcPr>
            <w:tcW w:w="1320" w:type="dxa"/>
            <w:tcMar>
              <w:left w:w="105" w:type="dxa"/>
              <w:right w:w="105" w:type="dxa"/>
            </w:tcMar>
            <w:vAlign w:val="center"/>
          </w:tcPr>
          <w:p w14:paraId="6EAF0F88" w14:textId="77777777" w:rsidR="00161602" w:rsidRDefault="00161602" w:rsidP="00194BBD">
            <w:pPr>
              <w:rPr>
                <w:rFonts w:ascii="Calibri" w:eastAsia="Calibri" w:hAnsi="Calibri" w:cs="Calibri"/>
                <w:color w:val="000000" w:themeColor="text1"/>
                <w:sz w:val="20"/>
                <w:szCs w:val="20"/>
              </w:rPr>
            </w:pPr>
          </w:p>
        </w:tc>
        <w:tc>
          <w:tcPr>
            <w:tcW w:w="600" w:type="dxa"/>
            <w:tcMar>
              <w:left w:w="105" w:type="dxa"/>
              <w:right w:w="105" w:type="dxa"/>
            </w:tcMar>
            <w:vAlign w:val="center"/>
          </w:tcPr>
          <w:p w14:paraId="4CF3C68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w:t>
            </w:r>
          </w:p>
        </w:tc>
        <w:tc>
          <w:tcPr>
            <w:tcW w:w="2820" w:type="dxa"/>
            <w:tcMar>
              <w:left w:w="105" w:type="dxa"/>
              <w:right w:w="105" w:type="dxa"/>
            </w:tcMar>
            <w:vAlign w:val="center"/>
          </w:tcPr>
          <w:p w14:paraId="3F13CEB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Identification as a Delphi procedure in the title</w:t>
            </w:r>
          </w:p>
        </w:tc>
        <w:tc>
          <w:tcPr>
            <w:tcW w:w="1140" w:type="dxa"/>
            <w:tcMar>
              <w:left w:w="105" w:type="dxa"/>
              <w:right w:w="105" w:type="dxa"/>
            </w:tcMar>
          </w:tcPr>
          <w:p w14:paraId="75EEC3C8"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w:t>
            </w:r>
          </w:p>
        </w:tc>
        <w:tc>
          <w:tcPr>
            <w:tcW w:w="3405" w:type="dxa"/>
            <w:tcMar>
              <w:left w:w="105" w:type="dxa"/>
              <w:right w:w="105" w:type="dxa"/>
            </w:tcMar>
          </w:tcPr>
          <w:p w14:paraId="63D9C66A"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Title: Creating a competency framework for the delivery of IPE SIM: A Delphi study  </w:t>
            </w:r>
          </w:p>
        </w:tc>
      </w:tr>
      <w:tr w:rsidR="00161602" w14:paraId="363AB02E" w14:textId="77777777" w:rsidTr="00194BBD">
        <w:trPr>
          <w:trHeight w:val="300"/>
        </w:trPr>
        <w:tc>
          <w:tcPr>
            <w:tcW w:w="1140" w:type="dxa"/>
            <w:vMerge/>
            <w:vAlign w:val="center"/>
          </w:tcPr>
          <w:p w14:paraId="24CCEE42" w14:textId="77777777" w:rsidR="00161602" w:rsidRDefault="00161602" w:rsidP="00194BBD"/>
        </w:tc>
        <w:tc>
          <w:tcPr>
            <w:tcW w:w="1320" w:type="dxa"/>
            <w:tcMar>
              <w:left w:w="105" w:type="dxa"/>
              <w:right w:w="105" w:type="dxa"/>
            </w:tcMar>
            <w:vAlign w:val="center"/>
          </w:tcPr>
          <w:p w14:paraId="64DD1B3D" w14:textId="77777777" w:rsidR="00161602" w:rsidRDefault="00161602" w:rsidP="00194BBD">
            <w:pPr>
              <w:rPr>
                <w:rFonts w:ascii="Calibri" w:eastAsia="Calibri" w:hAnsi="Calibri" w:cs="Calibri"/>
                <w:color w:val="000000" w:themeColor="text1"/>
                <w:sz w:val="20"/>
                <w:szCs w:val="20"/>
              </w:rPr>
            </w:pPr>
          </w:p>
        </w:tc>
        <w:tc>
          <w:tcPr>
            <w:tcW w:w="600" w:type="dxa"/>
            <w:tcMar>
              <w:left w:w="105" w:type="dxa"/>
              <w:right w:w="105" w:type="dxa"/>
            </w:tcMar>
            <w:vAlign w:val="center"/>
          </w:tcPr>
          <w:p w14:paraId="116AD50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w:t>
            </w:r>
          </w:p>
        </w:tc>
        <w:tc>
          <w:tcPr>
            <w:tcW w:w="2820" w:type="dxa"/>
            <w:tcMar>
              <w:left w:w="105" w:type="dxa"/>
              <w:right w:w="105" w:type="dxa"/>
            </w:tcMar>
            <w:vAlign w:val="center"/>
          </w:tcPr>
          <w:p w14:paraId="4A7ADCD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Identification as a Delphi procedure in the abstract</w:t>
            </w:r>
          </w:p>
        </w:tc>
        <w:tc>
          <w:tcPr>
            <w:tcW w:w="1140" w:type="dxa"/>
            <w:tcMar>
              <w:left w:w="105" w:type="dxa"/>
              <w:right w:w="105" w:type="dxa"/>
            </w:tcMar>
          </w:tcPr>
          <w:p w14:paraId="6676C42C"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w:t>
            </w:r>
          </w:p>
        </w:tc>
        <w:tc>
          <w:tcPr>
            <w:tcW w:w="3405" w:type="dxa"/>
            <w:tcMar>
              <w:left w:w="105" w:type="dxa"/>
              <w:right w:w="105" w:type="dxa"/>
            </w:tcMar>
          </w:tcPr>
          <w:p w14:paraId="7550C24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A Delphi procedure was selected to answer the research question.</w:t>
            </w:r>
          </w:p>
        </w:tc>
      </w:tr>
      <w:tr w:rsidR="00161602" w14:paraId="1519917B" w14:textId="77777777" w:rsidTr="00194BBD">
        <w:trPr>
          <w:trHeight w:val="300"/>
        </w:trPr>
        <w:tc>
          <w:tcPr>
            <w:tcW w:w="1140" w:type="dxa"/>
            <w:vMerge/>
            <w:vAlign w:val="center"/>
          </w:tcPr>
          <w:p w14:paraId="0485B526" w14:textId="77777777" w:rsidR="00161602" w:rsidRDefault="00161602" w:rsidP="00194BBD"/>
        </w:tc>
        <w:tc>
          <w:tcPr>
            <w:tcW w:w="1320" w:type="dxa"/>
            <w:tcMar>
              <w:left w:w="105" w:type="dxa"/>
              <w:right w:w="105" w:type="dxa"/>
            </w:tcMar>
            <w:vAlign w:val="center"/>
          </w:tcPr>
          <w:p w14:paraId="18831D84" w14:textId="77777777" w:rsidR="00161602" w:rsidRDefault="00161602" w:rsidP="00194BBD">
            <w:pPr>
              <w:rPr>
                <w:rFonts w:ascii="Calibri" w:eastAsia="Calibri" w:hAnsi="Calibri" w:cs="Calibri"/>
                <w:color w:val="000000" w:themeColor="text1"/>
                <w:sz w:val="20"/>
                <w:szCs w:val="20"/>
              </w:rPr>
            </w:pPr>
          </w:p>
        </w:tc>
        <w:tc>
          <w:tcPr>
            <w:tcW w:w="600" w:type="dxa"/>
            <w:tcMar>
              <w:left w:w="105" w:type="dxa"/>
              <w:right w:w="105" w:type="dxa"/>
            </w:tcMar>
            <w:vAlign w:val="center"/>
          </w:tcPr>
          <w:p w14:paraId="791018F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w:t>
            </w:r>
          </w:p>
        </w:tc>
        <w:tc>
          <w:tcPr>
            <w:tcW w:w="2820" w:type="dxa"/>
            <w:tcBorders>
              <w:bottom w:val="single" w:sz="12" w:space="0" w:color="auto"/>
            </w:tcBorders>
            <w:tcMar>
              <w:left w:w="105" w:type="dxa"/>
              <w:right w:w="105" w:type="dxa"/>
            </w:tcMar>
            <w:vAlign w:val="center"/>
          </w:tcPr>
          <w:p w14:paraId="799A5E32"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 xml:space="preserve">Structured abstract </w:t>
            </w:r>
          </w:p>
        </w:tc>
        <w:tc>
          <w:tcPr>
            <w:tcW w:w="1140" w:type="dxa"/>
            <w:tcBorders>
              <w:bottom w:val="single" w:sz="12" w:space="0" w:color="auto"/>
            </w:tcBorders>
            <w:tcMar>
              <w:left w:w="105" w:type="dxa"/>
              <w:right w:w="105" w:type="dxa"/>
            </w:tcMar>
          </w:tcPr>
          <w:p w14:paraId="321C9349"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1,2</w:t>
            </w:r>
          </w:p>
        </w:tc>
        <w:tc>
          <w:tcPr>
            <w:tcW w:w="3405" w:type="dxa"/>
            <w:tcBorders>
              <w:bottom w:val="single" w:sz="12" w:space="0" w:color="auto"/>
            </w:tcBorders>
            <w:tcMar>
              <w:left w:w="105" w:type="dxa"/>
              <w:right w:w="105" w:type="dxa"/>
            </w:tcMar>
          </w:tcPr>
          <w:p w14:paraId="0D4B196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e.g., background, method, results and discussion</w:t>
            </w:r>
          </w:p>
        </w:tc>
      </w:tr>
      <w:tr w:rsidR="00161602" w14:paraId="24F116E0" w14:textId="77777777" w:rsidTr="00194BBD">
        <w:trPr>
          <w:trHeight w:val="300"/>
        </w:trPr>
        <w:tc>
          <w:tcPr>
            <w:tcW w:w="1140" w:type="dxa"/>
            <w:vMerge w:val="restart"/>
            <w:tcMar>
              <w:left w:w="105" w:type="dxa"/>
              <w:right w:w="105" w:type="dxa"/>
            </w:tcMar>
            <w:vAlign w:val="center"/>
          </w:tcPr>
          <w:p w14:paraId="10EEDD19"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II</w:t>
            </w:r>
          </w:p>
          <w:p w14:paraId="36A4D183"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Context</w:t>
            </w:r>
          </w:p>
        </w:tc>
        <w:tc>
          <w:tcPr>
            <w:tcW w:w="1320" w:type="dxa"/>
            <w:vMerge w:val="restart"/>
            <w:tcMar>
              <w:left w:w="105" w:type="dxa"/>
              <w:right w:w="105" w:type="dxa"/>
            </w:tcMar>
            <w:vAlign w:val="center"/>
          </w:tcPr>
          <w:p w14:paraId="6C0668B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Formal</w:t>
            </w:r>
          </w:p>
        </w:tc>
        <w:tc>
          <w:tcPr>
            <w:tcW w:w="600" w:type="dxa"/>
            <w:tcMar>
              <w:left w:w="105" w:type="dxa"/>
              <w:right w:w="105" w:type="dxa"/>
            </w:tcMar>
            <w:vAlign w:val="center"/>
          </w:tcPr>
          <w:p w14:paraId="4CEC951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4</w:t>
            </w:r>
          </w:p>
        </w:tc>
        <w:tc>
          <w:tcPr>
            <w:tcW w:w="2820" w:type="dxa"/>
            <w:tcBorders>
              <w:top w:val="single" w:sz="12" w:space="0" w:color="auto"/>
            </w:tcBorders>
            <w:tcMar>
              <w:left w:w="105" w:type="dxa"/>
              <w:right w:w="105" w:type="dxa"/>
            </w:tcMar>
            <w:vAlign w:val="center"/>
          </w:tcPr>
          <w:p w14:paraId="2B2168F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the sources of funding</w:t>
            </w:r>
          </w:p>
        </w:tc>
        <w:tc>
          <w:tcPr>
            <w:tcW w:w="1140" w:type="dxa"/>
            <w:tcBorders>
              <w:top w:val="single" w:sz="12" w:space="0" w:color="auto"/>
            </w:tcBorders>
            <w:tcMar>
              <w:left w:w="105" w:type="dxa"/>
              <w:right w:w="105" w:type="dxa"/>
            </w:tcMar>
          </w:tcPr>
          <w:p w14:paraId="3BC4364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4</w:t>
            </w:r>
          </w:p>
        </w:tc>
        <w:tc>
          <w:tcPr>
            <w:tcW w:w="3405" w:type="dxa"/>
            <w:tcBorders>
              <w:top w:val="single" w:sz="12" w:space="0" w:color="auto"/>
            </w:tcBorders>
            <w:tcMar>
              <w:left w:w="105" w:type="dxa"/>
              <w:right w:w="105" w:type="dxa"/>
            </w:tcMar>
          </w:tcPr>
          <w:p w14:paraId="716403C2"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This study was funded through the Erasmus+ Key Action 2 (KA220) Cooperation Partnerships scheme. </w:t>
            </w:r>
          </w:p>
        </w:tc>
      </w:tr>
      <w:tr w:rsidR="00161602" w14:paraId="6A36BEFA" w14:textId="77777777" w:rsidTr="00194BBD">
        <w:trPr>
          <w:trHeight w:val="300"/>
        </w:trPr>
        <w:tc>
          <w:tcPr>
            <w:tcW w:w="1140" w:type="dxa"/>
            <w:vMerge/>
            <w:vAlign w:val="center"/>
          </w:tcPr>
          <w:p w14:paraId="50074A58" w14:textId="77777777" w:rsidR="00161602" w:rsidRDefault="00161602" w:rsidP="00194BBD"/>
        </w:tc>
        <w:tc>
          <w:tcPr>
            <w:tcW w:w="1320" w:type="dxa"/>
            <w:vMerge/>
            <w:vAlign w:val="center"/>
          </w:tcPr>
          <w:p w14:paraId="42BBE9EF" w14:textId="77777777" w:rsidR="00161602" w:rsidRDefault="00161602" w:rsidP="00194BBD"/>
        </w:tc>
        <w:tc>
          <w:tcPr>
            <w:tcW w:w="600" w:type="dxa"/>
            <w:tcMar>
              <w:left w:w="105" w:type="dxa"/>
              <w:right w:w="105" w:type="dxa"/>
            </w:tcMar>
            <w:vAlign w:val="center"/>
          </w:tcPr>
          <w:p w14:paraId="3E0A591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5</w:t>
            </w:r>
          </w:p>
        </w:tc>
        <w:tc>
          <w:tcPr>
            <w:tcW w:w="2820" w:type="dxa"/>
            <w:tcMar>
              <w:left w:w="105" w:type="dxa"/>
              <w:right w:w="105" w:type="dxa"/>
            </w:tcMar>
            <w:vAlign w:val="center"/>
          </w:tcPr>
          <w:p w14:paraId="2E092E2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the team of authors and/or researchers (e.g., discipline, institution)</w:t>
            </w:r>
          </w:p>
        </w:tc>
        <w:tc>
          <w:tcPr>
            <w:tcW w:w="1140" w:type="dxa"/>
            <w:tcMar>
              <w:left w:w="105" w:type="dxa"/>
              <w:right w:w="105" w:type="dxa"/>
            </w:tcMar>
          </w:tcPr>
          <w:p w14:paraId="313BB993"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1,15</w:t>
            </w:r>
          </w:p>
        </w:tc>
        <w:tc>
          <w:tcPr>
            <w:tcW w:w="3405" w:type="dxa"/>
            <w:tcMar>
              <w:left w:w="105" w:type="dxa"/>
              <w:right w:w="105" w:type="dxa"/>
            </w:tcMar>
          </w:tcPr>
          <w:p w14:paraId="5B4B1378"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A full list of authors and their institutions is provided on the title page. We also name and provide the member institutions of all consortium members in the acknowledgements.</w:t>
            </w:r>
          </w:p>
        </w:tc>
      </w:tr>
      <w:tr w:rsidR="00161602" w14:paraId="6B28DAE5" w14:textId="77777777" w:rsidTr="00194BBD">
        <w:trPr>
          <w:trHeight w:val="300"/>
        </w:trPr>
        <w:tc>
          <w:tcPr>
            <w:tcW w:w="1140" w:type="dxa"/>
            <w:vMerge/>
            <w:vAlign w:val="center"/>
          </w:tcPr>
          <w:p w14:paraId="51497B99" w14:textId="77777777" w:rsidR="00161602" w:rsidRDefault="00161602" w:rsidP="00194BBD"/>
        </w:tc>
        <w:tc>
          <w:tcPr>
            <w:tcW w:w="1320" w:type="dxa"/>
            <w:vMerge/>
            <w:vAlign w:val="center"/>
          </w:tcPr>
          <w:p w14:paraId="0B178350" w14:textId="77777777" w:rsidR="00161602" w:rsidRDefault="00161602" w:rsidP="00194BBD"/>
        </w:tc>
        <w:tc>
          <w:tcPr>
            <w:tcW w:w="600" w:type="dxa"/>
            <w:tcMar>
              <w:left w:w="105" w:type="dxa"/>
              <w:right w:w="105" w:type="dxa"/>
            </w:tcMar>
            <w:vAlign w:val="center"/>
          </w:tcPr>
          <w:p w14:paraId="201548A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6</w:t>
            </w:r>
          </w:p>
        </w:tc>
        <w:tc>
          <w:tcPr>
            <w:tcW w:w="2820" w:type="dxa"/>
            <w:tcMar>
              <w:left w:w="105" w:type="dxa"/>
              <w:right w:w="105" w:type="dxa"/>
            </w:tcMar>
            <w:vAlign w:val="center"/>
          </w:tcPr>
          <w:p w14:paraId="6B9168D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method consulting</w:t>
            </w:r>
          </w:p>
        </w:tc>
        <w:tc>
          <w:tcPr>
            <w:tcW w:w="1140" w:type="dxa"/>
            <w:tcMar>
              <w:left w:w="105" w:type="dxa"/>
              <w:right w:w="105" w:type="dxa"/>
            </w:tcMar>
          </w:tcPr>
          <w:p w14:paraId="4470CE96"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4</w:t>
            </w:r>
          </w:p>
        </w:tc>
        <w:tc>
          <w:tcPr>
            <w:tcW w:w="3405" w:type="dxa"/>
            <w:tcMar>
              <w:left w:w="105" w:type="dxa"/>
              <w:right w:w="105" w:type="dxa"/>
            </w:tcMar>
          </w:tcPr>
          <w:p w14:paraId="36B2245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No outside consulting in regard to method took place.</w:t>
            </w:r>
          </w:p>
        </w:tc>
      </w:tr>
      <w:tr w:rsidR="00161602" w14:paraId="55BA9A76" w14:textId="77777777" w:rsidTr="00194BBD">
        <w:trPr>
          <w:trHeight w:val="300"/>
        </w:trPr>
        <w:tc>
          <w:tcPr>
            <w:tcW w:w="1140" w:type="dxa"/>
            <w:vMerge/>
            <w:vAlign w:val="center"/>
          </w:tcPr>
          <w:p w14:paraId="1962735D" w14:textId="77777777" w:rsidR="00161602" w:rsidRDefault="00161602" w:rsidP="00194BBD"/>
        </w:tc>
        <w:tc>
          <w:tcPr>
            <w:tcW w:w="1320" w:type="dxa"/>
            <w:vMerge/>
            <w:vAlign w:val="center"/>
          </w:tcPr>
          <w:p w14:paraId="70F0671C" w14:textId="77777777" w:rsidR="00161602" w:rsidRDefault="00161602" w:rsidP="00194BBD"/>
        </w:tc>
        <w:tc>
          <w:tcPr>
            <w:tcW w:w="600" w:type="dxa"/>
            <w:tcMar>
              <w:left w:w="105" w:type="dxa"/>
              <w:right w:w="105" w:type="dxa"/>
            </w:tcMar>
            <w:vAlign w:val="center"/>
          </w:tcPr>
          <w:p w14:paraId="51B0A371"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7</w:t>
            </w:r>
          </w:p>
        </w:tc>
        <w:tc>
          <w:tcPr>
            <w:tcW w:w="2820" w:type="dxa"/>
            <w:tcMar>
              <w:left w:w="105" w:type="dxa"/>
              <w:right w:w="105" w:type="dxa"/>
            </w:tcMar>
            <w:vAlign w:val="center"/>
          </w:tcPr>
          <w:p w14:paraId="007B131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the project background</w:t>
            </w:r>
          </w:p>
        </w:tc>
        <w:tc>
          <w:tcPr>
            <w:tcW w:w="1140" w:type="dxa"/>
            <w:tcMar>
              <w:left w:w="105" w:type="dxa"/>
              <w:right w:w="105" w:type="dxa"/>
            </w:tcMar>
          </w:tcPr>
          <w:p w14:paraId="0C977E65"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3,4</w:t>
            </w:r>
          </w:p>
        </w:tc>
        <w:tc>
          <w:tcPr>
            <w:tcW w:w="3405" w:type="dxa"/>
            <w:tcMar>
              <w:left w:w="105" w:type="dxa"/>
              <w:right w:w="105" w:type="dxa"/>
            </w:tcMar>
          </w:tcPr>
          <w:p w14:paraId="2AD8AEE7"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This study was conducted by an interdisciplinary team of European researchers from four European medical universities (Royal College of Surgeons in Ireland (RCSI), Humanitas University, Medical University of Vienna and </w:t>
            </w:r>
            <w:proofErr w:type="spellStart"/>
            <w:r w:rsidRPr="02ABB736">
              <w:rPr>
                <w:rFonts w:ascii="Calibri" w:eastAsia="Calibri" w:hAnsi="Calibri" w:cs="Calibri"/>
                <w:color w:val="000000" w:themeColor="text1"/>
                <w:sz w:val="20"/>
                <w:szCs w:val="20"/>
              </w:rPr>
              <w:t>Wrocław</w:t>
            </w:r>
            <w:proofErr w:type="spellEnd"/>
            <w:r w:rsidRPr="02ABB736">
              <w:rPr>
                <w:rFonts w:ascii="Calibri" w:eastAsia="Calibri" w:hAnsi="Calibri" w:cs="Calibri"/>
                <w:color w:val="000000" w:themeColor="text1"/>
                <w:sz w:val="20"/>
                <w:szCs w:val="20"/>
              </w:rPr>
              <w:t xml:space="preserve"> Medical University) as part of the Simulation </w:t>
            </w:r>
            <w:proofErr w:type="spellStart"/>
            <w:r w:rsidRPr="02ABB736">
              <w:rPr>
                <w:rFonts w:ascii="Calibri" w:eastAsia="Calibri" w:hAnsi="Calibri" w:cs="Calibri"/>
                <w:color w:val="000000" w:themeColor="text1"/>
                <w:sz w:val="20"/>
                <w:szCs w:val="20"/>
              </w:rPr>
              <w:t>Programme</w:t>
            </w:r>
            <w:proofErr w:type="spellEnd"/>
            <w:r w:rsidRPr="02ABB736">
              <w:rPr>
                <w:rFonts w:ascii="Calibri" w:eastAsia="Calibri" w:hAnsi="Calibri" w:cs="Calibri"/>
                <w:color w:val="000000" w:themeColor="text1"/>
                <w:sz w:val="20"/>
                <w:szCs w:val="20"/>
              </w:rPr>
              <w:t xml:space="preserve"> for Interprofessional Readiness and Immersive Training (SPIRIT) and aimed to define the core competencies required for IPE SIM educator training by gathering consensus from international experts in interprofessional simulation.</w:t>
            </w:r>
          </w:p>
        </w:tc>
      </w:tr>
      <w:tr w:rsidR="00161602" w14:paraId="581A4E47" w14:textId="77777777" w:rsidTr="00194BBD">
        <w:trPr>
          <w:trHeight w:val="300"/>
        </w:trPr>
        <w:tc>
          <w:tcPr>
            <w:tcW w:w="1140" w:type="dxa"/>
            <w:vMerge/>
            <w:vAlign w:val="center"/>
          </w:tcPr>
          <w:p w14:paraId="72C48E72" w14:textId="77777777" w:rsidR="00161602" w:rsidRDefault="00161602" w:rsidP="00194BBD"/>
        </w:tc>
        <w:tc>
          <w:tcPr>
            <w:tcW w:w="1320" w:type="dxa"/>
            <w:vMerge/>
            <w:vAlign w:val="center"/>
          </w:tcPr>
          <w:p w14:paraId="7999B162" w14:textId="77777777" w:rsidR="00161602" w:rsidRDefault="00161602" w:rsidP="00194BBD"/>
        </w:tc>
        <w:tc>
          <w:tcPr>
            <w:tcW w:w="600" w:type="dxa"/>
            <w:tcMar>
              <w:left w:w="105" w:type="dxa"/>
              <w:right w:w="105" w:type="dxa"/>
            </w:tcMar>
            <w:vAlign w:val="center"/>
          </w:tcPr>
          <w:p w14:paraId="1836F41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8</w:t>
            </w:r>
          </w:p>
        </w:tc>
        <w:tc>
          <w:tcPr>
            <w:tcW w:w="2820" w:type="dxa"/>
            <w:tcBorders>
              <w:bottom w:val="single" w:sz="12" w:space="0" w:color="auto"/>
            </w:tcBorders>
            <w:tcMar>
              <w:left w:w="105" w:type="dxa"/>
              <w:right w:w="105" w:type="dxa"/>
            </w:tcMar>
            <w:vAlign w:val="center"/>
          </w:tcPr>
          <w:p w14:paraId="0F3FCB9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the study protocol</w:t>
            </w:r>
          </w:p>
        </w:tc>
        <w:tc>
          <w:tcPr>
            <w:tcW w:w="1140" w:type="dxa"/>
            <w:tcBorders>
              <w:bottom w:val="single" w:sz="12" w:space="0" w:color="auto"/>
            </w:tcBorders>
            <w:tcMar>
              <w:left w:w="105" w:type="dxa"/>
              <w:right w:w="105" w:type="dxa"/>
            </w:tcMar>
          </w:tcPr>
          <w:p w14:paraId="1D72052C"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4</w:t>
            </w:r>
          </w:p>
        </w:tc>
        <w:tc>
          <w:tcPr>
            <w:tcW w:w="3405" w:type="dxa"/>
            <w:tcBorders>
              <w:bottom w:val="single" w:sz="12" w:space="0" w:color="auto"/>
            </w:tcBorders>
            <w:tcMar>
              <w:left w:w="105" w:type="dxa"/>
              <w:right w:w="105" w:type="dxa"/>
            </w:tcMar>
          </w:tcPr>
          <w:p w14:paraId="3A3D2DFE"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The approved study protocol has been available as part of the supplementary materials provided.</w:t>
            </w:r>
          </w:p>
        </w:tc>
      </w:tr>
      <w:tr w:rsidR="00161602" w14:paraId="126D4755" w14:textId="77777777" w:rsidTr="00194BBD">
        <w:trPr>
          <w:trHeight w:val="300"/>
        </w:trPr>
        <w:tc>
          <w:tcPr>
            <w:tcW w:w="1140" w:type="dxa"/>
            <w:vMerge w:val="restart"/>
            <w:tcMar>
              <w:left w:w="105" w:type="dxa"/>
              <w:right w:w="105" w:type="dxa"/>
            </w:tcMar>
            <w:vAlign w:val="center"/>
          </w:tcPr>
          <w:p w14:paraId="0439CDF1" w14:textId="77777777" w:rsidR="00161602" w:rsidRDefault="00161602" w:rsidP="00194BBD">
            <w:pPr>
              <w:keepLines/>
              <w:rPr>
                <w:rFonts w:ascii="Calibri" w:eastAsia="Calibri" w:hAnsi="Calibri" w:cs="Calibri"/>
                <w:color w:val="5B9BD5"/>
                <w:sz w:val="20"/>
                <w:szCs w:val="20"/>
              </w:rPr>
            </w:pPr>
          </w:p>
        </w:tc>
        <w:tc>
          <w:tcPr>
            <w:tcW w:w="1320" w:type="dxa"/>
            <w:vMerge w:val="restart"/>
            <w:tcMar>
              <w:left w:w="105" w:type="dxa"/>
              <w:right w:w="105" w:type="dxa"/>
            </w:tcMar>
            <w:vAlign w:val="center"/>
          </w:tcPr>
          <w:p w14:paraId="389E495A"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Content</w:t>
            </w:r>
          </w:p>
        </w:tc>
        <w:tc>
          <w:tcPr>
            <w:tcW w:w="600" w:type="dxa"/>
            <w:tcMar>
              <w:left w:w="105" w:type="dxa"/>
              <w:right w:w="105" w:type="dxa"/>
            </w:tcMar>
            <w:vAlign w:val="center"/>
          </w:tcPr>
          <w:p w14:paraId="2B70E161"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9</w:t>
            </w:r>
          </w:p>
        </w:tc>
        <w:tc>
          <w:tcPr>
            <w:tcW w:w="2820" w:type="dxa"/>
            <w:tcBorders>
              <w:top w:val="single" w:sz="12" w:space="0" w:color="auto"/>
            </w:tcBorders>
            <w:tcMar>
              <w:left w:w="105" w:type="dxa"/>
              <w:right w:w="105" w:type="dxa"/>
            </w:tcMar>
            <w:vAlign w:val="center"/>
          </w:tcPr>
          <w:p w14:paraId="24831E5B"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Justification of the chosen method (Delphi procedure) to answer the research question</w:t>
            </w:r>
          </w:p>
        </w:tc>
        <w:tc>
          <w:tcPr>
            <w:tcW w:w="1140" w:type="dxa"/>
            <w:tcBorders>
              <w:top w:val="single" w:sz="12" w:space="0" w:color="auto"/>
            </w:tcBorders>
            <w:tcMar>
              <w:left w:w="105" w:type="dxa"/>
              <w:right w:w="105" w:type="dxa"/>
            </w:tcMar>
          </w:tcPr>
          <w:p w14:paraId="553053E9"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6</w:t>
            </w:r>
          </w:p>
        </w:tc>
        <w:tc>
          <w:tcPr>
            <w:tcW w:w="3405" w:type="dxa"/>
            <w:tcBorders>
              <w:top w:val="single" w:sz="12" w:space="0" w:color="auto"/>
            </w:tcBorders>
            <w:tcMar>
              <w:left w:w="105" w:type="dxa"/>
              <w:right w:w="105" w:type="dxa"/>
            </w:tcMar>
          </w:tcPr>
          <w:p w14:paraId="3A0FFD18" w14:textId="77777777" w:rsidR="00161602" w:rsidRDefault="00161602" w:rsidP="00194BBD">
            <w:pPr>
              <w:keepLines/>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The Delphi method was for answering the research question because it systematically gathers the judgments of different expert groups and can identity agreement and disagreement, as well as capturing unique perspectives from key members in a variety of institutions of practice.</w:t>
            </w:r>
          </w:p>
        </w:tc>
      </w:tr>
      <w:tr w:rsidR="00161602" w14:paraId="20216FE7" w14:textId="77777777" w:rsidTr="00194BBD">
        <w:trPr>
          <w:trHeight w:val="300"/>
        </w:trPr>
        <w:tc>
          <w:tcPr>
            <w:tcW w:w="1140" w:type="dxa"/>
            <w:vMerge/>
            <w:vAlign w:val="center"/>
          </w:tcPr>
          <w:p w14:paraId="0556318B" w14:textId="77777777" w:rsidR="00161602" w:rsidRDefault="00161602" w:rsidP="00194BBD"/>
        </w:tc>
        <w:tc>
          <w:tcPr>
            <w:tcW w:w="1320" w:type="dxa"/>
            <w:vMerge/>
            <w:vAlign w:val="center"/>
          </w:tcPr>
          <w:p w14:paraId="56B754AC" w14:textId="77777777" w:rsidR="00161602" w:rsidRDefault="00161602" w:rsidP="00194BBD"/>
        </w:tc>
        <w:tc>
          <w:tcPr>
            <w:tcW w:w="600" w:type="dxa"/>
            <w:tcMar>
              <w:left w:w="105" w:type="dxa"/>
              <w:right w:w="105" w:type="dxa"/>
            </w:tcMar>
            <w:vAlign w:val="center"/>
          </w:tcPr>
          <w:p w14:paraId="523826A5"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10</w:t>
            </w:r>
          </w:p>
        </w:tc>
        <w:tc>
          <w:tcPr>
            <w:tcW w:w="2820" w:type="dxa"/>
            <w:tcMar>
              <w:left w:w="105" w:type="dxa"/>
              <w:right w:w="105" w:type="dxa"/>
            </w:tcMar>
            <w:vAlign w:val="center"/>
          </w:tcPr>
          <w:p w14:paraId="4F2F71D1"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Aim of the Delphi procedure (e.g., consensus, forecasting)</w:t>
            </w:r>
          </w:p>
        </w:tc>
        <w:tc>
          <w:tcPr>
            <w:tcW w:w="1140" w:type="dxa"/>
            <w:tcMar>
              <w:left w:w="105" w:type="dxa"/>
              <w:right w:w="105" w:type="dxa"/>
            </w:tcMar>
          </w:tcPr>
          <w:p w14:paraId="6A2E2BA6"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6</w:t>
            </w:r>
          </w:p>
        </w:tc>
        <w:tc>
          <w:tcPr>
            <w:tcW w:w="3405" w:type="dxa"/>
            <w:tcMar>
              <w:left w:w="105" w:type="dxa"/>
              <w:right w:w="105" w:type="dxa"/>
            </w:tcMar>
          </w:tcPr>
          <w:p w14:paraId="084D7F83" w14:textId="77777777" w:rsidR="00161602" w:rsidRDefault="00161602" w:rsidP="00194BBD">
            <w:pPr>
              <w:keepLines/>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 Delphi methodology, widely used in healthcare research (Khurana et al., 2022, Humphrey-Murto et al., 2017, Passarelli et al., 2024, Ye et al, 2022), was employed to gather expert consensus on IPE SIM core competencies and develop the competency framework.</w:t>
            </w:r>
          </w:p>
        </w:tc>
      </w:tr>
      <w:tr w:rsidR="00161602" w14:paraId="5459678F" w14:textId="77777777" w:rsidTr="00194BBD">
        <w:trPr>
          <w:trHeight w:val="300"/>
        </w:trPr>
        <w:tc>
          <w:tcPr>
            <w:tcW w:w="1140" w:type="dxa"/>
            <w:vMerge w:val="restart"/>
            <w:tcMar>
              <w:left w:w="105" w:type="dxa"/>
              <w:right w:w="105" w:type="dxa"/>
            </w:tcMar>
            <w:vAlign w:val="center"/>
          </w:tcPr>
          <w:p w14:paraId="3DCEA3F2"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III</w:t>
            </w:r>
          </w:p>
          <w:p w14:paraId="3B744924"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Method</w:t>
            </w:r>
          </w:p>
        </w:tc>
        <w:tc>
          <w:tcPr>
            <w:tcW w:w="1320" w:type="dxa"/>
            <w:vMerge w:val="restart"/>
            <w:tcMar>
              <w:left w:w="105" w:type="dxa"/>
              <w:right w:w="105" w:type="dxa"/>
            </w:tcMar>
            <w:vAlign w:val="center"/>
          </w:tcPr>
          <w:p w14:paraId="7726B5D4"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Body &amp; Integration of knowledge</w:t>
            </w:r>
          </w:p>
        </w:tc>
        <w:tc>
          <w:tcPr>
            <w:tcW w:w="600" w:type="dxa"/>
            <w:tcMar>
              <w:left w:w="105" w:type="dxa"/>
              <w:right w:w="105" w:type="dxa"/>
            </w:tcMar>
            <w:vAlign w:val="center"/>
          </w:tcPr>
          <w:p w14:paraId="231A785C"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11</w:t>
            </w:r>
          </w:p>
        </w:tc>
        <w:tc>
          <w:tcPr>
            <w:tcW w:w="2820" w:type="dxa"/>
            <w:tcBorders>
              <w:top w:val="single" w:sz="12" w:space="0" w:color="auto"/>
            </w:tcBorders>
            <w:tcMar>
              <w:left w:w="105" w:type="dxa"/>
              <w:right w:w="105" w:type="dxa"/>
            </w:tcMar>
            <w:vAlign w:val="center"/>
          </w:tcPr>
          <w:p w14:paraId="49881C1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Identification and elucidation of relevant expertise, spheres of experience, and perspectives (e.g., theory, practice, affected groups, disciplines)</w:t>
            </w:r>
          </w:p>
        </w:tc>
        <w:tc>
          <w:tcPr>
            <w:tcW w:w="1140" w:type="dxa"/>
            <w:tcBorders>
              <w:top w:val="single" w:sz="12" w:space="0" w:color="auto"/>
            </w:tcBorders>
            <w:tcMar>
              <w:left w:w="105" w:type="dxa"/>
              <w:right w:w="105" w:type="dxa"/>
            </w:tcMar>
          </w:tcPr>
          <w:p w14:paraId="05AA80D1"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w:t>
            </w:r>
          </w:p>
        </w:tc>
        <w:tc>
          <w:tcPr>
            <w:tcW w:w="3405" w:type="dxa"/>
            <w:tcBorders>
              <w:top w:val="single" w:sz="12" w:space="0" w:color="auto"/>
            </w:tcBorders>
            <w:tcMar>
              <w:left w:w="105" w:type="dxa"/>
              <w:right w:w="105" w:type="dxa"/>
            </w:tcMar>
          </w:tcPr>
          <w:p w14:paraId="791C78F6"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Invitations were extended to SMEs from both academic and clinical backgrounds, representing a variety of healthcare professions and countries of practice.</w:t>
            </w:r>
          </w:p>
        </w:tc>
      </w:tr>
      <w:tr w:rsidR="00161602" w14:paraId="371B8FC3" w14:textId="77777777" w:rsidTr="00194BBD">
        <w:trPr>
          <w:trHeight w:val="825"/>
        </w:trPr>
        <w:tc>
          <w:tcPr>
            <w:tcW w:w="1140" w:type="dxa"/>
            <w:vMerge/>
            <w:vAlign w:val="center"/>
          </w:tcPr>
          <w:p w14:paraId="04E6ABE6" w14:textId="77777777" w:rsidR="00161602" w:rsidRDefault="00161602" w:rsidP="00194BBD"/>
        </w:tc>
        <w:tc>
          <w:tcPr>
            <w:tcW w:w="1320" w:type="dxa"/>
            <w:vMerge/>
            <w:vAlign w:val="center"/>
          </w:tcPr>
          <w:p w14:paraId="205D4CF4" w14:textId="77777777" w:rsidR="00161602" w:rsidRDefault="00161602" w:rsidP="00194BBD"/>
        </w:tc>
        <w:tc>
          <w:tcPr>
            <w:tcW w:w="600" w:type="dxa"/>
            <w:tcMar>
              <w:left w:w="105" w:type="dxa"/>
              <w:right w:w="105" w:type="dxa"/>
            </w:tcMar>
            <w:vAlign w:val="center"/>
          </w:tcPr>
          <w:p w14:paraId="365E0189"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12</w:t>
            </w:r>
          </w:p>
        </w:tc>
        <w:tc>
          <w:tcPr>
            <w:tcW w:w="2820" w:type="dxa"/>
            <w:tcBorders>
              <w:top w:val="single" w:sz="6" w:space="0" w:color="auto"/>
            </w:tcBorders>
            <w:tcMar>
              <w:left w:w="105" w:type="dxa"/>
              <w:right w:w="105" w:type="dxa"/>
            </w:tcMar>
            <w:vAlign w:val="center"/>
          </w:tcPr>
          <w:p w14:paraId="4F6DB6E4"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Handling of knowledge, expertise and perspectives which are missing or have been deliberately not integrated</w:t>
            </w:r>
          </w:p>
        </w:tc>
        <w:tc>
          <w:tcPr>
            <w:tcW w:w="1140" w:type="dxa"/>
            <w:tcBorders>
              <w:top w:val="single" w:sz="6" w:space="0" w:color="auto"/>
            </w:tcBorders>
            <w:tcMar>
              <w:left w:w="105" w:type="dxa"/>
              <w:right w:w="105" w:type="dxa"/>
            </w:tcMar>
          </w:tcPr>
          <w:p w14:paraId="3F0E25AA"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w:t>
            </w:r>
          </w:p>
        </w:tc>
        <w:tc>
          <w:tcPr>
            <w:tcW w:w="3405" w:type="dxa"/>
            <w:tcBorders>
              <w:top w:val="single" w:sz="6" w:space="0" w:color="auto"/>
            </w:tcBorders>
            <w:tcMar>
              <w:left w:w="105" w:type="dxa"/>
              <w:right w:w="105" w:type="dxa"/>
            </w:tcMar>
          </w:tcPr>
          <w:p w14:paraId="1CC7C69F"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Non-English-speaking experts were not recruited, this is openly communicated to the other respondents during the Delphi process.</w:t>
            </w:r>
          </w:p>
        </w:tc>
      </w:tr>
      <w:tr w:rsidR="00161602" w14:paraId="078BBD31" w14:textId="77777777" w:rsidTr="00194BBD">
        <w:trPr>
          <w:trHeight w:val="300"/>
        </w:trPr>
        <w:tc>
          <w:tcPr>
            <w:tcW w:w="1140" w:type="dxa"/>
            <w:vMerge/>
            <w:vAlign w:val="center"/>
          </w:tcPr>
          <w:p w14:paraId="3767090D" w14:textId="77777777" w:rsidR="00161602" w:rsidRDefault="00161602" w:rsidP="00194BBD"/>
        </w:tc>
        <w:tc>
          <w:tcPr>
            <w:tcW w:w="1320" w:type="dxa"/>
            <w:vMerge/>
            <w:vAlign w:val="center"/>
          </w:tcPr>
          <w:p w14:paraId="06D31011" w14:textId="77777777" w:rsidR="00161602" w:rsidRDefault="00161602" w:rsidP="00194BBD"/>
        </w:tc>
        <w:tc>
          <w:tcPr>
            <w:tcW w:w="600" w:type="dxa"/>
            <w:tcMar>
              <w:left w:w="105" w:type="dxa"/>
              <w:right w:w="105" w:type="dxa"/>
            </w:tcMar>
            <w:vAlign w:val="center"/>
          </w:tcPr>
          <w:p w14:paraId="6A1C1592"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13</w:t>
            </w:r>
          </w:p>
        </w:tc>
        <w:tc>
          <w:tcPr>
            <w:tcW w:w="2820" w:type="dxa"/>
            <w:tcBorders>
              <w:bottom w:val="single" w:sz="12" w:space="0" w:color="auto"/>
            </w:tcBorders>
            <w:tcMar>
              <w:left w:w="105" w:type="dxa"/>
              <w:right w:w="105" w:type="dxa"/>
            </w:tcMar>
            <w:vAlign w:val="center"/>
          </w:tcPr>
          <w:p w14:paraId="5274611F" w14:textId="77777777" w:rsidR="00161602" w:rsidRDefault="00161602" w:rsidP="00194BBD">
            <w:pPr>
              <w:rPr>
                <w:rFonts w:ascii="Calibri" w:eastAsia="Calibri" w:hAnsi="Calibri" w:cs="Calibri"/>
                <w:color w:val="000000" w:themeColor="text1"/>
                <w:sz w:val="16"/>
                <w:szCs w:val="16"/>
              </w:rPr>
            </w:pPr>
            <w:r w:rsidRPr="3526D701">
              <w:rPr>
                <w:rFonts w:ascii="Calibri" w:eastAsia="Calibri" w:hAnsi="Calibri" w:cs="Calibri"/>
                <w:color w:val="000000" w:themeColor="text1"/>
                <w:sz w:val="20"/>
                <w:szCs w:val="20"/>
              </w:rPr>
              <w:t>Basic definition of expert</w:t>
            </w:r>
            <w:r w:rsidRPr="3526D701">
              <w:rPr>
                <w:rFonts w:ascii="Calibri" w:eastAsia="Calibri" w:hAnsi="Calibri" w:cs="Calibri"/>
                <w:color w:val="000000" w:themeColor="text1"/>
                <w:sz w:val="20"/>
                <w:szCs w:val="20"/>
                <w:vertAlign w:val="superscript"/>
              </w:rPr>
              <w:t>1</w:t>
            </w:r>
          </w:p>
        </w:tc>
        <w:tc>
          <w:tcPr>
            <w:tcW w:w="1140" w:type="dxa"/>
            <w:tcBorders>
              <w:bottom w:val="single" w:sz="12" w:space="0" w:color="auto"/>
            </w:tcBorders>
            <w:tcMar>
              <w:left w:w="105" w:type="dxa"/>
              <w:right w:w="105" w:type="dxa"/>
            </w:tcMar>
          </w:tcPr>
          <w:p w14:paraId="55BECF5B"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w:t>
            </w:r>
          </w:p>
        </w:tc>
        <w:tc>
          <w:tcPr>
            <w:tcW w:w="3405" w:type="dxa"/>
            <w:tcBorders>
              <w:bottom w:val="single" w:sz="12" w:space="0" w:color="auto"/>
            </w:tcBorders>
            <w:tcMar>
              <w:left w:w="105" w:type="dxa"/>
              <w:right w:w="105" w:type="dxa"/>
            </w:tcMar>
          </w:tcPr>
          <w:p w14:paraId="1425C1E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For inclusion, SMEs must have considerable expertise in IPE SIM as evidenced by professional experience and/or publications in this area. </w:t>
            </w:r>
          </w:p>
        </w:tc>
      </w:tr>
      <w:tr w:rsidR="00161602" w14:paraId="1AC2B756" w14:textId="77777777" w:rsidTr="00194BBD">
        <w:trPr>
          <w:trHeight w:val="300"/>
        </w:trPr>
        <w:tc>
          <w:tcPr>
            <w:tcW w:w="1140" w:type="dxa"/>
            <w:vMerge/>
            <w:vAlign w:val="center"/>
          </w:tcPr>
          <w:p w14:paraId="16E5BC39" w14:textId="77777777" w:rsidR="00161602" w:rsidRDefault="00161602" w:rsidP="00194BBD"/>
        </w:tc>
        <w:tc>
          <w:tcPr>
            <w:tcW w:w="1320" w:type="dxa"/>
            <w:vMerge w:val="restart"/>
            <w:tcMar>
              <w:left w:w="105" w:type="dxa"/>
              <w:right w:w="105" w:type="dxa"/>
            </w:tcMar>
            <w:vAlign w:val="center"/>
          </w:tcPr>
          <w:p w14:paraId="06728BC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Delphi variations</w:t>
            </w:r>
          </w:p>
        </w:tc>
        <w:tc>
          <w:tcPr>
            <w:tcW w:w="600" w:type="dxa"/>
            <w:tcMar>
              <w:left w:w="105" w:type="dxa"/>
              <w:right w:w="105" w:type="dxa"/>
            </w:tcMar>
            <w:vAlign w:val="center"/>
          </w:tcPr>
          <w:p w14:paraId="73685C0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14</w:t>
            </w:r>
          </w:p>
        </w:tc>
        <w:tc>
          <w:tcPr>
            <w:tcW w:w="2820" w:type="dxa"/>
            <w:tcBorders>
              <w:top w:val="single" w:sz="6" w:space="0" w:color="auto"/>
            </w:tcBorders>
            <w:tcMar>
              <w:left w:w="105" w:type="dxa"/>
              <w:right w:w="105" w:type="dxa"/>
            </w:tcMar>
            <w:vAlign w:val="center"/>
          </w:tcPr>
          <w:p w14:paraId="059F6E7C"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Identification of the type of Delphi procedure and potential modifications (e.g., classic Delphi, real-time Delphi, group Delphi)</w:t>
            </w:r>
          </w:p>
        </w:tc>
        <w:tc>
          <w:tcPr>
            <w:tcW w:w="1140" w:type="dxa"/>
            <w:tcBorders>
              <w:top w:val="single" w:sz="6" w:space="0" w:color="auto"/>
            </w:tcBorders>
            <w:tcMar>
              <w:left w:w="105" w:type="dxa"/>
              <w:right w:w="105" w:type="dxa"/>
            </w:tcMar>
          </w:tcPr>
          <w:p w14:paraId="505E3AE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6</w:t>
            </w:r>
          </w:p>
        </w:tc>
        <w:tc>
          <w:tcPr>
            <w:tcW w:w="3405" w:type="dxa"/>
            <w:tcBorders>
              <w:top w:val="single" w:sz="6" w:space="0" w:color="auto"/>
            </w:tcBorders>
            <w:tcMar>
              <w:left w:w="105" w:type="dxa"/>
              <w:right w:w="105" w:type="dxa"/>
            </w:tcMar>
          </w:tcPr>
          <w:p w14:paraId="4A07728F"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Modifications to the ‘classic’ Delphi approach consisted of the generation of initial items prior to Round 1 of consensus gathering. The study was conducted following Delphi method guidelines (De Villiers et al., 2005) and reported in accordance with DELPHISTAR guidelines (Niederberger et al., 2024). Quantitative analysis in this study followed a similar structure to </w:t>
            </w:r>
            <w:proofErr w:type="spellStart"/>
            <w:r w:rsidRPr="02ABB736">
              <w:rPr>
                <w:rFonts w:ascii="Calibri" w:eastAsia="Calibri" w:hAnsi="Calibri" w:cs="Calibri"/>
                <w:color w:val="000000" w:themeColor="text1"/>
                <w:sz w:val="20"/>
                <w:szCs w:val="20"/>
              </w:rPr>
              <w:t>Mossenson</w:t>
            </w:r>
            <w:proofErr w:type="spellEnd"/>
            <w:r w:rsidRPr="02ABB736">
              <w:rPr>
                <w:rFonts w:ascii="Calibri" w:eastAsia="Calibri" w:hAnsi="Calibri" w:cs="Calibri"/>
                <w:color w:val="000000" w:themeColor="text1"/>
                <w:sz w:val="20"/>
                <w:szCs w:val="20"/>
              </w:rPr>
              <w:t xml:space="preserve"> et al. (2024).</w:t>
            </w:r>
          </w:p>
        </w:tc>
      </w:tr>
      <w:tr w:rsidR="00161602" w14:paraId="00947F2E" w14:textId="77777777" w:rsidTr="00194BBD">
        <w:trPr>
          <w:trHeight w:val="300"/>
        </w:trPr>
        <w:tc>
          <w:tcPr>
            <w:tcW w:w="1140" w:type="dxa"/>
            <w:vMerge/>
            <w:vAlign w:val="center"/>
          </w:tcPr>
          <w:p w14:paraId="3B001A7C" w14:textId="77777777" w:rsidR="00161602" w:rsidRDefault="00161602" w:rsidP="00194BBD"/>
        </w:tc>
        <w:tc>
          <w:tcPr>
            <w:tcW w:w="1320" w:type="dxa"/>
            <w:vMerge/>
            <w:vAlign w:val="center"/>
          </w:tcPr>
          <w:p w14:paraId="0E04E263" w14:textId="77777777" w:rsidR="00161602" w:rsidRDefault="00161602" w:rsidP="00194BBD"/>
        </w:tc>
        <w:tc>
          <w:tcPr>
            <w:tcW w:w="600" w:type="dxa"/>
            <w:tcMar>
              <w:left w:w="105" w:type="dxa"/>
              <w:right w:w="105" w:type="dxa"/>
            </w:tcMar>
            <w:vAlign w:val="center"/>
          </w:tcPr>
          <w:p w14:paraId="6C6DB38C"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15</w:t>
            </w:r>
          </w:p>
        </w:tc>
        <w:tc>
          <w:tcPr>
            <w:tcW w:w="2820" w:type="dxa"/>
            <w:tcBorders>
              <w:bottom w:val="single" w:sz="12" w:space="0" w:color="auto"/>
            </w:tcBorders>
            <w:tcMar>
              <w:left w:w="105" w:type="dxa"/>
              <w:right w:w="105" w:type="dxa"/>
            </w:tcMar>
            <w:vAlign w:val="center"/>
          </w:tcPr>
          <w:p w14:paraId="478DFBE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Justification of the Delphi variation and modifications, including during the Delphi process, if applicable</w:t>
            </w:r>
          </w:p>
        </w:tc>
        <w:tc>
          <w:tcPr>
            <w:tcW w:w="1140" w:type="dxa"/>
            <w:tcBorders>
              <w:bottom w:val="single" w:sz="12" w:space="0" w:color="auto"/>
            </w:tcBorders>
            <w:tcMar>
              <w:left w:w="105" w:type="dxa"/>
              <w:right w:w="105" w:type="dxa"/>
            </w:tcMar>
          </w:tcPr>
          <w:p w14:paraId="2D063C2A"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6</w:t>
            </w:r>
          </w:p>
        </w:tc>
        <w:tc>
          <w:tcPr>
            <w:tcW w:w="3405" w:type="dxa"/>
            <w:tcBorders>
              <w:bottom w:val="single" w:sz="12" w:space="0" w:color="auto"/>
            </w:tcBorders>
            <w:tcMar>
              <w:left w:w="105" w:type="dxa"/>
              <w:right w:w="105" w:type="dxa"/>
            </w:tcMar>
          </w:tcPr>
          <w:p w14:paraId="633EF045"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This decision to generate initial items prior to Round 1 is a common modification to the classic Delphi process chosen to provide increased evidence-based structure to the initial </w:t>
            </w:r>
            <w:r w:rsidRPr="02ABB736">
              <w:rPr>
                <w:rFonts w:ascii="Calibri" w:eastAsia="Calibri" w:hAnsi="Calibri" w:cs="Calibri"/>
                <w:color w:val="000000" w:themeColor="text1"/>
                <w:sz w:val="20"/>
                <w:szCs w:val="20"/>
              </w:rPr>
              <w:lastRenderedPageBreak/>
              <w:t>round of consensus gathering (Trevelyan &amp; Robinson, 2015).</w:t>
            </w:r>
          </w:p>
        </w:tc>
      </w:tr>
      <w:tr w:rsidR="00161602" w14:paraId="7D801956" w14:textId="77777777" w:rsidTr="00194BBD">
        <w:trPr>
          <w:trHeight w:val="300"/>
        </w:trPr>
        <w:tc>
          <w:tcPr>
            <w:tcW w:w="1140" w:type="dxa"/>
            <w:vMerge/>
            <w:vAlign w:val="center"/>
          </w:tcPr>
          <w:p w14:paraId="5BDFC1B4" w14:textId="77777777" w:rsidR="00161602" w:rsidRDefault="00161602" w:rsidP="00194BBD"/>
        </w:tc>
        <w:tc>
          <w:tcPr>
            <w:tcW w:w="1320" w:type="dxa"/>
            <w:vMerge w:val="restart"/>
            <w:tcMar>
              <w:left w:w="105" w:type="dxa"/>
              <w:right w:w="105" w:type="dxa"/>
            </w:tcMar>
            <w:vAlign w:val="center"/>
          </w:tcPr>
          <w:p w14:paraId="321706DC"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Sample of experts</w:t>
            </w:r>
          </w:p>
        </w:tc>
        <w:tc>
          <w:tcPr>
            <w:tcW w:w="600" w:type="dxa"/>
            <w:tcMar>
              <w:left w:w="105" w:type="dxa"/>
              <w:right w:w="105" w:type="dxa"/>
            </w:tcMar>
            <w:vAlign w:val="center"/>
          </w:tcPr>
          <w:p w14:paraId="386EFD84"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16</w:t>
            </w:r>
          </w:p>
        </w:tc>
        <w:tc>
          <w:tcPr>
            <w:tcW w:w="2820" w:type="dxa"/>
            <w:tcBorders>
              <w:top w:val="single" w:sz="12" w:space="0" w:color="auto"/>
            </w:tcBorders>
            <w:tcMar>
              <w:left w:w="105" w:type="dxa"/>
              <w:right w:w="105" w:type="dxa"/>
            </w:tcMar>
            <w:vAlign w:val="center"/>
          </w:tcPr>
          <w:p w14:paraId="1500716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Selection criteria for the experts (per round if there are different expert groups)</w:t>
            </w:r>
          </w:p>
        </w:tc>
        <w:tc>
          <w:tcPr>
            <w:tcW w:w="1140" w:type="dxa"/>
            <w:tcBorders>
              <w:top w:val="single" w:sz="12" w:space="0" w:color="auto"/>
            </w:tcBorders>
            <w:tcMar>
              <w:left w:w="105" w:type="dxa"/>
              <w:right w:w="105" w:type="dxa"/>
            </w:tcMar>
          </w:tcPr>
          <w:p w14:paraId="4D0AEB4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top w:val="single" w:sz="12" w:space="0" w:color="auto"/>
            </w:tcBorders>
            <w:tcMar>
              <w:left w:w="105" w:type="dxa"/>
              <w:right w:w="105" w:type="dxa"/>
            </w:tcMar>
          </w:tcPr>
          <w:p w14:paraId="36F02C54"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All of the experts who met inclusion criteria were invited to the first round.</w:t>
            </w:r>
          </w:p>
          <w:p w14:paraId="36E154D4"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All of the experts who completed the previous round were invited to participate in the subsequent round.</w:t>
            </w:r>
          </w:p>
        </w:tc>
      </w:tr>
      <w:tr w:rsidR="00161602" w14:paraId="3C54180B" w14:textId="77777777" w:rsidTr="00194BBD">
        <w:trPr>
          <w:trHeight w:val="300"/>
        </w:trPr>
        <w:tc>
          <w:tcPr>
            <w:tcW w:w="1140" w:type="dxa"/>
            <w:vMerge/>
            <w:vAlign w:val="center"/>
          </w:tcPr>
          <w:p w14:paraId="3658EDA8" w14:textId="77777777" w:rsidR="00161602" w:rsidRDefault="00161602" w:rsidP="00194BBD"/>
        </w:tc>
        <w:tc>
          <w:tcPr>
            <w:tcW w:w="1320" w:type="dxa"/>
            <w:vMerge/>
            <w:vAlign w:val="center"/>
          </w:tcPr>
          <w:p w14:paraId="0CA211CA" w14:textId="77777777" w:rsidR="00161602" w:rsidRDefault="00161602" w:rsidP="00194BBD"/>
        </w:tc>
        <w:tc>
          <w:tcPr>
            <w:tcW w:w="600" w:type="dxa"/>
            <w:tcMar>
              <w:left w:w="105" w:type="dxa"/>
              <w:right w:w="105" w:type="dxa"/>
            </w:tcMar>
            <w:vAlign w:val="center"/>
          </w:tcPr>
          <w:p w14:paraId="409117F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17</w:t>
            </w:r>
          </w:p>
        </w:tc>
        <w:tc>
          <w:tcPr>
            <w:tcW w:w="2820" w:type="dxa"/>
            <w:tcMar>
              <w:left w:w="105" w:type="dxa"/>
              <w:right w:w="105" w:type="dxa"/>
            </w:tcMar>
            <w:vAlign w:val="center"/>
          </w:tcPr>
          <w:p w14:paraId="1952728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Identification of the experts</w:t>
            </w:r>
          </w:p>
        </w:tc>
        <w:tc>
          <w:tcPr>
            <w:tcW w:w="1140" w:type="dxa"/>
            <w:tcMar>
              <w:left w:w="105" w:type="dxa"/>
              <w:right w:w="105" w:type="dxa"/>
            </w:tcMar>
          </w:tcPr>
          <w:p w14:paraId="0B002CD7"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w:t>
            </w:r>
          </w:p>
        </w:tc>
        <w:tc>
          <w:tcPr>
            <w:tcW w:w="3405" w:type="dxa"/>
            <w:tcMar>
              <w:left w:w="105" w:type="dxa"/>
              <w:right w:w="105" w:type="dxa"/>
            </w:tcMar>
          </w:tcPr>
          <w:p w14:paraId="20C4E363"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 combination of purposive and snowball sampling was used to recruit subject matter experts (SMEs) as research participants. This involved inviting known experts in the field as well as each member institution in the SPIRIT consortium suggesting experts from their professional networks.</w:t>
            </w:r>
          </w:p>
        </w:tc>
      </w:tr>
      <w:tr w:rsidR="00161602" w14:paraId="65F56BF4" w14:textId="77777777" w:rsidTr="00194BBD">
        <w:trPr>
          <w:trHeight w:val="300"/>
        </w:trPr>
        <w:tc>
          <w:tcPr>
            <w:tcW w:w="1140" w:type="dxa"/>
            <w:vMerge/>
            <w:vAlign w:val="center"/>
          </w:tcPr>
          <w:p w14:paraId="012B37FD" w14:textId="77777777" w:rsidR="00161602" w:rsidRDefault="00161602" w:rsidP="00194BBD"/>
        </w:tc>
        <w:tc>
          <w:tcPr>
            <w:tcW w:w="1320" w:type="dxa"/>
            <w:vMerge/>
            <w:vAlign w:val="center"/>
          </w:tcPr>
          <w:p w14:paraId="720F9E27" w14:textId="77777777" w:rsidR="00161602" w:rsidRDefault="00161602" w:rsidP="00194BBD"/>
        </w:tc>
        <w:tc>
          <w:tcPr>
            <w:tcW w:w="600" w:type="dxa"/>
            <w:tcMar>
              <w:left w:w="105" w:type="dxa"/>
              <w:right w:w="105" w:type="dxa"/>
            </w:tcMar>
            <w:vAlign w:val="center"/>
          </w:tcPr>
          <w:p w14:paraId="5C3335AE"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18</w:t>
            </w:r>
          </w:p>
        </w:tc>
        <w:tc>
          <w:tcPr>
            <w:tcW w:w="2820" w:type="dxa"/>
            <w:tcMar>
              <w:left w:w="105" w:type="dxa"/>
              <w:right w:w="105" w:type="dxa"/>
            </w:tcMar>
            <w:vAlign w:val="center"/>
          </w:tcPr>
          <w:p w14:paraId="339F2ECD"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recruiting and any subsequent recruiting of experts</w:t>
            </w:r>
          </w:p>
        </w:tc>
        <w:tc>
          <w:tcPr>
            <w:tcW w:w="1140" w:type="dxa"/>
            <w:tcMar>
              <w:left w:w="105" w:type="dxa"/>
              <w:right w:w="105" w:type="dxa"/>
            </w:tcMar>
          </w:tcPr>
          <w:p w14:paraId="7CD33919"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5,6</w:t>
            </w:r>
          </w:p>
        </w:tc>
        <w:tc>
          <w:tcPr>
            <w:tcW w:w="3405" w:type="dxa"/>
            <w:tcMar>
              <w:left w:w="105" w:type="dxa"/>
              <w:right w:w="105" w:type="dxa"/>
            </w:tcMar>
          </w:tcPr>
          <w:p w14:paraId="4E4270FD" w14:textId="77777777" w:rsidR="00161602" w:rsidRDefault="00161602" w:rsidP="00194BBD">
            <w:pPr>
              <w:keepLines/>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Each participant received an invitation email describing the SPIRIT consortium, detailing study background and aims and outlining the proposed methodology. A participant information leaflet providing additional information related to this study was also provided to all participants via this email. Informed consent was gathered through a consent form hosted online using Survey Monkey software (https://www.surveymonkey.com/).</w:t>
            </w:r>
          </w:p>
        </w:tc>
      </w:tr>
      <w:tr w:rsidR="00161602" w14:paraId="176CAC28" w14:textId="77777777" w:rsidTr="00194BBD">
        <w:trPr>
          <w:trHeight w:val="300"/>
        </w:trPr>
        <w:tc>
          <w:tcPr>
            <w:tcW w:w="1140" w:type="dxa"/>
            <w:vMerge/>
            <w:vAlign w:val="center"/>
          </w:tcPr>
          <w:p w14:paraId="133B6BE0" w14:textId="77777777" w:rsidR="00161602" w:rsidRDefault="00161602" w:rsidP="00194BBD"/>
        </w:tc>
        <w:tc>
          <w:tcPr>
            <w:tcW w:w="1320" w:type="dxa"/>
            <w:vMerge w:val="restart"/>
            <w:tcBorders>
              <w:top w:val="nil"/>
            </w:tcBorders>
            <w:tcMar>
              <w:left w:w="105" w:type="dxa"/>
              <w:right w:w="105" w:type="dxa"/>
            </w:tcMar>
            <w:vAlign w:val="center"/>
          </w:tcPr>
          <w:p w14:paraId="69A629FE"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Survey</w:t>
            </w:r>
          </w:p>
        </w:tc>
        <w:tc>
          <w:tcPr>
            <w:tcW w:w="600" w:type="dxa"/>
            <w:tcMar>
              <w:left w:w="105" w:type="dxa"/>
              <w:right w:w="105" w:type="dxa"/>
            </w:tcMar>
            <w:vAlign w:val="center"/>
          </w:tcPr>
          <w:p w14:paraId="26A5E944"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19</w:t>
            </w:r>
          </w:p>
        </w:tc>
        <w:tc>
          <w:tcPr>
            <w:tcW w:w="2820" w:type="dxa"/>
            <w:tcBorders>
              <w:top w:val="single" w:sz="12" w:space="0" w:color="auto"/>
            </w:tcBorders>
            <w:tcMar>
              <w:left w:w="105" w:type="dxa"/>
              <w:right w:w="105" w:type="dxa"/>
            </w:tcMar>
            <w:vAlign w:val="center"/>
          </w:tcPr>
          <w:p w14:paraId="45F29012"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Elucidation of the content development for the questionnaire</w:t>
            </w:r>
            <w:r w:rsidRPr="3526D701">
              <w:rPr>
                <w:rFonts w:ascii="Calibri" w:eastAsia="Calibri" w:hAnsi="Calibri" w:cs="Calibri"/>
                <w:color w:val="000000" w:themeColor="text1"/>
                <w:sz w:val="20"/>
                <w:szCs w:val="20"/>
                <w:vertAlign w:val="superscript"/>
              </w:rPr>
              <w:t>2</w:t>
            </w:r>
            <w:r w:rsidRPr="3526D701">
              <w:rPr>
                <w:rFonts w:ascii="Calibri" w:eastAsia="Calibri" w:hAnsi="Calibri" w:cs="Calibri"/>
                <w:color w:val="000000" w:themeColor="text1"/>
                <w:sz w:val="20"/>
                <w:szCs w:val="20"/>
              </w:rPr>
              <w:t xml:space="preserve"> </w:t>
            </w:r>
          </w:p>
        </w:tc>
        <w:tc>
          <w:tcPr>
            <w:tcW w:w="1140" w:type="dxa"/>
            <w:tcBorders>
              <w:top w:val="single" w:sz="12" w:space="0" w:color="auto"/>
            </w:tcBorders>
            <w:tcMar>
              <w:left w:w="105" w:type="dxa"/>
              <w:right w:w="105" w:type="dxa"/>
            </w:tcMar>
          </w:tcPr>
          <w:p w14:paraId="058DEF7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4,5</w:t>
            </w:r>
          </w:p>
        </w:tc>
        <w:tc>
          <w:tcPr>
            <w:tcW w:w="3405" w:type="dxa"/>
            <w:tcBorders>
              <w:top w:val="single" w:sz="12" w:space="0" w:color="auto"/>
            </w:tcBorders>
            <w:tcMar>
              <w:left w:w="105" w:type="dxa"/>
              <w:right w:w="105" w:type="dxa"/>
            </w:tcMar>
          </w:tcPr>
          <w:p w14:paraId="312945EF"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The literature on faculty development for IPE and SIM was then searched to identify potential competencies.</w:t>
            </w:r>
            <w:r w:rsidRPr="3CEDCF1F">
              <w:rPr>
                <w:rFonts w:ascii="Calibri" w:eastAsia="Calibri" w:hAnsi="Calibri" w:cs="Calibri"/>
                <w:color w:val="000000" w:themeColor="text1"/>
                <w:sz w:val="20"/>
                <w:szCs w:val="20"/>
                <w:vertAlign w:val="superscript"/>
              </w:rPr>
              <w:t>3, 16, 17, 18, 19</w:t>
            </w:r>
            <w:r w:rsidRPr="3CEDCF1F">
              <w:rPr>
                <w:rFonts w:ascii="Calibri" w:eastAsia="Calibri" w:hAnsi="Calibri" w:cs="Calibri"/>
                <w:color w:val="000000" w:themeColor="text1"/>
                <w:sz w:val="20"/>
                <w:szCs w:val="20"/>
              </w:rPr>
              <w:t xml:space="preserve"> Literature sources were varied and included the Core Competencies for Interprofessional Collaborative Practice</w:t>
            </w:r>
            <w:r w:rsidRPr="3CEDCF1F">
              <w:rPr>
                <w:rFonts w:ascii="Calibri" w:eastAsia="Calibri" w:hAnsi="Calibri" w:cs="Calibri"/>
                <w:color w:val="000000" w:themeColor="text1"/>
                <w:sz w:val="20"/>
                <w:szCs w:val="20"/>
                <w:vertAlign w:val="superscript"/>
              </w:rPr>
              <w:t>20</w:t>
            </w:r>
            <w:r w:rsidRPr="3CEDCF1F">
              <w:rPr>
                <w:rFonts w:ascii="Calibri" w:eastAsia="Calibri" w:hAnsi="Calibri" w:cs="Calibri"/>
                <w:color w:val="000000" w:themeColor="text1"/>
                <w:sz w:val="20"/>
                <w:szCs w:val="20"/>
              </w:rPr>
              <w:t xml:space="preserve"> and Standards of Best Practice for Simulation-Enhanced Interprofessional Education.</w:t>
            </w:r>
            <w:r w:rsidRPr="3CEDCF1F">
              <w:rPr>
                <w:rFonts w:ascii="Calibri" w:eastAsia="Calibri" w:hAnsi="Calibri" w:cs="Calibri"/>
                <w:color w:val="000000" w:themeColor="text1"/>
                <w:sz w:val="20"/>
                <w:szCs w:val="20"/>
                <w:vertAlign w:val="superscript"/>
              </w:rPr>
              <w:t>21</w:t>
            </w:r>
            <w:r w:rsidRPr="3CEDCF1F">
              <w:rPr>
                <w:rFonts w:ascii="Calibri" w:eastAsia="Calibri" w:hAnsi="Calibri" w:cs="Calibri"/>
                <w:color w:val="000000" w:themeColor="text1"/>
                <w:sz w:val="20"/>
                <w:szCs w:val="20"/>
              </w:rPr>
              <w:t xml:space="preserve"> Van </w:t>
            </w:r>
            <w:proofErr w:type="spellStart"/>
            <w:r w:rsidRPr="3CEDCF1F">
              <w:rPr>
                <w:rFonts w:ascii="Calibri" w:eastAsia="Calibri" w:hAnsi="Calibri" w:cs="Calibri"/>
                <w:color w:val="000000" w:themeColor="text1"/>
                <w:sz w:val="20"/>
                <w:szCs w:val="20"/>
              </w:rPr>
              <w:t>Diggele</w:t>
            </w:r>
            <w:proofErr w:type="spellEnd"/>
            <w:r w:rsidRPr="3CEDCF1F">
              <w:rPr>
                <w:rFonts w:ascii="Calibri" w:eastAsia="Calibri" w:hAnsi="Calibri" w:cs="Calibri"/>
                <w:color w:val="000000" w:themeColor="text1"/>
                <w:sz w:val="20"/>
                <w:szCs w:val="20"/>
              </w:rPr>
              <w:t xml:space="preserve"> et al</w:t>
            </w:r>
            <w:r w:rsidRPr="3CEDCF1F">
              <w:rPr>
                <w:rFonts w:ascii="Calibri" w:eastAsia="Calibri" w:hAnsi="Calibri" w:cs="Calibri"/>
                <w:color w:val="000000" w:themeColor="text1"/>
                <w:sz w:val="20"/>
                <w:szCs w:val="20"/>
                <w:vertAlign w:val="superscript"/>
              </w:rPr>
              <w:t>9</w:t>
            </w:r>
            <w:r w:rsidRPr="3CEDCF1F">
              <w:rPr>
                <w:rFonts w:ascii="Calibri" w:eastAsia="Calibri" w:hAnsi="Calibri" w:cs="Calibri"/>
                <w:color w:val="000000" w:themeColor="text1"/>
                <w:sz w:val="20"/>
                <w:szCs w:val="20"/>
              </w:rPr>
              <w:t xml:space="preserve"> and Anderson et al</w:t>
            </w:r>
            <w:r w:rsidRPr="3CEDCF1F">
              <w:rPr>
                <w:rFonts w:ascii="Calibri" w:eastAsia="Calibri" w:hAnsi="Calibri" w:cs="Calibri"/>
                <w:color w:val="000000" w:themeColor="text1"/>
                <w:sz w:val="20"/>
                <w:szCs w:val="20"/>
                <w:vertAlign w:val="superscript"/>
              </w:rPr>
              <w:t>10</w:t>
            </w:r>
            <w:r w:rsidRPr="3CEDCF1F">
              <w:rPr>
                <w:rFonts w:ascii="Calibri" w:eastAsia="Calibri" w:hAnsi="Calibri" w:cs="Calibri"/>
                <w:color w:val="000000" w:themeColor="text1"/>
                <w:sz w:val="20"/>
                <w:szCs w:val="20"/>
              </w:rPr>
              <w:t xml:space="preserve"> offered practical insights into the design, delivery and educator preparation for IPE and the CAIPE Interprofessional Education Handbook</w:t>
            </w:r>
            <w:r w:rsidRPr="3CEDCF1F">
              <w:rPr>
                <w:rFonts w:ascii="Calibri" w:eastAsia="Calibri" w:hAnsi="Calibri" w:cs="Calibri"/>
                <w:color w:val="000000" w:themeColor="text1"/>
                <w:sz w:val="20"/>
                <w:szCs w:val="20"/>
                <w:vertAlign w:val="superscript"/>
              </w:rPr>
              <w:t>12</w:t>
            </w:r>
            <w:r w:rsidRPr="3CEDCF1F">
              <w:rPr>
                <w:rFonts w:ascii="Calibri" w:eastAsia="Calibri" w:hAnsi="Calibri" w:cs="Calibri"/>
                <w:color w:val="000000" w:themeColor="text1"/>
                <w:sz w:val="20"/>
                <w:szCs w:val="20"/>
              </w:rPr>
              <w:t xml:space="preserve"> and Freeth et al</w:t>
            </w:r>
            <w:r w:rsidRPr="3CEDCF1F">
              <w:rPr>
                <w:rFonts w:ascii="Calibri" w:eastAsia="Calibri" w:hAnsi="Calibri" w:cs="Calibri"/>
                <w:color w:val="000000" w:themeColor="text1"/>
                <w:sz w:val="20"/>
                <w:szCs w:val="20"/>
                <w:vertAlign w:val="superscript"/>
              </w:rPr>
              <w:t>11</w:t>
            </w:r>
            <w:r w:rsidRPr="3CEDCF1F">
              <w:rPr>
                <w:rFonts w:ascii="Calibri" w:eastAsia="Calibri" w:hAnsi="Calibri" w:cs="Calibri"/>
                <w:color w:val="000000" w:themeColor="text1"/>
                <w:sz w:val="20"/>
                <w:szCs w:val="20"/>
              </w:rPr>
              <w:t xml:space="preserve"> detailed both useful theoretical frameworks and evaluation strategies. A literature-</w:t>
            </w:r>
            <w:r w:rsidRPr="3CEDCF1F">
              <w:rPr>
                <w:rFonts w:ascii="Calibri" w:eastAsia="Calibri" w:hAnsi="Calibri" w:cs="Calibri"/>
                <w:color w:val="000000" w:themeColor="text1"/>
                <w:sz w:val="20"/>
                <w:szCs w:val="20"/>
              </w:rPr>
              <w:lastRenderedPageBreak/>
              <w:t xml:space="preserve">based infographic from Monash University </w:t>
            </w:r>
            <w:proofErr w:type="spellStart"/>
            <w:r w:rsidRPr="3CEDCF1F">
              <w:rPr>
                <w:rFonts w:ascii="Calibri" w:eastAsia="Calibri" w:hAnsi="Calibri" w:cs="Calibri"/>
                <w:color w:val="000000" w:themeColor="text1"/>
                <w:sz w:val="20"/>
                <w:szCs w:val="20"/>
              </w:rPr>
              <w:t>summarising</w:t>
            </w:r>
            <w:proofErr w:type="spellEnd"/>
            <w:r w:rsidRPr="3CEDCF1F">
              <w:rPr>
                <w:rFonts w:ascii="Calibri" w:eastAsia="Calibri" w:hAnsi="Calibri" w:cs="Calibri"/>
                <w:color w:val="000000" w:themeColor="text1"/>
                <w:sz w:val="20"/>
                <w:szCs w:val="20"/>
              </w:rPr>
              <w:t xml:space="preserve"> IPE facilitation strategies</w:t>
            </w:r>
            <w:r w:rsidRPr="3CEDCF1F">
              <w:rPr>
                <w:rFonts w:ascii="Calibri" w:eastAsia="Calibri" w:hAnsi="Calibri" w:cs="Calibri"/>
                <w:color w:val="000000" w:themeColor="text1"/>
                <w:sz w:val="20"/>
                <w:szCs w:val="20"/>
                <w:vertAlign w:val="superscript"/>
              </w:rPr>
              <w:t>22</w:t>
            </w:r>
            <w:r w:rsidRPr="3CEDCF1F">
              <w:rPr>
                <w:rFonts w:ascii="Calibri" w:eastAsia="Calibri" w:hAnsi="Calibri" w:cs="Calibri"/>
                <w:color w:val="000000" w:themeColor="text1"/>
                <w:sz w:val="20"/>
                <w:szCs w:val="20"/>
              </w:rPr>
              <w:t>, the CHSE Examination Blueprint</w:t>
            </w:r>
            <w:r w:rsidRPr="3CEDCF1F">
              <w:rPr>
                <w:rFonts w:ascii="Calibri" w:eastAsia="Calibri" w:hAnsi="Calibri" w:cs="Calibri"/>
                <w:color w:val="000000" w:themeColor="text1"/>
                <w:sz w:val="20"/>
                <w:szCs w:val="20"/>
                <w:vertAlign w:val="superscript"/>
              </w:rPr>
              <w:t xml:space="preserve">23 </w:t>
            </w:r>
            <w:r w:rsidRPr="3CEDCF1F">
              <w:rPr>
                <w:rFonts w:ascii="Calibri" w:eastAsia="Calibri" w:hAnsi="Calibri" w:cs="Calibri"/>
                <w:color w:val="000000" w:themeColor="text1"/>
                <w:sz w:val="20"/>
                <w:szCs w:val="20"/>
              </w:rPr>
              <w:t>and the DASH Debriefing Assessment</w:t>
            </w:r>
            <w:r w:rsidRPr="3CEDCF1F">
              <w:rPr>
                <w:rFonts w:ascii="Calibri" w:eastAsia="Calibri" w:hAnsi="Calibri" w:cs="Calibri"/>
                <w:color w:val="000000" w:themeColor="text1"/>
                <w:sz w:val="20"/>
                <w:szCs w:val="20"/>
                <w:vertAlign w:val="superscript"/>
              </w:rPr>
              <w:t>24</w:t>
            </w:r>
            <w:r w:rsidRPr="3CEDCF1F">
              <w:rPr>
                <w:rFonts w:ascii="Calibri" w:eastAsia="Calibri" w:hAnsi="Calibri" w:cs="Calibri"/>
                <w:color w:val="000000" w:themeColor="text1"/>
                <w:sz w:val="20"/>
                <w:szCs w:val="20"/>
              </w:rPr>
              <w:t xml:space="preserve"> further informed the initial list of competencies. This competency list was then further expanded by two expert researchers, one specializing in SBE (CC) and the other in IPE (FK).</w:t>
            </w:r>
          </w:p>
        </w:tc>
      </w:tr>
      <w:tr w:rsidR="00161602" w14:paraId="58B69046" w14:textId="77777777" w:rsidTr="00194BBD">
        <w:trPr>
          <w:trHeight w:val="300"/>
        </w:trPr>
        <w:tc>
          <w:tcPr>
            <w:tcW w:w="1140" w:type="dxa"/>
            <w:vMerge/>
            <w:vAlign w:val="center"/>
          </w:tcPr>
          <w:p w14:paraId="3F153533" w14:textId="77777777" w:rsidR="00161602" w:rsidRDefault="00161602" w:rsidP="00194BBD"/>
        </w:tc>
        <w:tc>
          <w:tcPr>
            <w:tcW w:w="1320" w:type="dxa"/>
            <w:vMerge/>
            <w:vAlign w:val="center"/>
          </w:tcPr>
          <w:p w14:paraId="2BA6C7FC" w14:textId="77777777" w:rsidR="00161602" w:rsidRDefault="00161602" w:rsidP="00194BBD"/>
        </w:tc>
        <w:tc>
          <w:tcPr>
            <w:tcW w:w="600" w:type="dxa"/>
            <w:tcMar>
              <w:left w:w="105" w:type="dxa"/>
              <w:right w:w="105" w:type="dxa"/>
            </w:tcMar>
            <w:vAlign w:val="center"/>
          </w:tcPr>
          <w:p w14:paraId="3852DBF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20</w:t>
            </w:r>
          </w:p>
        </w:tc>
        <w:tc>
          <w:tcPr>
            <w:tcW w:w="2820" w:type="dxa"/>
            <w:tcMar>
              <w:left w:w="105" w:type="dxa"/>
              <w:right w:w="105" w:type="dxa"/>
            </w:tcMar>
            <w:vAlign w:val="center"/>
          </w:tcPr>
          <w:p w14:paraId="5DCCC51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Description of the questionnaire (content and structure)</w:t>
            </w:r>
          </w:p>
        </w:tc>
        <w:tc>
          <w:tcPr>
            <w:tcW w:w="1140" w:type="dxa"/>
            <w:tcMar>
              <w:left w:w="105" w:type="dxa"/>
              <w:right w:w="105" w:type="dxa"/>
            </w:tcMar>
          </w:tcPr>
          <w:p w14:paraId="13B26FC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5,6</w:t>
            </w:r>
          </w:p>
        </w:tc>
        <w:tc>
          <w:tcPr>
            <w:tcW w:w="3405" w:type="dxa"/>
            <w:tcMar>
              <w:left w:w="105" w:type="dxa"/>
              <w:right w:w="105" w:type="dxa"/>
            </w:tcMar>
          </w:tcPr>
          <w:p w14:paraId="3F761BE0" w14:textId="77777777" w:rsidR="00161602" w:rsidRDefault="00161602" w:rsidP="00194BBD">
            <w:pPr>
              <w:rPr>
                <w:rFonts w:ascii="Calibri" w:eastAsia="Calibri" w:hAnsi="Calibri" w:cs="Calibri"/>
                <w:color w:val="000000" w:themeColor="text1"/>
                <w:sz w:val="20"/>
                <w:szCs w:val="20"/>
              </w:rPr>
            </w:pPr>
            <w:r w:rsidRPr="38529A3E">
              <w:rPr>
                <w:rFonts w:ascii="Calibri" w:eastAsia="Calibri" w:hAnsi="Calibri" w:cs="Calibri"/>
                <w:color w:val="000000" w:themeColor="text1"/>
                <w:sz w:val="20"/>
                <w:szCs w:val="20"/>
              </w:rPr>
              <w:t>The competencies were systematically categorized according to the Academy of Medical Educators (AoME) domains of medical education. A decision was taken to include an additional domain, Debriefing and Reflective Practice, given its relevancy to the facilitation of IPE SIM.</w:t>
            </w:r>
          </w:p>
          <w:p w14:paraId="31183545" w14:textId="77777777" w:rsidR="00161602" w:rsidRDefault="00161602" w:rsidP="00194BBD">
            <w:pPr>
              <w:rPr>
                <w:rFonts w:ascii="Calibri" w:eastAsia="Calibri" w:hAnsi="Calibri" w:cs="Calibri"/>
                <w:color w:val="000000" w:themeColor="text1"/>
                <w:sz w:val="20"/>
                <w:szCs w:val="20"/>
              </w:rPr>
            </w:pPr>
          </w:p>
          <w:p w14:paraId="08C06A31"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Participants were presented with an initial draft of the IPE SIM competency framework with 42 items split into 6 domains and asked to rate each item's relevancy to the delivery of IPE SIM on a 4-point Likert scale (1 – not relevant, 2 – somewhat relevant, 3 – quite relevant, 4 – very relevant). Participants were provided with open-text boxes to comment on existing items, identify duplication, suggest improvements to language clarity, and propose any missing items.</w:t>
            </w:r>
          </w:p>
        </w:tc>
      </w:tr>
      <w:tr w:rsidR="00161602" w14:paraId="3A196965" w14:textId="77777777" w:rsidTr="00194BBD">
        <w:trPr>
          <w:trHeight w:val="300"/>
        </w:trPr>
        <w:tc>
          <w:tcPr>
            <w:tcW w:w="1140" w:type="dxa"/>
            <w:vMerge/>
            <w:vAlign w:val="center"/>
          </w:tcPr>
          <w:p w14:paraId="6EC9A94A" w14:textId="77777777" w:rsidR="00161602" w:rsidRDefault="00161602" w:rsidP="00194BBD"/>
        </w:tc>
        <w:tc>
          <w:tcPr>
            <w:tcW w:w="1320" w:type="dxa"/>
            <w:vMerge w:val="restart"/>
            <w:tcMar>
              <w:left w:w="105" w:type="dxa"/>
              <w:right w:w="105" w:type="dxa"/>
            </w:tcMar>
            <w:vAlign w:val="center"/>
          </w:tcPr>
          <w:p w14:paraId="4970703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Delphi rounds</w:t>
            </w:r>
          </w:p>
        </w:tc>
        <w:tc>
          <w:tcPr>
            <w:tcW w:w="600" w:type="dxa"/>
            <w:tcMar>
              <w:left w:w="105" w:type="dxa"/>
              <w:right w:w="105" w:type="dxa"/>
            </w:tcMar>
            <w:vAlign w:val="center"/>
          </w:tcPr>
          <w:p w14:paraId="798EFE2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21</w:t>
            </w:r>
          </w:p>
        </w:tc>
        <w:tc>
          <w:tcPr>
            <w:tcW w:w="2820" w:type="dxa"/>
            <w:tcBorders>
              <w:top w:val="single" w:sz="12" w:space="0" w:color="auto"/>
            </w:tcBorders>
            <w:tcMar>
              <w:left w:w="105" w:type="dxa"/>
              <w:right w:w="105" w:type="dxa"/>
            </w:tcMar>
            <w:vAlign w:val="center"/>
          </w:tcPr>
          <w:p w14:paraId="7DB9BD4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Number of Delphi rounds</w:t>
            </w:r>
          </w:p>
        </w:tc>
        <w:tc>
          <w:tcPr>
            <w:tcW w:w="1140" w:type="dxa"/>
            <w:tcBorders>
              <w:top w:val="single" w:sz="12" w:space="0" w:color="auto"/>
            </w:tcBorders>
            <w:tcMar>
              <w:left w:w="105" w:type="dxa"/>
              <w:right w:w="105" w:type="dxa"/>
            </w:tcMar>
          </w:tcPr>
          <w:p w14:paraId="599FC1E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8</w:t>
            </w:r>
          </w:p>
        </w:tc>
        <w:tc>
          <w:tcPr>
            <w:tcW w:w="3405" w:type="dxa"/>
            <w:tcBorders>
              <w:top w:val="single" w:sz="12" w:space="0" w:color="auto"/>
            </w:tcBorders>
            <w:tcMar>
              <w:left w:w="105" w:type="dxa"/>
              <w:right w:w="105" w:type="dxa"/>
            </w:tcMar>
          </w:tcPr>
          <w:p w14:paraId="60DDDAA2"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Two Delphi rounds were held before stopping criteria was achieved.</w:t>
            </w:r>
          </w:p>
        </w:tc>
      </w:tr>
      <w:tr w:rsidR="00161602" w14:paraId="7796409F" w14:textId="77777777" w:rsidTr="00194BBD">
        <w:trPr>
          <w:trHeight w:val="300"/>
        </w:trPr>
        <w:tc>
          <w:tcPr>
            <w:tcW w:w="1140" w:type="dxa"/>
            <w:vMerge/>
            <w:vAlign w:val="center"/>
          </w:tcPr>
          <w:p w14:paraId="7BED1AC9" w14:textId="77777777" w:rsidR="00161602" w:rsidRDefault="00161602" w:rsidP="00194BBD"/>
        </w:tc>
        <w:tc>
          <w:tcPr>
            <w:tcW w:w="1320" w:type="dxa"/>
            <w:vMerge/>
            <w:vAlign w:val="center"/>
          </w:tcPr>
          <w:p w14:paraId="52297BB7" w14:textId="77777777" w:rsidR="00161602" w:rsidRDefault="00161602" w:rsidP="00194BBD"/>
        </w:tc>
        <w:tc>
          <w:tcPr>
            <w:tcW w:w="600" w:type="dxa"/>
            <w:tcMar>
              <w:left w:w="105" w:type="dxa"/>
              <w:right w:w="105" w:type="dxa"/>
            </w:tcMar>
            <w:vAlign w:val="center"/>
          </w:tcPr>
          <w:p w14:paraId="1C7C0E7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22</w:t>
            </w:r>
          </w:p>
        </w:tc>
        <w:tc>
          <w:tcPr>
            <w:tcW w:w="2820" w:type="dxa"/>
            <w:tcMar>
              <w:left w:w="105" w:type="dxa"/>
              <w:right w:w="105" w:type="dxa"/>
            </w:tcMar>
            <w:vAlign w:val="center"/>
          </w:tcPr>
          <w:p w14:paraId="5E44F102"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the aims of the individual Delphi rounds</w:t>
            </w:r>
          </w:p>
        </w:tc>
        <w:tc>
          <w:tcPr>
            <w:tcW w:w="1140" w:type="dxa"/>
            <w:tcMar>
              <w:left w:w="105" w:type="dxa"/>
              <w:right w:w="105" w:type="dxa"/>
            </w:tcMar>
          </w:tcPr>
          <w:p w14:paraId="15DEAF86"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6</w:t>
            </w:r>
          </w:p>
        </w:tc>
        <w:tc>
          <w:tcPr>
            <w:tcW w:w="3405" w:type="dxa"/>
            <w:tcMar>
              <w:left w:w="105" w:type="dxa"/>
              <w:right w:w="105" w:type="dxa"/>
            </w:tcMar>
          </w:tcPr>
          <w:p w14:paraId="1B005A55"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All Delphi rounds followed the same structure, gathering quantitative and qualitative consensus on competency items.</w:t>
            </w:r>
          </w:p>
        </w:tc>
      </w:tr>
      <w:tr w:rsidR="00161602" w14:paraId="12A4E66E" w14:textId="77777777" w:rsidTr="00194BBD">
        <w:trPr>
          <w:trHeight w:val="300"/>
        </w:trPr>
        <w:tc>
          <w:tcPr>
            <w:tcW w:w="1140" w:type="dxa"/>
            <w:vMerge/>
            <w:vAlign w:val="center"/>
          </w:tcPr>
          <w:p w14:paraId="5A3A1A7B" w14:textId="77777777" w:rsidR="00161602" w:rsidRDefault="00161602" w:rsidP="00194BBD"/>
        </w:tc>
        <w:tc>
          <w:tcPr>
            <w:tcW w:w="1320" w:type="dxa"/>
            <w:vMerge/>
            <w:vAlign w:val="center"/>
          </w:tcPr>
          <w:p w14:paraId="0216D14E" w14:textId="77777777" w:rsidR="00161602" w:rsidRDefault="00161602" w:rsidP="00194BBD"/>
        </w:tc>
        <w:tc>
          <w:tcPr>
            <w:tcW w:w="600" w:type="dxa"/>
            <w:tcMar>
              <w:left w:w="105" w:type="dxa"/>
              <w:right w:w="105" w:type="dxa"/>
            </w:tcMar>
            <w:vAlign w:val="center"/>
          </w:tcPr>
          <w:p w14:paraId="40685109"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23</w:t>
            </w:r>
          </w:p>
        </w:tc>
        <w:tc>
          <w:tcPr>
            <w:tcW w:w="2820" w:type="dxa"/>
            <w:tcMar>
              <w:left w:w="105" w:type="dxa"/>
              <w:right w:w="105" w:type="dxa"/>
            </w:tcMar>
            <w:vAlign w:val="center"/>
          </w:tcPr>
          <w:p w14:paraId="7CF9ACD8"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Disclosure and justification of the criterion for discontinuation</w:t>
            </w:r>
          </w:p>
        </w:tc>
        <w:tc>
          <w:tcPr>
            <w:tcW w:w="1140" w:type="dxa"/>
            <w:tcMar>
              <w:left w:w="105" w:type="dxa"/>
              <w:right w:w="105" w:type="dxa"/>
            </w:tcMar>
          </w:tcPr>
          <w:p w14:paraId="1168E4D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7,8</w:t>
            </w:r>
          </w:p>
        </w:tc>
        <w:tc>
          <w:tcPr>
            <w:tcW w:w="3405" w:type="dxa"/>
            <w:tcMar>
              <w:left w:w="105" w:type="dxa"/>
              <w:right w:w="105" w:type="dxa"/>
            </w:tcMar>
          </w:tcPr>
          <w:p w14:paraId="0020B8A6" w14:textId="77777777" w:rsidR="00161602" w:rsidRDefault="00161602" w:rsidP="00194BBD">
            <w:pPr>
              <w:rPr>
                <w:rFonts w:ascii="Calibri" w:eastAsia="Calibri" w:hAnsi="Calibri" w:cs="Calibri"/>
                <w:color w:val="000000" w:themeColor="text1"/>
                <w:sz w:val="20"/>
                <w:szCs w:val="20"/>
              </w:rPr>
            </w:pPr>
          </w:p>
          <w:p w14:paraId="02585AE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The stopping criteria, or conditions under which this Delphi process would conclude, was quantitative consensus on all items, with no new items emerging from qualitative analysis. </w:t>
            </w:r>
            <w:r w:rsidRPr="3CEDCF1F">
              <w:rPr>
                <w:rFonts w:ascii="Calibri" w:eastAsia="Calibri" w:hAnsi="Calibri" w:cs="Calibri"/>
                <w:color w:val="000000" w:themeColor="text1"/>
                <w:sz w:val="20"/>
                <w:szCs w:val="20"/>
              </w:rPr>
              <w:lastRenderedPageBreak/>
              <w:t>The number of rounds was predefined, with a maximum of three</w:t>
            </w:r>
          </w:p>
        </w:tc>
      </w:tr>
      <w:tr w:rsidR="00161602" w14:paraId="2361D21A" w14:textId="77777777" w:rsidTr="00194BBD">
        <w:trPr>
          <w:trHeight w:val="300"/>
        </w:trPr>
        <w:tc>
          <w:tcPr>
            <w:tcW w:w="1140" w:type="dxa"/>
            <w:vMerge/>
            <w:vAlign w:val="center"/>
          </w:tcPr>
          <w:p w14:paraId="5B28D1E1" w14:textId="77777777" w:rsidR="00161602" w:rsidRDefault="00161602" w:rsidP="00194BBD"/>
        </w:tc>
        <w:tc>
          <w:tcPr>
            <w:tcW w:w="1320" w:type="dxa"/>
            <w:vMerge w:val="restart"/>
            <w:tcMar>
              <w:left w:w="105" w:type="dxa"/>
              <w:right w:w="105" w:type="dxa"/>
            </w:tcMar>
            <w:vAlign w:val="center"/>
          </w:tcPr>
          <w:p w14:paraId="48088D1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Feedback</w:t>
            </w:r>
          </w:p>
        </w:tc>
        <w:tc>
          <w:tcPr>
            <w:tcW w:w="600" w:type="dxa"/>
            <w:tcMar>
              <w:left w:w="105" w:type="dxa"/>
              <w:right w:w="105" w:type="dxa"/>
            </w:tcMar>
            <w:vAlign w:val="center"/>
          </w:tcPr>
          <w:p w14:paraId="0B18FC74"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24</w:t>
            </w:r>
          </w:p>
        </w:tc>
        <w:tc>
          <w:tcPr>
            <w:tcW w:w="2820" w:type="dxa"/>
            <w:tcBorders>
              <w:top w:val="single" w:sz="12" w:space="0" w:color="auto"/>
            </w:tcBorders>
            <w:tcMar>
              <w:left w:w="105" w:type="dxa"/>
              <w:right w:w="105" w:type="dxa"/>
            </w:tcMar>
            <w:vAlign w:val="center"/>
          </w:tcPr>
          <w:p w14:paraId="5899ACDB"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what data was reported back per round</w:t>
            </w:r>
          </w:p>
        </w:tc>
        <w:tc>
          <w:tcPr>
            <w:tcW w:w="1140" w:type="dxa"/>
            <w:tcBorders>
              <w:top w:val="single" w:sz="12" w:space="0" w:color="auto"/>
            </w:tcBorders>
            <w:tcMar>
              <w:left w:w="105" w:type="dxa"/>
              <w:right w:w="105" w:type="dxa"/>
            </w:tcMar>
          </w:tcPr>
          <w:p w14:paraId="1A8928AD"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top w:val="single" w:sz="12" w:space="0" w:color="auto"/>
            </w:tcBorders>
            <w:tcMar>
              <w:left w:w="105" w:type="dxa"/>
              <w:right w:w="105" w:type="dxa"/>
            </w:tcMar>
          </w:tcPr>
          <w:p w14:paraId="1AEA2388"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After each round, SMEs were presented with a summary of open-text themes, iterations and frequencies of consensus.</w:t>
            </w:r>
          </w:p>
        </w:tc>
      </w:tr>
      <w:tr w:rsidR="00161602" w14:paraId="67F5B58F" w14:textId="77777777" w:rsidTr="00194BBD">
        <w:trPr>
          <w:trHeight w:val="300"/>
        </w:trPr>
        <w:tc>
          <w:tcPr>
            <w:tcW w:w="1140" w:type="dxa"/>
            <w:vMerge/>
            <w:vAlign w:val="center"/>
          </w:tcPr>
          <w:p w14:paraId="7AC60409" w14:textId="77777777" w:rsidR="00161602" w:rsidRDefault="00161602" w:rsidP="00194BBD"/>
        </w:tc>
        <w:tc>
          <w:tcPr>
            <w:tcW w:w="1320" w:type="dxa"/>
            <w:vMerge/>
            <w:vAlign w:val="center"/>
          </w:tcPr>
          <w:p w14:paraId="1995D03F" w14:textId="77777777" w:rsidR="00161602" w:rsidRDefault="00161602" w:rsidP="00194BBD"/>
        </w:tc>
        <w:tc>
          <w:tcPr>
            <w:tcW w:w="600" w:type="dxa"/>
            <w:tcMar>
              <w:left w:w="105" w:type="dxa"/>
              <w:right w:w="105" w:type="dxa"/>
            </w:tcMar>
            <w:vAlign w:val="center"/>
          </w:tcPr>
          <w:p w14:paraId="2362C7D9"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25</w:t>
            </w:r>
          </w:p>
        </w:tc>
        <w:tc>
          <w:tcPr>
            <w:tcW w:w="2820" w:type="dxa"/>
            <w:tcMar>
              <w:left w:w="105" w:type="dxa"/>
              <w:right w:w="105" w:type="dxa"/>
            </w:tcMar>
            <w:vAlign w:val="center"/>
          </w:tcPr>
          <w:p w14:paraId="1F9983D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on how the results of the previous Delphi round were fed back to the experts surveyed (e.g., via frequencies, mean values, measures of dispersion, listing of comments)</w:t>
            </w:r>
          </w:p>
        </w:tc>
        <w:tc>
          <w:tcPr>
            <w:tcW w:w="1140" w:type="dxa"/>
            <w:tcMar>
              <w:left w:w="105" w:type="dxa"/>
              <w:right w:w="105" w:type="dxa"/>
            </w:tcMar>
          </w:tcPr>
          <w:p w14:paraId="5F635E77"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Mar>
              <w:left w:w="105" w:type="dxa"/>
              <w:right w:w="105" w:type="dxa"/>
            </w:tcMar>
          </w:tcPr>
          <w:p w14:paraId="022BDE24"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SMEs were provided a summary with a description of the percentage of items which reached quantitative consensus, a description of themes constructed based on qualitative feedback and the number of iterations, additions and removed items.</w:t>
            </w:r>
          </w:p>
        </w:tc>
      </w:tr>
      <w:tr w:rsidR="00161602" w14:paraId="5F32AE6E" w14:textId="77777777" w:rsidTr="00194BBD">
        <w:trPr>
          <w:trHeight w:val="300"/>
        </w:trPr>
        <w:tc>
          <w:tcPr>
            <w:tcW w:w="1140" w:type="dxa"/>
            <w:vMerge/>
            <w:vAlign w:val="center"/>
          </w:tcPr>
          <w:p w14:paraId="58432EC7" w14:textId="77777777" w:rsidR="00161602" w:rsidRDefault="00161602" w:rsidP="00194BBD"/>
        </w:tc>
        <w:tc>
          <w:tcPr>
            <w:tcW w:w="1320" w:type="dxa"/>
            <w:vMerge/>
            <w:vAlign w:val="center"/>
          </w:tcPr>
          <w:p w14:paraId="2466747E" w14:textId="77777777" w:rsidR="00161602" w:rsidRDefault="00161602" w:rsidP="00194BBD"/>
        </w:tc>
        <w:tc>
          <w:tcPr>
            <w:tcW w:w="600" w:type="dxa"/>
            <w:tcMar>
              <w:left w:w="105" w:type="dxa"/>
              <w:right w:w="105" w:type="dxa"/>
            </w:tcMar>
            <w:vAlign w:val="center"/>
          </w:tcPr>
          <w:p w14:paraId="098FC458"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26</w:t>
            </w:r>
          </w:p>
        </w:tc>
        <w:tc>
          <w:tcPr>
            <w:tcW w:w="2820" w:type="dxa"/>
            <w:tcBorders>
              <w:bottom w:val="single" w:sz="6" w:space="0" w:color="auto"/>
            </w:tcBorders>
            <w:tcMar>
              <w:left w:w="105" w:type="dxa"/>
              <w:right w:w="105" w:type="dxa"/>
            </w:tcMar>
            <w:vAlign w:val="center"/>
          </w:tcPr>
          <w:p w14:paraId="6B6C0AC7"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on whether feedback was differentiated by specific groups (e.g., by field of expertise, institutional affiliation)</w:t>
            </w:r>
          </w:p>
        </w:tc>
        <w:tc>
          <w:tcPr>
            <w:tcW w:w="1140" w:type="dxa"/>
            <w:tcBorders>
              <w:bottom w:val="single" w:sz="6" w:space="0" w:color="auto"/>
            </w:tcBorders>
            <w:tcMar>
              <w:left w:w="105" w:type="dxa"/>
              <w:right w:w="105" w:type="dxa"/>
            </w:tcMar>
          </w:tcPr>
          <w:p w14:paraId="2AE677F2"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bottom w:val="single" w:sz="6" w:space="0" w:color="auto"/>
            </w:tcBorders>
            <w:tcMar>
              <w:left w:w="105" w:type="dxa"/>
              <w:right w:w="105" w:type="dxa"/>
            </w:tcMar>
          </w:tcPr>
          <w:p w14:paraId="669437EF" w14:textId="77777777" w:rsidR="00161602" w:rsidRDefault="00161602" w:rsidP="00194BBD">
            <w:pPr>
              <w:keepLines/>
              <w:rPr>
                <w:rFonts w:ascii="Calibri" w:eastAsia="Calibri" w:hAnsi="Calibri" w:cs="Calibri"/>
                <w:color w:val="000000" w:themeColor="text1"/>
                <w:sz w:val="20"/>
                <w:szCs w:val="20"/>
              </w:rPr>
            </w:pPr>
            <w:r w:rsidRPr="2F253C5C">
              <w:rPr>
                <w:rFonts w:ascii="Calibri" w:eastAsia="Calibri" w:hAnsi="Calibri" w:cs="Calibri"/>
                <w:color w:val="000000" w:themeColor="text1"/>
                <w:sz w:val="20"/>
                <w:szCs w:val="20"/>
              </w:rPr>
              <w:t>The feedback was not differentiated by group.</w:t>
            </w:r>
          </w:p>
        </w:tc>
      </w:tr>
      <w:tr w:rsidR="00161602" w14:paraId="2761425B" w14:textId="77777777" w:rsidTr="00194BBD">
        <w:trPr>
          <w:trHeight w:val="300"/>
        </w:trPr>
        <w:tc>
          <w:tcPr>
            <w:tcW w:w="1140" w:type="dxa"/>
            <w:vMerge/>
            <w:vAlign w:val="center"/>
          </w:tcPr>
          <w:p w14:paraId="365A8D4D" w14:textId="77777777" w:rsidR="00161602" w:rsidRDefault="00161602" w:rsidP="00194BBD"/>
        </w:tc>
        <w:tc>
          <w:tcPr>
            <w:tcW w:w="1320" w:type="dxa"/>
            <w:vMerge/>
            <w:vAlign w:val="center"/>
          </w:tcPr>
          <w:p w14:paraId="4AEB868F" w14:textId="77777777" w:rsidR="00161602" w:rsidRDefault="00161602" w:rsidP="00194BBD"/>
        </w:tc>
        <w:tc>
          <w:tcPr>
            <w:tcW w:w="600" w:type="dxa"/>
            <w:tcBorders>
              <w:top w:val="single" w:sz="6" w:space="0" w:color="auto"/>
            </w:tcBorders>
            <w:tcMar>
              <w:left w:w="105" w:type="dxa"/>
              <w:right w:w="105" w:type="dxa"/>
            </w:tcMar>
            <w:vAlign w:val="center"/>
          </w:tcPr>
          <w:p w14:paraId="4895EFA5"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27</w:t>
            </w:r>
          </w:p>
        </w:tc>
        <w:tc>
          <w:tcPr>
            <w:tcW w:w="2820" w:type="dxa"/>
            <w:tcBorders>
              <w:bottom w:val="single" w:sz="12" w:space="0" w:color="auto"/>
            </w:tcBorders>
            <w:tcMar>
              <w:left w:w="105" w:type="dxa"/>
              <w:right w:w="105" w:type="dxa"/>
            </w:tcMar>
            <w:vAlign w:val="center"/>
          </w:tcPr>
          <w:p w14:paraId="3B1762A9"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about how dissent and unclear results were handled</w:t>
            </w:r>
          </w:p>
        </w:tc>
        <w:tc>
          <w:tcPr>
            <w:tcW w:w="1140" w:type="dxa"/>
            <w:tcBorders>
              <w:bottom w:val="single" w:sz="12" w:space="0" w:color="auto"/>
            </w:tcBorders>
            <w:tcMar>
              <w:left w:w="105" w:type="dxa"/>
              <w:right w:w="105" w:type="dxa"/>
            </w:tcMar>
          </w:tcPr>
          <w:p w14:paraId="0B30BF7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bottom w:val="single" w:sz="12" w:space="0" w:color="auto"/>
            </w:tcBorders>
            <w:tcMar>
              <w:left w:w="105" w:type="dxa"/>
              <w:right w:w="105" w:type="dxa"/>
            </w:tcMar>
          </w:tcPr>
          <w:p w14:paraId="682D27EB" w14:textId="77777777" w:rsidR="00161602" w:rsidRDefault="00161602" w:rsidP="00194BBD">
            <w:pPr>
              <w:rPr>
                <w:rFonts w:ascii="Calibri" w:eastAsia="Calibri" w:hAnsi="Calibri" w:cs="Calibri"/>
                <w:color w:val="000000" w:themeColor="text1"/>
                <w:sz w:val="20"/>
                <w:szCs w:val="20"/>
              </w:rPr>
            </w:pPr>
            <w:r w:rsidRPr="38529A3E">
              <w:rPr>
                <w:rFonts w:ascii="Calibri" w:eastAsia="Calibri" w:hAnsi="Calibri" w:cs="Calibri"/>
                <w:color w:val="000000" w:themeColor="text1"/>
                <w:sz w:val="20"/>
                <w:szCs w:val="20"/>
              </w:rPr>
              <w:t>Dissenting or conflicting feedback was resolved through discussion resulting in the iteration, removal and addition of items.</w:t>
            </w:r>
          </w:p>
        </w:tc>
      </w:tr>
      <w:tr w:rsidR="00161602" w14:paraId="74C1B52B" w14:textId="77777777" w:rsidTr="00194BBD">
        <w:trPr>
          <w:trHeight w:val="300"/>
        </w:trPr>
        <w:tc>
          <w:tcPr>
            <w:tcW w:w="1140" w:type="dxa"/>
            <w:vMerge/>
            <w:vAlign w:val="center"/>
          </w:tcPr>
          <w:p w14:paraId="593B6AAF" w14:textId="77777777" w:rsidR="00161602" w:rsidRDefault="00161602" w:rsidP="00194BBD"/>
        </w:tc>
        <w:tc>
          <w:tcPr>
            <w:tcW w:w="1320" w:type="dxa"/>
            <w:vMerge w:val="restart"/>
            <w:tcMar>
              <w:left w:w="105" w:type="dxa"/>
              <w:right w:w="105" w:type="dxa"/>
            </w:tcMar>
            <w:vAlign w:val="center"/>
          </w:tcPr>
          <w:p w14:paraId="57789C4E"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Data analysis</w:t>
            </w:r>
          </w:p>
        </w:tc>
        <w:tc>
          <w:tcPr>
            <w:tcW w:w="600" w:type="dxa"/>
            <w:tcMar>
              <w:left w:w="105" w:type="dxa"/>
              <w:right w:w="105" w:type="dxa"/>
            </w:tcMar>
            <w:vAlign w:val="center"/>
          </w:tcPr>
          <w:p w14:paraId="49114948"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28</w:t>
            </w:r>
          </w:p>
        </w:tc>
        <w:tc>
          <w:tcPr>
            <w:tcW w:w="2820" w:type="dxa"/>
            <w:tcBorders>
              <w:bottom w:val="single" w:sz="6" w:space="0" w:color="auto"/>
            </w:tcBorders>
            <w:tcMar>
              <w:left w:w="105" w:type="dxa"/>
              <w:right w:w="105" w:type="dxa"/>
            </w:tcMar>
            <w:vAlign w:val="center"/>
          </w:tcPr>
          <w:p w14:paraId="37352D0B"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Disclosure of the quantitative and qualitative analytical strategy</w:t>
            </w:r>
          </w:p>
        </w:tc>
        <w:tc>
          <w:tcPr>
            <w:tcW w:w="1140" w:type="dxa"/>
            <w:tcBorders>
              <w:bottom w:val="single" w:sz="6" w:space="0" w:color="auto"/>
            </w:tcBorders>
            <w:tcMar>
              <w:left w:w="105" w:type="dxa"/>
              <w:right w:w="105" w:type="dxa"/>
            </w:tcMar>
          </w:tcPr>
          <w:p w14:paraId="0E0DC954"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bottom w:val="single" w:sz="6" w:space="0" w:color="auto"/>
            </w:tcBorders>
            <w:tcMar>
              <w:left w:w="105" w:type="dxa"/>
              <w:right w:w="105" w:type="dxa"/>
            </w:tcMar>
          </w:tcPr>
          <w:p w14:paraId="41F1562F" w14:textId="77777777" w:rsidR="00161602" w:rsidRDefault="00161602" w:rsidP="00194BBD">
            <w:pPr>
              <w:keepLines/>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 competency was defined as relevant if its median score was greater than or equal to three with &gt;80% agreement and irrelevant if the median score was less than or equal to two with &gt;80% agreement.</w:t>
            </w:r>
          </w:p>
          <w:p w14:paraId="62842B87" w14:textId="77777777" w:rsidR="00161602" w:rsidRDefault="00161602" w:rsidP="00194BBD">
            <w:pPr>
              <w:keepLines/>
            </w:pPr>
            <w:r w:rsidRPr="02ABB736">
              <w:rPr>
                <w:rFonts w:ascii="Calibri" w:eastAsia="Calibri" w:hAnsi="Calibri" w:cs="Calibri"/>
                <w:color w:val="000000" w:themeColor="text1"/>
                <w:sz w:val="20"/>
                <w:szCs w:val="20"/>
              </w:rPr>
              <w:t xml:space="preserve"> </w:t>
            </w:r>
          </w:p>
          <w:p w14:paraId="0386CDD0" w14:textId="77777777" w:rsidR="00161602" w:rsidRDefault="00161602" w:rsidP="00194BBD">
            <w:pPr>
              <w:keepLines/>
            </w:pPr>
            <w:r w:rsidRPr="38529A3E">
              <w:rPr>
                <w:rFonts w:ascii="Calibri" w:eastAsia="Calibri" w:hAnsi="Calibri" w:cs="Calibri"/>
                <w:color w:val="000000" w:themeColor="text1"/>
                <w:sz w:val="20"/>
                <w:szCs w:val="20"/>
              </w:rPr>
              <w:t xml:space="preserve">Open-text responses were thematically </w:t>
            </w:r>
            <w:proofErr w:type="spellStart"/>
            <w:r w:rsidRPr="38529A3E">
              <w:rPr>
                <w:rFonts w:ascii="Calibri" w:eastAsia="Calibri" w:hAnsi="Calibri" w:cs="Calibri"/>
                <w:color w:val="000000" w:themeColor="text1"/>
                <w:sz w:val="20"/>
                <w:szCs w:val="20"/>
              </w:rPr>
              <w:t>analysed</w:t>
            </w:r>
            <w:proofErr w:type="spellEnd"/>
            <w:r w:rsidRPr="38529A3E">
              <w:rPr>
                <w:rFonts w:ascii="Calibri" w:eastAsia="Calibri" w:hAnsi="Calibri" w:cs="Calibri"/>
                <w:color w:val="000000" w:themeColor="text1"/>
                <w:sz w:val="20"/>
                <w:szCs w:val="20"/>
              </w:rPr>
              <w:t xml:space="preserve"> by two authors (AF and FK). These analyses were reviewed to determine what, if any, iterations were required before the competencies were presented in the subsequent round.</w:t>
            </w:r>
          </w:p>
          <w:p w14:paraId="65924A06" w14:textId="77777777" w:rsidR="00161602" w:rsidRDefault="00161602" w:rsidP="00194BBD">
            <w:pPr>
              <w:keepLines/>
              <w:rPr>
                <w:rFonts w:ascii="Calibri" w:eastAsia="Calibri" w:hAnsi="Calibri" w:cs="Calibri"/>
                <w:color w:val="000000" w:themeColor="text1"/>
                <w:sz w:val="20"/>
                <w:szCs w:val="20"/>
              </w:rPr>
            </w:pPr>
          </w:p>
          <w:p w14:paraId="382EC17D" w14:textId="77777777" w:rsidR="00161602" w:rsidRDefault="00161602" w:rsidP="00194BBD">
            <w:pPr>
              <w:keepLines/>
              <w:rPr>
                <w:rFonts w:ascii="Calibri" w:eastAsia="Calibri" w:hAnsi="Calibri" w:cs="Calibri"/>
                <w:color w:val="000000" w:themeColor="text1"/>
                <w:sz w:val="20"/>
                <w:szCs w:val="20"/>
              </w:rPr>
            </w:pPr>
          </w:p>
        </w:tc>
      </w:tr>
      <w:tr w:rsidR="00161602" w14:paraId="4B9F2790" w14:textId="77777777" w:rsidTr="00194BBD">
        <w:trPr>
          <w:trHeight w:val="300"/>
        </w:trPr>
        <w:tc>
          <w:tcPr>
            <w:tcW w:w="1140" w:type="dxa"/>
            <w:vMerge/>
            <w:vAlign w:val="center"/>
          </w:tcPr>
          <w:p w14:paraId="46502DE1" w14:textId="77777777" w:rsidR="00161602" w:rsidRDefault="00161602" w:rsidP="00194BBD"/>
        </w:tc>
        <w:tc>
          <w:tcPr>
            <w:tcW w:w="1320" w:type="dxa"/>
            <w:vMerge/>
            <w:vAlign w:val="center"/>
          </w:tcPr>
          <w:p w14:paraId="0CFCE2F0" w14:textId="77777777" w:rsidR="00161602" w:rsidRDefault="00161602" w:rsidP="00194BBD"/>
        </w:tc>
        <w:tc>
          <w:tcPr>
            <w:tcW w:w="600" w:type="dxa"/>
            <w:tcMar>
              <w:left w:w="105" w:type="dxa"/>
              <w:right w:w="105" w:type="dxa"/>
            </w:tcMar>
            <w:vAlign w:val="center"/>
          </w:tcPr>
          <w:p w14:paraId="5C9ACEA1"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29</w:t>
            </w:r>
          </w:p>
        </w:tc>
        <w:tc>
          <w:tcPr>
            <w:tcW w:w="2820" w:type="dxa"/>
            <w:tcBorders>
              <w:bottom w:val="single" w:sz="6" w:space="0" w:color="auto"/>
            </w:tcBorders>
            <w:tcMar>
              <w:left w:w="105" w:type="dxa"/>
              <w:right w:w="105" w:type="dxa"/>
            </w:tcMar>
            <w:vAlign w:val="center"/>
          </w:tcPr>
          <w:p w14:paraId="39F5CE3B"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Definition and measurement of consensus</w:t>
            </w:r>
          </w:p>
        </w:tc>
        <w:tc>
          <w:tcPr>
            <w:tcW w:w="1140" w:type="dxa"/>
            <w:tcBorders>
              <w:bottom w:val="single" w:sz="6" w:space="0" w:color="auto"/>
            </w:tcBorders>
            <w:tcMar>
              <w:left w:w="105" w:type="dxa"/>
              <w:right w:w="105" w:type="dxa"/>
            </w:tcMar>
          </w:tcPr>
          <w:p w14:paraId="25F57BCF"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bottom w:val="single" w:sz="6" w:space="0" w:color="auto"/>
            </w:tcBorders>
            <w:tcMar>
              <w:left w:w="105" w:type="dxa"/>
              <w:right w:w="105" w:type="dxa"/>
            </w:tcMar>
          </w:tcPr>
          <w:p w14:paraId="559B8DE3" w14:textId="77777777" w:rsidR="00161602" w:rsidRDefault="00161602" w:rsidP="00194BBD">
            <w:pPr>
              <w:keepLines/>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A competency was defined as relevant if its median score was greater than or equal to three with &gt;80% agreement and irrelevant if the median score was less than or equal to two with &gt;80% agreement.</w:t>
            </w:r>
          </w:p>
        </w:tc>
      </w:tr>
      <w:tr w:rsidR="00161602" w14:paraId="6B77BD1E" w14:textId="77777777" w:rsidTr="00194BBD">
        <w:trPr>
          <w:trHeight w:val="300"/>
        </w:trPr>
        <w:tc>
          <w:tcPr>
            <w:tcW w:w="1140" w:type="dxa"/>
            <w:vMerge/>
            <w:vAlign w:val="center"/>
          </w:tcPr>
          <w:p w14:paraId="33BDA0F2" w14:textId="77777777" w:rsidR="00161602" w:rsidRDefault="00161602" w:rsidP="00194BBD"/>
        </w:tc>
        <w:tc>
          <w:tcPr>
            <w:tcW w:w="1320" w:type="dxa"/>
            <w:vMerge/>
            <w:vAlign w:val="center"/>
          </w:tcPr>
          <w:p w14:paraId="0CD43165" w14:textId="77777777" w:rsidR="00161602" w:rsidRDefault="00161602" w:rsidP="00194BBD"/>
        </w:tc>
        <w:tc>
          <w:tcPr>
            <w:tcW w:w="600" w:type="dxa"/>
            <w:tcMar>
              <w:left w:w="105" w:type="dxa"/>
              <w:right w:w="105" w:type="dxa"/>
            </w:tcMar>
            <w:vAlign w:val="center"/>
          </w:tcPr>
          <w:p w14:paraId="43779C20"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30</w:t>
            </w:r>
          </w:p>
        </w:tc>
        <w:tc>
          <w:tcPr>
            <w:tcW w:w="2820" w:type="dxa"/>
            <w:tcBorders>
              <w:bottom w:val="single" w:sz="12" w:space="0" w:color="auto"/>
            </w:tcBorders>
            <w:tcMar>
              <w:left w:w="105" w:type="dxa"/>
              <w:right w:w="105" w:type="dxa"/>
            </w:tcMar>
            <w:vAlign w:val="center"/>
          </w:tcPr>
          <w:p w14:paraId="5EAD4673"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Information on group-specific analysis or weighting of experts (e.g., theory vs. practice, discipline-specific analysis)</w:t>
            </w:r>
          </w:p>
        </w:tc>
        <w:tc>
          <w:tcPr>
            <w:tcW w:w="1140" w:type="dxa"/>
            <w:tcBorders>
              <w:bottom w:val="single" w:sz="12" w:space="0" w:color="auto"/>
            </w:tcBorders>
            <w:tcMar>
              <w:left w:w="105" w:type="dxa"/>
              <w:right w:w="105" w:type="dxa"/>
            </w:tcMar>
          </w:tcPr>
          <w:p w14:paraId="387486EA"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bottom w:val="single" w:sz="12" w:space="0" w:color="auto"/>
            </w:tcBorders>
            <w:tcMar>
              <w:left w:w="105" w:type="dxa"/>
              <w:right w:w="105" w:type="dxa"/>
            </w:tcMar>
          </w:tcPr>
          <w:p w14:paraId="69689061" w14:textId="77777777" w:rsidR="00161602" w:rsidRDefault="00161602" w:rsidP="00194BBD">
            <w:pPr>
              <w:keepLines/>
              <w:rPr>
                <w:rFonts w:ascii="Calibri" w:eastAsia="Calibri" w:hAnsi="Calibri" w:cs="Calibri"/>
                <w:color w:val="000000" w:themeColor="text1"/>
                <w:sz w:val="20"/>
                <w:szCs w:val="20"/>
              </w:rPr>
            </w:pPr>
            <w:r w:rsidRPr="2F253C5C">
              <w:rPr>
                <w:rFonts w:ascii="Calibri" w:eastAsia="Calibri" w:hAnsi="Calibri" w:cs="Calibri"/>
                <w:color w:val="000000" w:themeColor="text1"/>
                <w:sz w:val="20"/>
                <w:szCs w:val="20"/>
              </w:rPr>
              <w:t>The feedback was not differentiated by group.</w:t>
            </w:r>
          </w:p>
        </w:tc>
      </w:tr>
      <w:tr w:rsidR="00161602" w14:paraId="3A65CFD2" w14:textId="77777777" w:rsidTr="00194BBD">
        <w:trPr>
          <w:trHeight w:val="300"/>
        </w:trPr>
        <w:tc>
          <w:tcPr>
            <w:tcW w:w="1140" w:type="dxa"/>
            <w:vMerge w:val="restart"/>
            <w:tcMar>
              <w:left w:w="105" w:type="dxa"/>
              <w:right w:w="105" w:type="dxa"/>
            </w:tcMar>
            <w:vAlign w:val="center"/>
          </w:tcPr>
          <w:p w14:paraId="6B9F069B"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 xml:space="preserve">IV </w:t>
            </w:r>
          </w:p>
          <w:p w14:paraId="4ECD58ED"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Results</w:t>
            </w:r>
          </w:p>
        </w:tc>
        <w:tc>
          <w:tcPr>
            <w:tcW w:w="1320" w:type="dxa"/>
            <w:vMerge w:val="restart"/>
            <w:tcMar>
              <w:left w:w="105" w:type="dxa"/>
              <w:right w:w="105" w:type="dxa"/>
            </w:tcMar>
            <w:vAlign w:val="center"/>
          </w:tcPr>
          <w:p w14:paraId="36D9563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Delphi process</w:t>
            </w:r>
          </w:p>
        </w:tc>
        <w:tc>
          <w:tcPr>
            <w:tcW w:w="600" w:type="dxa"/>
            <w:tcMar>
              <w:left w:w="105" w:type="dxa"/>
              <w:right w:w="105" w:type="dxa"/>
            </w:tcMar>
            <w:vAlign w:val="center"/>
          </w:tcPr>
          <w:p w14:paraId="4ACE295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31</w:t>
            </w:r>
          </w:p>
        </w:tc>
        <w:tc>
          <w:tcPr>
            <w:tcW w:w="2820" w:type="dxa"/>
            <w:tcBorders>
              <w:top w:val="single" w:sz="12" w:space="0" w:color="auto"/>
            </w:tcBorders>
            <w:tcMar>
              <w:left w:w="105" w:type="dxa"/>
              <w:right w:w="105" w:type="dxa"/>
            </w:tcMar>
            <w:vAlign w:val="center"/>
          </w:tcPr>
          <w:p w14:paraId="6214DDD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Illustration of the Delphi process (e.g., in a flow chart)</w:t>
            </w:r>
          </w:p>
        </w:tc>
        <w:tc>
          <w:tcPr>
            <w:tcW w:w="1140" w:type="dxa"/>
            <w:tcBorders>
              <w:top w:val="single" w:sz="12" w:space="0" w:color="auto"/>
            </w:tcBorders>
            <w:tcMar>
              <w:left w:w="105" w:type="dxa"/>
              <w:right w:w="105" w:type="dxa"/>
            </w:tcMar>
          </w:tcPr>
          <w:p w14:paraId="5590AA19"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11</w:t>
            </w:r>
          </w:p>
        </w:tc>
        <w:tc>
          <w:tcPr>
            <w:tcW w:w="3405" w:type="dxa"/>
            <w:tcBorders>
              <w:top w:val="single" w:sz="12" w:space="0" w:color="auto"/>
            </w:tcBorders>
            <w:tcMar>
              <w:left w:w="105" w:type="dxa"/>
              <w:right w:w="105" w:type="dxa"/>
            </w:tcMar>
          </w:tcPr>
          <w:p w14:paraId="29DA651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A summary of the process is illustrated in a flow chart (Figure 1).</w:t>
            </w:r>
          </w:p>
        </w:tc>
      </w:tr>
      <w:tr w:rsidR="00161602" w14:paraId="21C7778E" w14:textId="77777777" w:rsidTr="00194BBD">
        <w:trPr>
          <w:trHeight w:val="300"/>
        </w:trPr>
        <w:tc>
          <w:tcPr>
            <w:tcW w:w="1140" w:type="dxa"/>
            <w:vMerge/>
            <w:vAlign w:val="center"/>
          </w:tcPr>
          <w:p w14:paraId="6EE26D4C" w14:textId="77777777" w:rsidR="00161602" w:rsidRDefault="00161602" w:rsidP="00194BBD"/>
        </w:tc>
        <w:tc>
          <w:tcPr>
            <w:tcW w:w="1320" w:type="dxa"/>
            <w:vMerge/>
            <w:vAlign w:val="center"/>
          </w:tcPr>
          <w:p w14:paraId="7F87FDC8" w14:textId="77777777" w:rsidR="00161602" w:rsidRDefault="00161602" w:rsidP="00194BBD"/>
        </w:tc>
        <w:tc>
          <w:tcPr>
            <w:tcW w:w="600" w:type="dxa"/>
            <w:tcMar>
              <w:left w:w="105" w:type="dxa"/>
              <w:right w:w="105" w:type="dxa"/>
            </w:tcMar>
            <w:vAlign w:val="center"/>
          </w:tcPr>
          <w:p w14:paraId="1F1FE78E"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32</w:t>
            </w:r>
          </w:p>
        </w:tc>
        <w:tc>
          <w:tcPr>
            <w:tcW w:w="2820" w:type="dxa"/>
            <w:tcBorders>
              <w:bottom w:val="single" w:sz="6" w:space="0" w:color="auto"/>
            </w:tcBorders>
            <w:tcMar>
              <w:left w:w="105" w:type="dxa"/>
              <w:right w:w="105" w:type="dxa"/>
            </w:tcMar>
            <w:vAlign w:val="center"/>
          </w:tcPr>
          <w:p w14:paraId="2602FCD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 xml:space="preserve">Information about special aspects during the Delphi process (e.g., deviations from the intended approach with justification) </w:t>
            </w:r>
          </w:p>
        </w:tc>
        <w:tc>
          <w:tcPr>
            <w:tcW w:w="1140" w:type="dxa"/>
            <w:tcBorders>
              <w:bottom w:val="single" w:sz="6" w:space="0" w:color="auto"/>
            </w:tcBorders>
            <w:tcMar>
              <w:left w:w="105" w:type="dxa"/>
              <w:right w:w="105" w:type="dxa"/>
            </w:tcMar>
          </w:tcPr>
          <w:p w14:paraId="5BAA9E2B"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8</w:t>
            </w:r>
          </w:p>
        </w:tc>
        <w:tc>
          <w:tcPr>
            <w:tcW w:w="3405" w:type="dxa"/>
            <w:tcBorders>
              <w:bottom w:val="single" w:sz="6" w:space="0" w:color="auto"/>
            </w:tcBorders>
            <w:tcMar>
              <w:left w:w="105" w:type="dxa"/>
              <w:right w:w="105" w:type="dxa"/>
            </w:tcMar>
          </w:tcPr>
          <w:p w14:paraId="3B82BE33"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There were no deviations from this intended approach.</w:t>
            </w:r>
          </w:p>
        </w:tc>
      </w:tr>
      <w:tr w:rsidR="00161602" w14:paraId="0A03B197" w14:textId="77777777" w:rsidTr="00194BBD">
        <w:trPr>
          <w:trHeight w:val="300"/>
        </w:trPr>
        <w:tc>
          <w:tcPr>
            <w:tcW w:w="1140" w:type="dxa"/>
            <w:vMerge/>
            <w:vAlign w:val="center"/>
          </w:tcPr>
          <w:p w14:paraId="7C4251EF" w14:textId="77777777" w:rsidR="00161602" w:rsidRDefault="00161602" w:rsidP="00194BBD"/>
        </w:tc>
        <w:tc>
          <w:tcPr>
            <w:tcW w:w="1320" w:type="dxa"/>
            <w:vMerge/>
            <w:vAlign w:val="center"/>
          </w:tcPr>
          <w:p w14:paraId="174E2561" w14:textId="77777777" w:rsidR="00161602" w:rsidRDefault="00161602" w:rsidP="00194BBD"/>
        </w:tc>
        <w:tc>
          <w:tcPr>
            <w:tcW w:w="600" w:type="dxa"/>
            <w:tcMar>
              <w:left w:w="105" w:type="dxa"/>
              <w:right w:w="105" w:type="dxa"/>
            </w:tcMar>
            <w:vAlign w:val="center"/>
          </w:tcPr>
          <w:p w14:paraId="2BFCAEEA"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33</w:t>
            </w:r>
          </w:p>
        </w:tc>
        <w:tc>
          <w:tcPr>
            <w:tcW w:w="2820" w:type="dxa"/>
            <w:tcBorders>
              <w:bottom w:val="single" w:sz="12" w:space="0" w:color="auto"/>
            </w:tcBorders>
            <w:tcMar>
              <w:left w:w="105" w:type="dxa"/>
              <w:right w:w="105" w:type="dxa"/>
            </w:tcMar>
            <w:vAlign w:val="center"/>
          </w:tcPr>
          <w:p w14:paraId="17CF151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Number of experts per round (both invited and participating)</w:t>
            </w:r>
          </w:p>
        </w:tc>
        <w:tc>
          <w:tcPr>
            <w:tcW w:w="1140" w:type="dxa"/>
            <w:tcBorders>
              <w:bottom w:val="single" w:sz="12" w:space="0" w:color="auto"/>
            </w:tcBorders>
            <w:tcMar>
              <w:left w:w="105" w:type="dxa"/>
              <w:right w:w="105" w:type="dxa"/>
            </w:tcMar>
          </w:tcPr>
          <w:p w14:paraId="7E68AACE"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8,9</w:t>
            </w:r>
          </w:p>
        </w:tc>
        <w:tc>
          <w:tcPr>
            <w:tcW w:w="3405" w:type="dxa"/>
            <w:tcBorders>
              <w:bottom w:val="single" w:sz="12" w:space="0" w:color="auto"/>
            </w:tcBorders>
            <w:tcMar>
              <w:left w:w="105" w:type="dxa"/>
              <w:right w:w="105" w:type="dxa"/>
            </w:tcMar>
          </w:tcPr>
          <w:p w14:paraId="106D9B6C" w14:textId="77777777" w:rsidR="00161602" w:rsidRDefault="00161602" w:rsidP="00194BBD">
            <w:pPr>
              <w:jc w:val="both"/>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97 participants were invited to participate in the study. Of these, 44 completed responses were recorded in Round 1, with 11 undelivered invitations and 10 out-of-office messages received (57.9% response rate).</w:t>
            </w:r>
          </w:p>
          <w:p w14:paraId="57F03801" w14:textId="77777777" w:rsidR="00161602" w:rsidRDefault="00161602" w:rsidP="00194BBD">
            <w:pPr>
              <w:jc w:val="both"/>
              <w:rPr>
                <w:rFonts w:ascii="Calibri" w:eastAsia="Calibri" w:hAnsi="Calibri" w:cs="Calibri"/>
                <w:color w:val="000000" w:themeColor="text1"/>
                <w:sz w:val="20"/>
                <w:szCs w:val="20"/>
              </w:rPr>
            </w:pPr>
          </w:p>
          <w:p w14:paraId="35A159ED"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Each of the 44 participants who responded to Round 1 of the survey received an invitation to Round 2. Of these, 33 completed responses were recorded in Round 1, and 3 out-of-office messages were received (81.2% response rate).  </w:t>
            </w:r>
          </w:p>
        </w:tc>
      </w:tr>
      <w:tr w:rsidR="00161602" w14:paraId="19A7AAAD" w14:textId="77777777" w:rsidTr="00194BBD">
        <w:trPr>
          <w:trHeight w:val="300"/>
        </w:trPr>
        <w:tc>
          <w:tcPr>
            <w:tcW w:w="1140" w:type="dxa"/>
            <w:vMerge/>
            <w:vAlign w:val="center"/>
          </w:tcPr>
          <w:p w14:paraId="4AC0B530" w14:textId="77777777" w:rsidR="00161602" w:rsidRDefault="00161602" w:rsidP="00194BBD"/>
        </w:tc>
        <w:tc>
          <w:tcPr>
            <w:tcW w:w="1320" w:type="dxa"/>
            <w:tcMar>
              <w:left w:w="105" w:type="dxa"/>
              <w:right w:w="105" w:type="dxa"/>
            </w:tcMar>
            <w:vAlign w:val="center"/>
          </w:tcPr>
          <w:p w14:paraId="5DF3C947"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Results</w:t>
            </w:r>
          </w:p>
        </w:tc>
        <w:tc>
          <w:tcPr>
            <w:tcW w:w="600" w:type="dxa"/>
            <w:tcMar>
              <w:left w:w="105" w:type="dxa"/>
              <w:right w:w="105" w:type="dxa"/>
            </w:tcMar>
            <w:vAlign w:val="center"/>
          </w:tcPr>
          <w:p w14:paraId="6C7D96A3"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34</w:t>
            </w:r>
          </w:p>
        </w:tc>
        <w:tc>
          <w:tcPr>
            <w:tcW w:w="2820" w:type="dxa"/>
            <w:tcBorders>
              <w:top w:val="single" w:sz="12" w:space="0" w:color="auto"/>
            </w:tcBorders>
            <w:tcMar>
              <w:left w:w="105" w:type="dxa"/>
              <w:right w:w="105" w:type="dxa"/>
            </w:tcMar>
            <w:vAlign w:val="center"/>
          </w:tcPr>
          <w:p w14:paraId="2908CFF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Presentation of the results for each Delphi round and the final results</w:t>
            </w:r>
          </w:p>
        </w:tc>
        <w:tc>
          <w:tcPr>
            <w:tcW w:w="1140" w:type="dxa"/>
            <w:tcBorders>
              <w:top w:val="single" w:sz="12" w:space="0" w:color="auto"/>
            </w:tcBorders>
            <w:tcMar>
              <w:left w:w="105" w:type="dxa"/>
              <w:right w:w="105" w:type="dxa"/>
            </w:tcMar>
          </w:tcPr>
          <w:p w14:paraId="522028F3"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8-10</w:t>
            </w:r>
          </w:p>
        </w:tc>
        <w:tc>
          <w:tcPr>
            <w:tcW w:w="3405" w:type="dxa"/>
            <w:tcBorders>
              <w:top w:val="single" w:sz="12" w:space="0" w:color="auto"/>
            </w:tcBorders>
            <w:tcMar>
              <w:left w:w="105" w:type="dxa"/>
              <w:right w:w="105" w:type="dxa"/>
            </w:tcMar>
          </w:tcPr>
          <w:p w14:paraId="36CFDEC6"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42/42 items included in our Round 1 competency framework reached positive relevant quantitative consensus. </w:t>
            </w:r>
          </w:p>
          <w:p w14:paraId="5FA22C5E" w14:textId="77777777" w:rsidR="00161602" w:rsidRDefault="00161602" w:rsidP="00194BBD">
            <w:pPr>
              <w:rPr>
                <w:rFonts w:ascii="Calibri" w:eastAsia="Calibri" w:hAnsi="Calibri" w:cs="Calibri"/>
                <w:color w:val="000000" w:themeColor="text1"/>
                <w:sz w:val="20"/>
                <w:szCs w:val="20"/>
              </w:rPr>
            </w:pPr>
          </w:p>
          <w:p w14:paraId="6B8CF534" w14:textId="77777777" w:rsidR="00161602" w:rsidRDefault="00161602" w:rsidP="00194BBD">
            <w:pPr>
              <w:rPr>
                <w:rFonts w:ascii="Calibri" w:eastAsia="Calibri" w:hAnsi="Calibri" w:cs="Calibri"/>
                <w:color w:val="000000" w:themeColor="text1"/>
                <w:sz w:val="20"/>
                <w:szCs w:val="20"/>
              </w:rPr>
            </w:pPr>
            <w:r w:rsidRPr="02ABB736">
              <w:rPr>
                <w:rFonts w:ascii="Calibri" w:eastAsia="Calibri" w:hAnsi="Calibri" w:cs="Calibri"/>
                <w:color w:val="000000" w:themeColor="text1"/>
                <w:sz w:val="20"/>
                <w:szCs w:val="20"/>
              </w:rPr>
              <w:t xml:space="preserve">43/43 items included in our Round 2 competency framework reached positive relevant quantitative consensus.  </w:t>
            </w:r>
          </w:p>
        </w:tc>
      </w:tr>
      <w:tr w:rsidR="00161602" w14:paraId="480789EB" w14:textId="77777777" w:rsidTr="00194BBD">
        <w:trPr>
          <w:trHeight w:val="300"/>
        </w:trPr>
        <w:tc>
          <w:tcPr>
            <w:tcW w:w="1140" w:type="dxa"/>
            <w:vMerge w:val="restart"/>
            <w:tcMar>
              <w:left w:w="105" w:type="dxa"/>
              <w:right w:w="105" w:type="dxa"/>
            </w:tcMar>
            <w:vAlign w:val="center"/>
          </w:tcPr>
          <w:p w14:paraId="504B8025" w14:textId="77777777" w:rsidR="00161602" w:rsidRDefault="00161602" w:rsidP="00194BBD">
            <w:pPr>
              <w:jc w:val="center"/>
              <w:rPr>
                <w:rFonts w:ascii="Calibri" w:eastAsia="Calibri" w:hAnsi="Calibri" w:cs="Calibri"/>
                <w:color w:val="5B9BD5"/>
                <w:sz w:val="20"/>
                <w:szCs w:val="20"/>
              </w:rPr>
            </w:pPr>
            <w:r w:rsidRPr="3526D701">
              <w:rPr>
                <w:rFonts w:ascii="Calibri" w:eastAsia="Calibri" w:hAnsi="Calibri" w:cs="Calibri"/>
                <w:b/>
                <w:bCs/>
                <w:color w:val="5B9BD5"/>
                <w:sz w:val="20"/>
                <w:szCs w:val="20"/>
              </w:rPr>
              <w:t>V Discussion</w:t>
            </w:r>
          </w:p>
        </w:tc>
        <w:tc>
          <w:tcPr>
            <w:tcW w:w="1320" w:type="dxa"/>
            <w:vMerge w:val="restart"/>
            <w:tcMar>
              <w:left w:w="105" w:type="dxa"/>
              <w:right w:w="105" w:type="dxa"/>
            </w:tcMar>
            <w:vAlign w:val="center"/>
          </w:tcPr>
          <w:p w14:paraId="7B7FE859"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b/>
                <w:bCs/>
                <w:color w:val="000000" w:themeColor="text1"/>
                <w:sz w:val="20"/>
                <w:szCs w:val="20"/>
              </w:rPr>
              <w:t>Quality of findings</w:t>
            </w:r>
          </w:p>
        </w:tc>
        <w:tc>
          <w:tcPr>
            <w:tcW w:w="600" w:type="dxa"/>
            <w:tcMar>
              <w:left w:w="105" w:type="dxa"/>
              <w:right w:w="105" w:type="dxa"/>
            </w:tcMar>
            <w:vAlign w:val="center"/>
          </w:tcPr>
          <w:p w14:paraId="7501A786"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35</w:t>
            </w:r>
          </w:p>
        </w:tc>
        <w:tc>
          <w:tcPr>
            <w:tcW w:w="2820" w:type="dxa"/>
            <w:tcBorders>
              <w:top w:val="single" w:sz="12" w:space="0" w:color="auto"/>
            </w:tcBorders>
            <w:tcMar>
              <w:left w:w="105" w:type="dxa"/>
              <w:right w:w="105" w:type="dxa"/>
            </w:tcMar>
            <w:vAlign w:val="center"/>
          </w:tcPr>
          <w:p w14:paraId="5B84AFF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Highlighting the findings from the Delphi study</w:t>
            </w:r>
          </w:p>
        </w:tc>
        <w:tc>
          <w:tcPr>
            <w:tcW w:w="1140" w:type="dxa"/>
            <w:tcBorders>
              <w:top w:val="single" w:sz="12" w:space="0" w:color="auto"/>
            </w:tcBorders>
            <w:tcMar>
              <w:left w:w="105" w:type="dxa"/>
              <w:right w:w="105" w:type="dxa"/>
            </w:tcMar>
          </w:tcPr>
          <w:p w14:paraId="0C60AE45"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14</w:t>
            </w:r>
          </w:p>
        </w:tc>
        <w:tc>
          <w:tcPr>
            <w:tcW w:w="3405" w:type="dxa"/>
            <w:tcBorders>
              <w:top w:val="single" w:sz="12" w:space="0" w:color="auto"/>
            </w:tcBorders>
            <w:tcMar>
              <w:left w:w="105" w:type="dxa"/>
              <w:right w:w="105" w:type="dxa"/>
            </w:tcMar>
          </w:tcPr>
          <w:p w14:paraId="740A3E5E"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This study addressed the need for a competency framework to assist faculty preparation for IPE SIM. This framework provides a synthesis of research findings and expert opinions which provides guidelines of best practice for the design, implementation and facilitation of IPE SIM.  </w:t>
            </w:r>
          </w:p>
        </w:tc>
      </w:tr>
      <w:tr w:rsidR="00161602" w14:paraId="1020AC11" w14:textId="77777777" w:rsidTr="00194BBD">
        <w:trPr>
          <w:trHeight w:val="300"/>
        </w:trPr>
        <w:tc>
          <w:tcPr>
            <w:tcW w:w="1140" w:type="dxa"/>
            <w:vMerge/>
            <w:vAlign w:val="center"/>
          </w:tcPr>
          <w:p w14:paraId="6442DA41" w14:textId="77777777" w:rsidR="00161602" w:rsidRDefault="00161602" w:rsidP="00194BBD"/>
        </w:tc>
        <w:tc>
          <w:tcPr>
            <w:tcW w:w="1320" w:type="dxa"/>
            <w:vMerge/>
            <w:vAlign w:val="center"/>
          </w:tcPr>
          <w:p w14:paraId="73BBE04D" w14:textId="77777777" w:rsidR="00161602" w:rsidRDefault="00161602" w:rsidP="00194BBD"/>
        </w:tc>
        <w:tc>
          <w:tcPr>
            <w:tcW w:w="600" w:type="dxa"/>
            <w:tcMar>
              <w:left w:w="105" w:type="dxa"/>
              <w:right w:w="105" w:type="dxa"/>
            </w:tcMar>
            <w:vAlign w:val="center"/>
          </w:tcPr>
          <w:p w14:paraId="0998F15F"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36</w:t>
            </w:r>
          </w:p>
        </w:tc>
        <w:tc>
          <w:tcPr>
            <w:tcW w:w="2820" w:type="dxa"/>
            <w:tcBorders>
              <w:top w:val="single" w:sz="6" w:space="0" w:color="auto"/>
            </w:tcBorders>
            <w:tcMar>
              <w:left w:w="105" w:type="dxa"/>
              <w:right w:w="105" w:type="dxa"/>
            </w:tcMar>
            <w:vAlign w:val="center"/>
          </w:tcPr>
          <w:p w14:paraId="4B7085AE" w14:textId="77777777" w:rsidR="00161602" w:rsidRDefault="00161602" w:rsidP="00194BBD">
            <w:pPr>
              <w:keepLines/>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Validity of the results (e.g., transferability of the findings)</w:t>
            </w:r>
          </w:p>
        </w:tc>
        <w:tc>
          <w:tcPr>
            <w:tcW w:w="1140" w:type="dxa"/>
            <w:tcBorders>
              <w:top w:val="single" w:sz="6" w:space="0" w:color="auto"/>
            </w:tcBorders>
            <w:tcMar>
              <w:left w:w="105" w:type="dxa"/>
              <w:right w:w="105" w:type="dxa"/>
            </w:tcMar>
          </w:tcPr>
          <w:p w14:paraId="36C53895"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15</w:t>
            </w:r>
          </w:p>
        </w:tc>
        <w:tc>
          <w:tcPr>
            <w:tcW w:w="3405" w:type="dxa"/>
            <w:tcBorders>
              <w:top w:val="single" w:sz="6" w:space="0" w:color="auto"/>
            </w:tcBorders>
            <w:tcMar>
              <w:left w:w="105" w:type="dxa"/>
              <w:right w:w="105" w:type="dxa"/>
            </w:tcMar>
          </w:tcPr>
          <w:p w14:paraId="471873D6" w14:textId="77777777" w:rsidR="00161602" w:rsidRDefault="00161602" w:rsidP="00194BBD">
            <w:pPr>
              <w:keepLines/>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It is difficult to assess the </w:t>
            </w:r>
            <w:proofErr w:type="spellStart"/>
            <w:r w:rsidRPr="3CEDCF1F">
              <w:rPr>
                <w:rFonts w:ascii="Calibri" w:eastAsia="Calibri" w:hAnsi="Calibri" w:cs="Calibri"/>
                <w:color w:val="000000" w:themeColor="text1"/>
                <w:sz w:val="20"/>
                <w:szCs w:val="20"/>
              </w:rPr>
              <w:t>generalisability</w:t>
            </w:r>
            <w:proofErr w:type="spellEnd"/>
            <w:r w:rsidRPr="3CEDCF1F">
              <w:rPr>
                <w:rFonts w:ascii="Calibri" w:eastAsia="Calibri" w:hAnsi="Calibri" w:cs="Calibri"/>
                <w:color w:val="000000" w:themeColor="text1"/>
                <w:sz w:val="20"/>
                <w:szCs w:val="20"/>
              </w:rPr>
              <w:t xml:space="preserve"> of these findings, a common limitation with Delphi methods.</w:t>
            </w:r>
            <w:r w:rsidRPr="3CEDCF1F">
              <w:rPr>
                <w:rFonts w:ascii="Calibri" w:eastAsia="Calibri" w:hAnsi="Calibri" w:cs="Calibri"/>
                <w:color w:val="000000" w:themeColor="text1"/>
                <w:sz w:val="20"/>
                <w:szCs w:val="20"/>
                <w:vertAlign w:val="superscript"/>
              </w:rPr>
              <w:t>47</w:t>
            </w:r>
            <w:r w:rsidRPr="3CEDCF1F">
              <w:rPr>
                <w:rFonts w:ascii="Calibri" w:eastAsia="Calibri" w:hAnsi="Calibri" w:cs="Calibri"/>
                <w:color w:val="000000" w:themeColor="text1"/>
                <w:sz w:val="20"/>
                <w:szCs w:val="20"/>
              </w:rPr>
              <w:t xml:space="preserve"> The international panel of experts in IPE SIM helps with mitigating this issue, although a greater geographical spread would have further improved the  </w:t>
            </w:r>
            <w:proofErr w:type="spellStart"/>
            <w:r w:rsidRPr="3CEDCF1F">
              <w:rPr>
                <w:rFonts w:ascii="Calibri" w:eastAsia="Calibri" w:hAnsi="Calibri" w:cs="Calibri"/>
                <w:color w:val="000000" w:themeColor="text1"/>
                <w:sz w:val="20"/>
                <w:szCs w:val="20"/>
              </w:rPr>
              <w:t>generalisability</w:t>
            </w:r>
            <w:proofErr w:type="spellEnd"/>
            <w:r w:rsidRPr="3CEDCF1F">
              <w:rPr>
                <w:rFonts w:ascii="Calibri" w:eastAsia="Calibri" w:hAnsi="Calibri" w:cs="Calibri"/>
                <w:color w:val="000000" w:themeColor="text1"/>
                <w:sz w:val="20"/>
                <w:szCs w:val="20"/>
              </w:rPr>
              <w:t xml:space="preserve"> of the framework produced here.  </w:t>
            </w:r>
          </w:p>
        </w:tc>
      </w:tr>
      <w:tr w:rsidR="00161602" w14:paraId="68E70A51" w14:textId="77777777" w:rsidTr="00194BBD">
        <w:trPr>
          <w:trHeight w:val="300"/>
        </w:trPr>
        <w:tc>
          <w:tcPr>
            <w:tcW w:w="1140" w:type="dxa"/>
            <w:vMerge/>
            <w:vAlign w:val="center"/>
          </w:tcPr>
          <w:p w14:paraId="5075BB0D" w14:textId="77777777" w:rsidR="00161602" w:rsidRDefault="00161602" w:rsidP="00194BBD"/>
        </w:tc>
        <w:tc>
          <w:tcPr>
            <w:tcW w:w="1320" w:type="dxa"/>
            <w:vMerge/>
            <w:vAlign w:val="center"/>
          </w:tcPr>
          <w:p w14:paraId="4F95C860" w14:textId="77777777" w:rsidR="00161602" w:rsidRDefault="00161602" w:rsidP="00194BBD"/>
        </w:tc>
        <w:tc>
          <w:tcPr>
            <w:tcW w:w="600" w:type="dxa"/>
            <w:tcMar>
              <w:left w:w="105" w:type="dxa"/>
              <w:right w:w="105" w:type="dxa"/>
            </w:tcMar>
            <w:vAlign w:val="center"/>
          </w:tcPr>
          <w:p w14:paraId="4034DED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37</w:t>
            </w:r>
          </w:p>
        </w:tc>
        <w:tc>
          <w:tcPr>
            <w:tcW w:w="2820" w:type="dxa"/>
            <w:tcBorders>
              <w:top w:val="single" w:sz="6" w:space="0" w:color="auto"/>
            </w:tcBorders>
            <w:tcMar>
              <w:left w:w="105" w:type="dxa"/>
              <w:right w:w="105" w:type="dxa"/>
            </w:tcMar>
            <w:vAlign w:val="center"/>
          </w:tcPr>
          <w:p w14:paraId="4756DC3D"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Reliability of the results (e.g., split half, inter-rater reliability)</w:t>
            </w:r>
          </w:p>
        </w:tc>
        <w:tc>
          <w:tcPr>
            <w:tcW w:w="1140" w:type="dxa"/>
            <w:tcBorders>
              <w:top w:val="single" w:sz="6" w:space="0" w:color="auto"/>
            </w:tcBorders>
            <w:tcMar>
              <w:left w:w="105" w:type="dxa"/>
              <w:right w:w="105" w:type="dxa"/>
            </w:tcMar>
          </w:tcPr>
          <w:p w14:paraId="6A4BF815"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7</w:t>
            </w:r>
          </w:p>
        </w:tc>
        <w:tc>
          <w:tcPr>
            <w:tcW w:w="3405" w:type="dxa"/>
            <w:tcBorders>
              <w:top w:val="single" w:sz="6" w:space="0" w:color="auto"/>
            </w:tcBorders>
            <w:tcMar>
              <w:left w:w="105" w:type="dxa"/>
              <w:right w:w="105" w:type="dxa"/>
            </w:tcMar>
          </w:tcPr>
          <w:p w14:paraId="7F793B5B"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Open-text responses were thematically </w:t>
            </w:r>
            <w:proofErr w:type="spellStart"/>
            <w:r w:rsidRPr="3CEDCF1F">
              <w:rPr>
                <w:rFonts w:ascii="Calibri" w:eastAsia="Calibri" w:hAnsi="Calibri" w:cs="Calibri"/>
                <w:color w:val="000000" w:themeColor="text1"/>
                <w:sz w:val="20"/>
                <w:szCs w:val="20"/>
              </w:rPr>
              <w:t>analysed</w:t>
            </w:r>
            <w:proofErr w:type="spellEnd"/>
            <w:r w:rsidRPr="3CEDCF1F">
              <w:rPr>
                <w:rFonts w:ascii="Calibri" w:eastAsia="Calibri" w:hAnsi="Calibri" w:cs="Calibri"/>
                <w:color w:val="000000" w:themeColor="text1"/>
                <w:sz w:val="20"/>
                <w:szCs w:val="20"/>
              </w:rPr>
              <w:t xml:space="preserve"> by two authors (AF and FK).</w:t>
            </w:r>
          </w:p>
        </w:tc>
      </w:tr>
      <w:tr w:rsidR="00161602" w14:paraId="7B22AE74" w14:textId="77777777" w:rsidTr="00194BBD">
        <w:trPr>
          <w:trHeight w:val="300"/>
        </w:trPr>
        <w:tc>
          <w:tcPr>
            <w:tcW w:w="1140" w:type="dxa"/>
            <w:vMerge/>
            <w:vAlign w:val="center"/>
          </w:tcPr>
          <w:p w14:paraId="0283B3CD" w14:textId="77777777" w:rsidR="00161602" w:rsidRDefault="00161602" w:rsidP="00194BBD"/>
        </w:tc>
        <w:tc>
          <w:tcPr>
            <w:tcW w:w="1320" w:type="dxa"/>
            <w:vMerge/>
            <w:vAlign w:val="center"/>
          </w:tcPr>
          <w:p w14:paraId="119561F1" w14:textId="77777777" w:rsidR="00161602" w:rsidRDefault="00161602" w:rsidP="00194BBD"/>
        </w:tc>
        <w:tc>
          <w:tcPr>
            <w:tcW w:w="600" w:type="dxa"/>
            <w:tcMar>
              <w:left w:w="105" w:type="dxa"/>
              <w:right w:w="105" w:type="dxa"/>
            </w:tcMar>
            <w:vAlign w:val="center"/>
          </w:tcPr>
          <w:p w14:paraId="2ADB234F"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38</w:t>
            </w:r>
          </w:p>
        </w:tc>
        <w:tc>
          <w:tcPr>
            <w:tcW w:w="2820" w:type="dxa"/>
            <w:tcBorders>
              <w:bottom w:val="single" w:sz="12" w:space="0" w:color="auto"/>
            </w:tcBorders>
            <w:tcMar>
              <w:left w:w="105" w:type="dxa"/>
              <w:right w:w="105" w:type="dxa"/>
            </w:tcMar>
            <w:vAlign w:val="center"/>
          </w:tcPr>
          <w:p w14:paraId="33E6667E" w14:textId="77777777" w:rsidR="00161602" w:rsidRDefault="00161602" w:rsidP="00194BBD">
            <w:pPr>
              <w:rPr>
                <w:rFonts w:ascii="Calibri" w:eastAsia="Calibri" w:hAnsi="Calibri" w:cs="Calibri"/>
                <w:color w:val="000000" w:themeColor="text1"/>
                <w:sz w:val="20"/>
                <w:szCs w:val="20"/>
              </w:rPr>
            </w:pPr>
            <w:r w:rsidRPr="3526D701">
              <w:rPr>
                <w:rFonts w:ascii="Calibri" w:eastAsia="Calibri" w:hAnsi="Calibri" w:cs="Calibri"/>
                <w:color w:val="000000" w:themeColor="text1"/>
                <w:sz w:val="20"/>
                <w:szCs w:val="20"/>
              </w:rPr>
              <w:t>Reflection on potential limitations (e.g., distortion, skewing, bias)</w:t>
            </w:r>
          </w:p>
        </w:tc>
        <w:tc>
          <w:tcPr>
            <w:tcW w:w="1140" w:type="dxa"/>
            <w:tcBorders>
              <w:bottom w:val="single" w:sz="12" w:space="0" w:color="auto"/>
            </w:tcBorders>
            <w:tcMar>
              <w:left w:w="105" w:type="dxa"/>
              <w:right w:w="105" w:type="dxa"/>
            </w:tcMar>
          </w:tcPr>
          <w:p w14:paraId="28F6AC9E"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pg. 15</w:t>
            </w:r>
          </w:p>
        </w:tc>
        <w:tc>
          <w:tcPr>
            <w:tcW w:w="3405" w:type="dxa"/>
            <w:tcBorders>
              <w:bottom w:val="single" w:sz="12" w:space="0" w:color="auto"/>
            </w:tcBorders>
            <w:tcMar>
              <w:left w:w="105" w:type="dxa"/>
              <w:right w:w="105" w:type="dxa"/>
            </w:tcMar>
          </w:tcPr>
          <w:p w14:paraId="1A48EFC2" w14:textId="77777777" w:rsidR="00161602" w:rsidRDefault="00161602" w:rsidP="00194BBD">
            <w:pPr>
              <w:rPr>
                <w:rFonts w:ascii="Calibri" w:eastAsia="Calibri" w:hAnsi="Calibri" w:cs="Calibri"/>
                <w:color w:val="000000" w:themeColor="text1"/>
                <w:sz w:val="20"/>
                <w:szCs w:val="20"/>
              </w:rPr>
            </w:pPr>
            <w:r w:rsidRPr="3CEDCF1F">
              <w:rPr>
                <w:rFonts w:ascii="Calibri" w:eastAsia="Calibri" w:hAnsi="Calibri" w:cs="Calibri"/>
                <w:color w:val="000000" w:themeColor="text1"/>
                <w:sz w:val="20"/>
                <w:szCs w:val="20"/>
              </w:rPr>
              <w:t xml:space="preserve">It is difficult to assess the </w:t>
            </w:r>
            <w:proofErr w:type="spellStart"/>
            <w:r w:rsidRPr="3CEDCF1F">
              <w:rPr>
                <w:rFonts w:ascii="Calibri" w:eastAsia="Calibri" w:hAnsi="Calibri" w:cs="Calibri"/>
                <w:color w:val="000000" w:themeColor="text1"/>
                <w:sz w:val="20"/>
                <w:szCs w:val="20"/>
              </w:rPr>
              <w:t>generalisability</w:t>
            </w:r>
            <w:proofErr w:type="spellEnd"/>
            <w:r w:rsidRPr="3CEDCF1F">
              <w:rPr>
                <w:rFonts w:ascii="Calibri" w:eastAsia="Calibri" w:hAnsi="Calibri" w:cs="Calibri"/>
                <w:color w:val="000000" w:themeColor="text1"/>
                <w:sz w:val="20"/>
                <w:szCs w:val="20"/>
              </w:rPr>
              <w:t xml:space="preserve"> of these findings, a common limitation with Delphi methods.</w:t>
            </w:r>
            <w:r w:rsidRPr="3CEDCF1F">
              <w:rPr>
                <w:rFonts w:ascii="Calibri" w:eastAsia="Calibri" w:hAnsi="Calibri" w:cs="Calibri"/>
                <w:color w:val="000000" w:themeColor="text1"/>
                <w:sz w:val="20"/>
                <w:szCs w:val="20"/>
                <w:vertAlign w:val="superscript"/>
              </w:rPr>
              <w:t>47</w:t>
            </w:r>
            <w:r w:rsidRPr="3CEDCF1F">
              <w:rPr>
                <w:rFonts w:ascii="Calibri" w:eastAsia="Calibri" w:hAnsi="Calibri" w:cs="Calibri"/>
                <w:color w:val="000000" w:themeColor="text1"/>
                <w:sz w:val="20"/>
                <w:szCs w:val="20"/>
              </w:rPr>
              <w:t xml:space="preserve"> The international panel of experts in IPE SIM helps with mitigating this issue, although a greater geographical spread would have further improved the </w:t>
            </w:r>
            <w:proofErr w:type="spellStart"/>
            <w:r w:rsidRPr="3CEDCF1F">
              <w:rPr>
                <w:rFonts w:ascii="Calibri" w:eastAsia="Calibri" w:hAnsi="Calibri" w:cs="Calibri"/>
                <w:color w:val="000000" w:themeColor="text1"/>
                <w:sz w:val="20"/>
                <w:szCs w:val="20"/>
              </w:rPr>
              <w:t>generalisability</w:t>
            </w:r>
            <w:proofErr w:type="spellEnd"/>
            <w:r w:rsidRPr="3CEDCF1F">
              <w:rPr>
                <w:rFonts w:ascii="Calibri" w:eastAsia="Calibri" w:hAnsi="Calibri" w:cs="Calibri"/>
                <w:color w:val="000000" w:themeColor="text1"/>
                <w:sz w:val="20"/>
                <w:szCs w:val="20"/>
              </w:rPr>
              <w:t xml:space="preserve"> of the framework produced here. Our total attrition rate of 25% between round 1 and round 2 introduces some risk of bias</w:t>
            </w:r>
            <w:r w:rsidRPr="3CEDCF1F">
              <w:rPr>
                <w:rFonts w:ascii="Calibri" w:eastAsia="Calibri" w:hAnsi="Calibri" w:cs="Calibri"/>
                <w:color w:val="000000" w:themeColor="text1"/>
                <w:sz w:val="20"/>
                <w:szCs w:val="20"/>
                <w:vertAlign w:val="superscript"/>
              </w:rPr>
              <w:t>48</w:t>
            </w:r>
            <w:r w:rsidRPr="3CEDCF1F">
              <w:rPr>
                <w:rFonts w:ascii="Calibri" w:eastAsia="Calibri" w:hAnsi="Calibri" w:cs="Calibri"/>
                <w:color w:val="000000" w:themeColor="text1"/>
                <w:sz w:val="20"/>
                <w:szCs w:val="20"/>
              </w:rPr>
              <w:t>, however, this is a common challenge with online Delphi methods.</w:t>
            </w:r>
            <w:r w:rsidRPr="3CEDCF1F">
              <w:rPr>
                <w:rFonts w:ascii="Calibri" w:eastAsia="Calibri" w:hAnsi="Calibri" w:cs="Calibri"/>
                <w:color w:val="000000" w:themeColor="text1"/>
                <w:sz w:val="20"/>
                <w:szCs w:val="20"/>
                <w:vertAlign w:val="superscript"/>
              </w:rPr>
              <w:t xml:space="preserve">49  </w:t>
            </w:r>
          </w:p>
        </w:tc>
      </w:tr>
    </w:tbl>
    <w:p w14:paraId="7C8B9531" w14:textId="77777777" w:rsidR="00161602" w:rsidRDefault="00161602" w:rsidP="00161602">
      <w:pPr>
        <w:spacing w:line="480" w:lineRule="auto"/>
        <w:rPr>
          <w:rFonts w:ascii="Times New Roman" w:eastAsia="Times New Roman" w:hAnsi="Times New Roman" w:cs="Times New Roman"/>
        </w:rPr>
      </w:pPr>
      <w:r w:rsidRPr="38529A3E">
        <w:rPr>
          <w:rFonts w:ascii="Times New Roman" w:eastAsia="Times New Roman" w:hAnsi="Times New Roman" w:cs="Times New Roman"/>
        </w:rPr>
        <w:t>Figure 2. DELPHISTAR checklist</w:t>
      </w:r>
    </w:p>
    <w:p w14:paraId="11E77F26" w14:textId="77777777" w:rsidR="00161602" w:rsidRDefault="00161602" w:rsidP="00161602">
      <w:pPr>
        <w:rPr>
          <w:rFonts w:ascii="Times New Roman" w:eastAsia="Times New Roman" w:hAnsi="Times New Roman" w:cs="Times New Roman"/>
        </w:rPr>
      </w:pPr>
    </w:p>
    <w:p w14:paraId="7905A281" w14:textId="77777777" w:rsidR="00161602" w:rsidRDefault="00161602" w:rsidP="00161602">
      <w:pPr>
        <w:rPr>
          <w:rFonts w:ascii="Times New Roman" w:eastAsia="Times New Roman" w:hAnsi="Times New Roman" w:cs="Times New Roman"/>
          <w:b/>
          <w:bCs/>
          <w:sz w:val="36"/>
          <w:szCs w:val="36"/>
        </w:rPr>
      </w:pPr>
      <w:r w:rsidRPr="2F253C5C">
        <w:rPr>
          <w:rFonts w:ascii="Times New Roman" w:eastAsia="Times New Roman" w:hAnsi="Times New Roman" w:cs="Times New Roman"/>
          <w:b/>
          <w:bCs/>
          <w:sz w:val="36"/>
          <w:szCs w:val="36"/>
        </w:rPr>
        <w:t>Appendix B      Table 4</w:t>
      </w:r>
    </w:p>
    <w:p w14:paraId="68381690" w14:textId="77777777" w:rsidR="00161602" w:rsidRDefault="00161602" w:rsidP="00161602">
      <w:pPr>
        <w:shd w:val="clear" w:color="auto" w:fill="FFFFFF" w:themeFill="background1"/>
        <w:spacing w:after="0" w:line="480" w:lineRule="auto"/>
        <w:rPr>
          <w:rFonts w:ascii="Times New Roman" w:eastAsia="Times New Roman" w:hAnsi="Times New Roman" w:cs="Times New Roman"/>
          <w:b/>
          <w:bCs/>
        </w:rPr>
      </w:pPr>
      <w:r w:rsidRPr="2F253C5C">
        <w:rPr>
          <w:rFonts w:ascii="Times New Roman" w:eastAsia="Times New Roman" w:hAnsi="Times New Roman" w:cs="Times New Roman"/>
          <w:b/>
          <w:bCs/>
        </w:rPr>
        <w:t xml:space="preserve">Table 4: </w:t>
      </w:r>
      <w:r w:rsidRPr="2F253C5C">
        <w:rPr>
          <w:rFonts w:ascii="Times New Roman" w:eastAsia="Times New Roman" w:hAnsi="Times New Roman" w:cs="Times New Roman"/>
        </w:rPr>
        <w:t>Items added, edited and removed and quantitative consensus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134"/>
        <w:gridCol w:w="1754"/>
        <w:gridCol w:w="1288"/>
        <w:gridCol w:w="1737"/>
        <w:gridCol w:w="1305"/>
        <w:gridCol w:w="1071"/>
        <w:gridCol w:w="1055"/>
      </w:tblGrid>
      <w:tr w:rsidR="00161602" w14:paraId="2E5BEDF8" w14:textId="77777777" w:rsidTr="00194BBD">
        <w:trPr>
          <w:trHeight w:val="300"/>
        </w:trPr>
        <w:tc>
          <w:tcPr>
            <w:tcW w:w="1080" w:type="dxa"/>
            <w:tcMar>
              <w:left w:w="105" w:type="dxa"/>
              <w:right w:w="105" w:type="dxa"/>
            </w:tcMar>
          </w:tcPr>
          <w:p w14:paraId="4AC67B2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Domain</w:t>
            </w:r>
          </w:p>
        </w:tc>
        <w:tc>
          <w:tcPr>
            <w:tcW w:w="1920" w:type="dxa"/>
            <w:tcMar>
              <w:left w:w="105" w:type="dxa"/>
              <w:right w:w="105" w:type="dxa"/>
            </w:tcMar>
          </w:tcPr>
          <w:p w14:paraId="3B6ECBF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Round 1 item </w:t>
            </w:r>
          </w:p>
        </w:tc>
        <w:tc>
          <w:tcPr>
            <w:tcW w:w="1095" w:type="dxa"/>
            <w:tcMar>
              <w:left w:w="105" w:type="dxa"/>
              <w:right w:w="105" w:type="dxa"/>
            </w:tcMar>
          </w:tcPr>
          <w:p w14:paraId="2493FCA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Round 1 decision</w:t>
            </w:r>
          </w:p>
        </w:tc>
        <w:tc>
          <w:tcPr>
            <w:tcW w:w="1890" w:type="dxa"/>
            <w:tcMar>
              <w:left w:w="105" w:type="dxa"/>
              <w:right w:w="105" w:type="dxa"/>
            </w:tcMar>
          </w:tcPr>
          <w:p w14:paraId="5C4F78E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Round 2 item</w:t>
            </w:r>
          </w:p>
        </w:tc>
        <w:tc>
          <w:tcPr>
            <w:tcW w:w="1320" w:type="dxa"/>
            <w:tcMar>
              <w:left w:w="105" w:type="dxa"/>
              <w:right w:w="105" w:type="dxa"/>
            </w:tcMar>
          </w:tcPr>
          <w:p w14:paraId="6FDE8D5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Round 2 decision </w:t>
            </w:r>
          </w:p>
        </w:tc>
        <w:tc>
          <w:tcPr>
            <w:tcW w:w="1095" w:type="dxa"/>
            <w:tcMar>
              <w:left w:w="105" w:type="dxa"/>
              <w:right w:w="105" w:type="dxa"/>
            </w:tcMar>
          </w:tcPr>
          <w:p w14:paraId="47E0FE6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Round 1 % agreement</w:t>
            </w:r>
          </w:p>
        </w:tc>
        <w:tc>
          <w:tcPr>
            <w:tcW w:w="1065" w:type="dxa"/>
            <w:tcMar>
              <w:left w:w="105" w:type="dxa"/>
              <w:right w:w="105" w:type="dxa"/>
            </w:tcMar>
          </w:tcPr>
          <w:p w14:paraId="1D8C671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Round 2% agreement</w:t>
            </w:r>
          </w:p>
        </w:tc>
      </w:tr>
      <w:tr w:rsidR="00161602" w14:paraId="5FF23AED" w14:textId="77777777" w:rsidTr="00194BBD">
        <w:trPr>
          <w:trHeight w:val="300"/>
        </w:trPr>
        <w:tc>
          <w:tcPr>
            <w:tcW w:w="1080" w:type="dxa"/>
            <w:tcMar>
              <w:left w:w="105" w:type="dxa"/>
              <w:right w:w="105" w:type="dxa"/>
            </w:tcMar>
          </w:tcPr>
          <w:p w14:paraId="17C50C4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Curriculum and Scenario Design</w:t>
            </w:r>
          </w:p>
        </w:tc>
        <w:tc>
          <w:tcPr>
            <w:tcW w:w="1920" w:type="dxa"/>
            <w:tcMar>
              <w:left w:w="105" w:type="dxa"/>
              <w:right w:w="105" w:type="dxa"/>
            </w:tcMar>
          </w:tcPr>
          <w:p w14:paraId="7D75AB34" w14:textId="77777777" w:rsidR="00161602" w:rsidRDefault="00161602" w:rsidP="00194BBD">
            <w:pPr>
              <w:spacing w:beforeAutospacing="1" w:afterAutospacing="1"/>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lang w:val="en-IE"/>
              </w:rPr>
              <w:t xml:space="preserve">Describe theories of interprofessional learning and their application to simulation. </w:t>
            </w:r>
            <w:r w:rsidRPr="2F253C5C">
              <w:rPr>
                <w:rFonts w:ascii="Times New Roman" w:eastAsia="Times New Roman" w:hAnsi="Times New Roman" w:cs="Times New Roman"/>
                <w:sz w:val="20"/>
                <w:szCs w:val="20"/>
              </w:rPr>
              <w:t xml:space="preserve">  </w:t>
            </w:r>
          </w:p>
          <w:p w14:paraId="2635E3CD"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7C70F753" w14:textId="77777777" w:rsidR="00161602" w:rsidRDefault="00161602" w:rsidP="00194BBD">
            <w:pPr>
              <w:rPr>
                <w:rFonts w:ascii="Times New Roman" w:eastAsia="Times New Roman" w:hAnsi="Times New Roman" w:cs="Times New Roman"/>
                <w:sz w:val="20"/>
                <w:szCs w:val="20"/>
                <w:lang w:val="en-IE"/>
              </w:rPr>
            </w:pPr>
            <w:r w:rsidRPr="2F253C5C">
              <w:rPr>
                <w:rFonts w:ascii="Times New Roman" w:eastAsia="Times New Roman" w:hAnsi="Times New Roman" w:cs="Times New Roman"/>
                <w:sz w:val="20"/>
                <w:szCs w:val="20"/>
                <w:lang w:val="en-IE"/>
              </w:rPr>
              <w:t>Retained Unedited</w:t>
            </w:r>
          </w:p>
        </w:tc>
        <w:tc>
          <w:tcPr>
            <w:tcW w:w="1890" w:type="dxa"/>
            <w:tcMar>
              <w:left w:w="105" w:type="dxa"/>
              <w:right w:w="105" w:type="dxa"/>
            </w:tcMar>
          </w:tcPr>
          <w:p w14:paraId="14CD32C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F21A71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6913793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84.1%</w:t>
            </w:r>
          </w:p>
        </w:tc>
        <w:tc>
          <w:tcPr>
            <w:tcW w:w="1065" w:type="dxa"/>
            <w:tcMar>
              <w:left w:w="105" w:type="dxa"/>
              <w:right w:w="105" w:type="dxa"/>
            </w:tcMar>
          </w:tcPr>
          <w:p w14:paraId="2B1F043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87.5%</w:t>
            </w:r>
          </w:p>
        </w:tc>
      </w:tr>
      <w:tr w:rsidR="00161602" w14:paraId="15C936D6" w14:textId="77777777" w:rsidTr="00194BBD">
        <w:trPr>
          <w:trHeight w:val="300"/>
        </w:trPr>
        <w:tc>
          <w:tcPr>
            <w:tcW w:w="1080" w:type="dxa"/>
            <w:tcMar>
              <w:left w:w="105" w:type="dxa"/>
              <w:right w:w="105" w:type="dxa"/>
            </w:tcMar>
          </w:tcPr>
          <w:p w14:paraId="6ACB7AB9"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1B30093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Describe the attributes of interprofessional simulation co-design</w:t>
            </w:r>
          </w:p>
        </w:tc>
        <w:tc>
          <w:tcPr>
            <w:tcW w:w="1095" w:type="dxa"/>
            <w:tcMar>
              <w:left w:w="105" w:type="dxa"/>
              <w:right w:w="105" w:type="dxa"/>
            </w:tcMar>
          </w:tcPr>
          <w:p w14:paraId="1CDF30B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Removed (Duplication)</w:t>
            </w:r>
          </w:p>
        </w:tc>
        <w:tc>
          <w:tcPr>
            <w:tcW w:w="1890" w:type="dxa"/>
            <w:tcMar>
              <w:left w:w="105" w:type="dxa"/>
              <w:right w:w="105" w:type="dxa"/>
            </w:tcMar>
          </w:tcPr>
          <w:p w14:paraId="395CC83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320" w:type="dxa"/>
            <w:tcMar>
              <w:left w:w="105" w:type="dxa"/>
              <w:right w:w="105" w:type="dxa"/>
            </w:tcMar>
          </w:tcPr>
          <w:p w14:paraId="377A3A8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95" w:type="dxa"/>
            <w:tcMar>
              <w:left w:w="105" w:type="dxa"/>
              <w:right w:w="105" w:type="dxa"/>
            </w:tcMar>
          </w:tcPr>
          <w:p w14:paraId="6725192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81.8%</w:t>
            </w:r>
          </w:p>
        </w:tc>
        <w:tc>
          <w:tcPr>
            <w:tcW w:w="1065" w:type="dxa"/>
            <w:tcMar>
              <w:left w:w="105" w:type="dxa"/>
              <w:right w:w="105" w:type="dxa"/>
            </w:tcMar>
          </w:tcPr>
          <w:p w14:paraId="1541BBA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r>
      <w:tr w:rsidR="00161602" w14:paraId="51D91FA7" w14:textId="77777777" w:rsidTr="00194BBD">
        <w:trPr>
          <w:trHeight w:val="300"/>
        </w:trPr>
        <w:tc>
          <w:tcPr>
            <w:tcW w:w="1080" w:type="dxa"/>
            <w:tcMar>
              <w:left w:w="105" w:type="dxa"/>
              <w:right w:w="105" w:type="dxa"/>
            </w:tcMar>
          </w:tcPr>
          <w:p w14:paraId="63496D8E"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12FCDB2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Develop interprofessional learning outcomes aligned to an interprofessional competency framework.</w:t>
            </w:r>
          </w:p>
          <w:p w14:paraId="0970E0C2"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4A6B27AD" w14:textId="77777777" w:rsidR="00161602" w:rsidRDefault="00161602" w:rsidP="00194BBD">
            <w:pPr>
              <w:rPr>
                <w:rFonts w:ascii="Times New Roman" w:eastAsia="Times New Roman" w:hAnsi="Times New Roman" w:cs="Times New Roman"/>
                <w:sz w:val="20"/>
                <w:szCs w:val="20"/>
                <w:lang w:val="en-IE"/>
              </w:rPr>
            </w:pPr>
            <w:r w:rsidRPr="2F253C5C">
              <w:rPr>
                <w:rFonts w:ascii="Times New Roman" w:eastAsia="Times New Roman" w:hAnsi="Times New Roman" w:cs="Times New Roman"/>
                <w:sz w:val="20"/>
                <w:szCs w:val="20"/>
                <w:lang w:val="en-IE"/>
              </w:rPr>
              <w:t>Retained Unedited</w:t>
            </w:r>
          </w:p>
          <w:p w14:paraId="0BDDF057" w14:textId="77777777" w:rsidR="00161602" w:rsidRDefault="00161602" w:rsidP="00194BBD">
            <w:pPr>
              <w:rPr>
                <w:rFonts w:ascii="Times New Roman" w:eastAsia="Times New Roman" w:hAnsi="Times New Roman" w:cs="Times New Roman"/>
                <w:sz w:val="20"/>
                <w:szCs w:val="20"/>
              </w:rPr>
            </w:pPr>
          </w:p>
        </w:tc>
        <w:tc>
          <w:tcPr>
            <w:tcW w:w="1890" w:type="dxa"/>
            <w:tcMar>
              <w:left w:w="105" w:type="dxa"/>
              <w:right w:w="105" w:type="dxa"/>
            </w:tcMar>
          </w:tcPr>
          <w:p w14:paraId="5C5A00F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3E2CE09" w14:textId="77777777" w:rsidR="00161602" w:rsidRDefault="00161602" w:rsidP="00194BBD">
            <w:pPr>
              <w:rPr>
                <w:rFonts w:ascii="Times New Roman" w:eastAsia="Times New Roman" w:hAnsi="Times New Roman" w:cs="Times New Roman"/>
                <w:sz w:val="20"/>
                <w:szCs w:val="20"/>
                <w:lang w:val="en-IE"/>
              </w:rPr>
            </w:pPr>
            <w:r w:rsidRPr="2F253C5C">
              <w:rPr>
                <w:rFonts w:ascii="Times New Roman" w:eastAsia="Times New Roman" w:hAnsi="Times New Roman" w:cs="Times New Roman"/>
                <w:sz w:val="20"/>
                <w:szCs w:val="20"/>
                <w:lang w:val="en-IE"/>
              </w:rPr>
              <w:t>Retained Unedited</w:t>
            </w:r>
          </w:p>
          <w:p w14:paraId="2F06D064"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3754AB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93.2%</w:t>
            </w:r>
          </w:p>
        </w:tc>
        <w:tc>
          <w:tcPr>
            <w:tcW w:w="1065" w:type="dxa"/>
            <w:tcMar>
              <w:left w:w="105" w:type="dxa"/>
              <w:right w:w="105" w:type="dxa"/>
            </w:tcMar>
          </w:tcPr>
          <w:p w14:paraId="35C140A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5C202C0B" w14:textId="77777777" w:rsidTr="00194BBD">
        <w:trPr>
          <w:trHeight w:val="300"/>
        </w:trPr>
        <w:tc>
          <w:tcPr>
            <w:tcW w:w="1080" w:type="dxa"/>
            <w:tcMar>
              <w:left w:w="105" w:type="dxa"/>
              <w:right w:w="105" w:type="dxa"/>
            </w:tcMar>
          </w:tcPr>
          <w:p w14:paraId="11A0283B"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48341BC0" w14:textId="77777777" w:rsidR="00161602" w:rsidRDefault="00161602" w:rsidP="00194BBD">
            <w:pPr>
              <w:rPr>
                <w:rFonts w:ascii="Times New Roman" w:eastAsia="Times New Roman" w:hAnsi="Times New Roman" w:cs="Times New Roman"/>
                <w:sz w:val="20"/>
                <w:szCs w:val="20"/>
              </w:rPr>
            </w:pPr>
            <w:proofErr w:type="spellStart"/>
            <w:r w:rsidRPr="2F253C5C">
              <w:rPr>
                <w:rFonts w:ascii="Times New Roman" w:eastAsia="Times New Roman" w:hAnsi="Times New Roman" w:cs="Times New Roman"/>
                <w:sz w:val="20"/>
                <w:szCs w:val="20"/>
              </w:rPr>
              <w:t>Recognise</w:t>
            </w:r>
            <w:proofErr w:type="spellEnd"/>
            <w:r w:rsidRPr="2F253C5C">
              <w:rPr>
                <w:rFonts w:ascii="Times New Roman" w:eastAsia="Times New Roman" w:hAnsi="Times New Roman" w:cs="Times New Roman"/>
                <w:sz w:val="20"/>
                <w:szCs w:val="20"/>
              </w:rPr>
              <w:t xml:space="preserve"> the roles of each profession and interdependence for simulation design.</w:t>
            </w:r>
          </w:p>
          <w:p w14:paraId="1219770F"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75F939E9" w14:textId="77777777" w:rsidR="00161602" w:rsidRDefault="00161602" w:rsidP="00194BBD">
            <w:pPr>
              <w:rPr>
                <w:rFonts w:ascii="Times New Roman" w:eastAsia="Times New Roman" w:hAnsi="Times New Roman" w:cs="Times New Roman"/>
                <w:sz w:val="20"/>
                <w:szCs w:val="20"/>
                <w:lang w:val="en-IE"/>
              </w:rPr>
            </w:pPr>
            <w:r w:rsidRPr="2F253C5C">
              <w:rPr>
                <w:rFonts w:ascii="Times New Roman" w:eastAsia="Times New Roman" w:hAnsi="Times New Roman" w:cs="Times New Roman"/>
                <w:sz w:val="20"/>
                <w:szCs w:val="20"/>
                <w:lang w:val="en-IE"/>
              </w:rPr>
              <w:t>Retained Unedited</w:t>
            </w:r>
          </w:p>
          <w:p w14:paraId="752F9A13" w14:textId="77777777" w:rsidR="00161602" w:rsidRDefault="00161602" w:rsidP="00194BBD">
            <w:pPr>
              <w:rPr>
                <w:rFonts w:ascii="Times New Roman" w:eastAsia="Times New Roman" w:hAnsi="Times New Roman" w:cs="Times New Roman"/>
                <w:sz w:val="20"/>
                <w:szCs w:val="20"/>
              </w:rPr>
            </w:pPr>
          </w:p>
        </w:tc>
        <w:tc>
          <w:tcPr>
            <w:tcW w:w="1890" w:type="dxa"/>
            <w:tcMar>
              <w:left w:w="105" w:type="dxa"/>
              <w:right w:w="105" w:type="dxa"/>
            </w:tcMar>
          </w:tcPr>
          <w:p w14:paraId="3E36C39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55FB297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1F7376E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2BA460B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09486AC9" w14:textId="77777777" w:rsidTr="00194BBD">
        <w:trPr>
          <w:trHeight w:val="300"/>
        </w:trPr>
        <w:tc>
          <w:tcPr>
            <w:tcW w:w="1080" w:type="dxa"/>
            <w:tcMar>
              <w:left w:w="105" w:type="dxa"/>
              <w:right w:w="105" w:type="dxa"/>
            </w:tcMar>
          </w:tcPr>
          <w:p w14:paraId="594685B9"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0185015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Design interprofessional simulation activities to align with curricular goals and learner levels. </w:t>
            </w:r>
          </w:p>
        </w:tc>
        <w:tc>
          <w:tcPr>
            <w:tcW w:w="1095" w:type="dxa"/>
            <w:tcMar>
              <w:left w:w="105" w:type="dxa"/>
              <w:right w:w="105" w:type="dxa"/>
            </w:tcMar>
          </w:tcPr>
          <w:p w14:paraId="66915F76" w14:textId="77777777" w:rsidR="00161602" w:rsidRDefault="00161602" w:rsidP="00194BBD">
            <w:pPr>
              <w:rPr>
                <w:rFonts w:ascii="Times New Roman" w:eastAsia="Times New Roman" w:hAnsi="Times New Roman" w:cs="Times New Roman"/>
                <w:sz w:val="20"/>
                <w:szCs w:val="20"/>
                <w:lang w:val="en-IE"/>
              </w:rPr>
            </w:pPr>
            <w:r w:rsidRPr="2F253C5C">
              <w:rPr>
                <w:rFonts w:ascii="Times New Roman" w:eastAsia="Times New Roman" w:hAnsi="Times New Roman" w:cs="Times New Roman"/>
                <w:sz w:val="20"/>
                <w:szCs w:val="20"/>
                <w:lang w:val="en-IE"/>
              </w:rPr>
              <w:t>Retained Unedited</w:t>
            </w:r>
          </w:p>
          <w:p w14:paraId="7208318B" w14:textId="77777777" w:rsidR="00161602" w:rsidRDefault="00161602" w:rsidP="00194BBD">
            <w:pPr>
              <w:rPr>
                <w:rFonts w:ascii="Times New Roman" w:eastAsia="Times New Roman" w:hAnsi="Times New Roman" w:cs="Times New Roman"/>
                <w:sz w:val="20"/>
                <w:szCs w:val="20"/>
              </w:rPr>
            </w:pPr>
          </w:p>
        </w:tc>
        <w:tc>
          <w:tcPr>
            <w:tcW w:w="1890" w:type="dxa"/>
            <w:tcMar>
              <w:left w:w="105" w:type="dxa"/>
              <w:right w:w="105" w:type="dxa"/>
            </w:tcMar>
          </w:tcPr>
          <w:p w14:paraId="3F619A9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E740DF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65495DC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4AA078D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6B9F8AF0" w14:textId="77777777" w:rsidTr="00194BBD">
        <w:trPr>
          <w:trHeight w:val="300"/>
        </w:trPr>
        <w:tc>
          <w:tcPr>
            <w:tcW w:w="1080" w:type="dxa"/>
            <w:tcMar>
              <w:left w:w="105" w:type="dxa"/>
              <w:right w:w="105" w:type="dxa"/>
            </w:tcMar>
          </w:tcPr>
          <w:p w14:paraId="3A35479C"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2908F40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Co-create simulation scenarios that reflect authentic, collaborative clinical practice.  </w:t>
            </w:r>
          </w:p>
        </w:tc>
        <w:tc>
          <w:tcPr>
            <w:tcW w:w="1095" w:type="dxa"/>
            <w:tcMar>
              <w:left w:w="105" w:type="dxa"/>
              <w:right w:w="105" w:type="dxa"/>
            </w:tcMar>
          </w:tcPr>
          <w:p w14:paraId="5787826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04A2373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Co-design simulation scenarios that reflect authentic, collaborative clinical practice.  </w:t>
            </w:r>
          </w:p>
          <w:p w14:paraId="5E2CAFEA"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73657EA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17B95E1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3D5B1E2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6D0AB143" w14:textId="77777777" w:rsidTr="00194BBD">
        <w:trPr>
          <w:trHeight w:val="300"/>
        </w:trPr>
        <w:tc>
          <w:tcPr>
            <w:tcW w:w="1080" w:type="dxa"/>
            <w:tcMar>
              <w:left w:w="105" w:type="dxa"/>
              <w:right w:w="105" w:type="dxa"/>
            </w:tcMar>
          </w:tcPr>
          <w:p w14:paraId="62A206CE"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7CEC032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Evaluate the effectiveness of designed scenarios using learner feedback and assessment outcomes.</w:t>
            </w:r>
          </w:p>
          <w:p w14:paraId="05419B61"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40F2924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34E3B1C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Evaluate the effectiveness of designed scenarios using feedback and assessment outcomes.  </w:t>
            </w:r>
          </w:p>
        </w:tc>
        <w:tc>
          <w:tcPr>
            <w:tcW w:w="1320" w:type="dxa"/>
            <w:tcMar>
              <w:left w:w="105" w:type="dxa"/>
              <w:right w:w="105" w:type="dxa"/>
            </w:tcMar>
          </w:tcPr>
          <w:p w14:paraId="1E27C0F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7621800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7E39089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76C0D120" w14:textId="77777777" w:rsidTr="00194BBD">
        <w:trPr>
          <w:trHeight w:val="300"/>
        </w:trPr>
        <w:tc>
          <w:tcPr>
            <w:tcW w:w="1080" w:type="dxa"/>
            <w:tcMar>
              <w:left w:w="105" w:type="dxa"/>
              <w:right w:w="105" w:type="dxa"/>
            </w:tcMar>
          </w:tcPr>
          <w:p w14:paraId="4E3F4AA7" w14:textId="77777777" w:rsidR="00161602" w:rsidRDefault="00161602" w:rsidP="00194BBD">
            <w:pPr>
              <w:rPr>
                <w:rFonts w:ascii="Times New Roman" w:eastAsia="Times New Roman" w:hAnsi="Times New Roman" w:cs="Times New Roman"/>
                <w:sz w:val="20"/>
                <w:szCs w:val="20"/>
              </w:rPr>
            </w:pPr>
          </w:p>
        </w:tc>
        <w:tc>
          <w:tcPr>
            <w:tcW w:w="1920" w:type="dxa"/>
            <w:tcMar>
              <w:left w:w="105" w:type="dxa"/>
              <w:right w:w="105" w:type="dxa"/>
            </w:tcMar>
          </w:tcPr>
          <w:p w14:paraId="6D1FD77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Consider interprofessional group dynamics in the design of curricula.  </w:t>
            </w:r>
          </w:p>
        </w:tc>
        <w:tc>
          <w:tcPr>
            <w:tcW w:w="1095" w:type="dxa"/>
            <w:tcMar>
              <w:left w:w="105" w:type="dxa"/>
              <w:right w:w="105" w:type="dxa"/>
            </w:tcMar>
          </w:tcPr>
          <w:p w14:paraId="799AA2A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3C60107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4C6510B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5C3FABC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11AEB77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90.6%</w:t>
            </w:r>
          </w:p>
        </w:tc>
      </w:tr>
      <w:tr w:rsidR="00161602" w14:paraId="6B9EA7E0" w14:textId="77777777" w:rsidTr="00194BBD">
        <w:trPr>
          <w:trHeight w:val="300"/>
        </w:trPr>
        <w:tc>
          <w:tcPr>
            <w:tcW w:w="1080" w:type="dxa"/>
            <w:tcMar>
              <w:left w:w="105" w:type="dxa"/>
              <w:right w:w="105" w:type="dxa"/>
            </w:tcMar>
          </w:tcPr>
          <w:p w14:paraId="5E23BFB8" w14:textId="77777777" w:rsidR="00161602" w:rsidRDefault="00161602" w:rsidP="00194BBD">
            <w:pPr>
              <w:rPr>
                <w:rFonts w:ascii="Times New Roman" w:eastAsia="Times New Roman" w:hAnsi="Times New Roman" w:cs="Times New Roman"/>
                <w:sz w:val="17"/>
                <w:szCs w:val="17"/>
              </w:rPr>
            </w:pPr>
            <w:r w:rsidRPr="2F253C5C">
              <w:rPr>
                <w:rStyle w:val="FootnoteReference"/>
                <w:rFonts w:ascii="Times New Roman" w:eastAsia="Times New Roman" w:hAnsi="Times New Roman" w:cs="Times New Roman"/>
                <w:sz w:val="22"/>
                <w:szCs w:val="22"/>
              </w:rPr>
              <w:lastRenderedPageBreak/>
              <w:t>Facilitating Learning</w:t>
            </w:r>
          </w:p>
        </w:tc>
        <w:tc>
          <w:tcPr>
            <w:tcW w:w="1920" w:type="dxa"/>
            <w:tcMar>
              <w:left w:w="105" w:type="dxa"/>
              <w:right w:w="105" w:type="dxa"/>
            </w:tcMar>
          </w:tcPr>
          <w:p w14:paraId="1C7EE2D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Describe the purpose and structure of interprofessional simulation.  </w:t>
            </w:r>
          </w:p>
        </w:tc>
        <w:tc>
          <w:tcPr>
            <w:tcW w:w="1095" w:type="dxa"/>
            <w:tcMar>
              <w:left w:w="105" w:type="dxa"/>
              <w:right w:w="105" w:type="dxa"/>
            </w:tcMar>
          </w:tcPr>
          <w:p w14:paraId="4AD21D2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79B4B44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247535E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3FA2A40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93.2%</w:t>
            </w:r>
          </w:p>
        </w:tc>
        <w:tc>
          <w:tcPr>
            <w:tcW w:w="1065" w:type="dxa"/>
            <w:tcMar>
              <w:left w:w="105" w:type="dxa"/>
              <w:right w:w="105" w:type="dxa"/>
            </w:tcMar>
          </w:tcPr>
          <w:p w14:paraId="5D7BA61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90.6%</w:t>
            </w:r>
          </w:p>
        </w:tc>
      </w:tr>
      <w:tr w:rsidR="00161602" w14:paraId="6798F55A" w14:textId="77777777" w:rsidTr="00194BBD">
        <w:trPr>
          <w:trHeight w:val="300"/>
        </w:trPr>
        <w:tc>
          <w:tcPr>
            <w:tcW w:w="1080" w:type="dxa"/>
            <w:tcMar>
              <w:left w:w="105" w:type="dxa"/>
              <w:right w:w="105" w:type="dxa"/>
            </w:tcMar>
          </w:tcPr>
          <w:p w14:paraId="409B2413"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AC3D5B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Explain the key components of a structured pre-brief that fosters interprofessional collaboration and psychological safety.  </w:t>
            </w:r>
          </w:p>
        </w:tc>
        <w:tc>
          <w:tcPr>
            <w:tcW w:w="1095" w:type="dxa"/>
            <w:tcMar>
              <w:left w:w="105" w:type="dxa"/>
              <w:right w:w="105" w:type="dxa"/>
            </w:tcMar>
          </w:tcPr>
          <w:p w14:paraId="65EB1ED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080A983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Structure pre-brief that motivates learners to foster interprofessional collaboration and psychological safety.</w:t>
            </w:r>
          </w:p>
          <w:p w14:paraId="197D35DE"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7388439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4D96C03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2B57EFD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6F09FDEF" w14:textId="77777777" w:rsidTr="00194BBD">
        <w:trPr>
          <w:trHeight w:val="300"/>
        </w:trPr>
        <w:tc>
          <w:tcPr>
            <w:tcW w:w="1080" w:type="dxa"/>
            <w:tcMar>
              <w:left w:w="105" w:type="dxa"/>
              <w:right w:w="105" w:type="dxa"/>
            </w:tcMar>
          </w:tcPr>
          <w:p w14:paraId="72096D43"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6EB18EE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Uses range of educational methods and technologies to achieve intended outcomes.</w:t>
            </w:r>
          </w:p>
          <w:p w14:paraId="2CC560BC"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B1CD42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0C03BD6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686CF9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7CD6E19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5A9A5DB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26E2EFCE" w14:textId="77777777" w:rsidTr="00194BBD">
        <w:trPr>
          <w:trHeight w:val="300"/>
        </w:trPr>
        <w:tc>
          <w:tcPr>
            <w:tcW w:w="1080" w:type="dxa"/>
            <w:tcMar>
              <w:left w:w="105" w:type="dxa"/>
              <w:right w:w="105" w:type="dxa"/>
            </w:tcMar>
          </w:tcPr>
          <w:p w14:paraId="6D5FAC76"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A6827C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Demonstrate how to co-facilitate interprofessional simulation sessions that promote equitable participation.</w:t>
            </w:r>
          </w:p>
          <w:p w14:paraId="58CAA8FA"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71C154A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p w14:paraId="20DAC3EC" w14:textId="77777777" w:rsidR="00161602" w:rsidRDefault="00161602" w:rsidP="00194BBD">
            <w:pPr>
              <w:rPr>
                <w:rFonts w:ascii="Times New Roman" w:eastAsia="Times New Roman" w:hAnsi="Times New Roman" w:cs="Times New Roman"/>
                <w:sz w:val="20"/>
                <w:szCs w:val="20"/>
              </w:rPr>
            </w:pPr>
          </w:p>
        </w:tc>
        <w:tc>
          <w:tcPr>
            <w:tcW w:w="1890" w:type="dxa"/>
            <w:tcMar>
              <w:left w:w="105" w:type="dxa"/>
              <w:right w:w="105" w:type="dxa"/>
            </w:tcMar>
          </w:tcPr>
          <w:p w14:paraId="039B027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6CB9440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1A73830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5C759BB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5B5558E7" w14:textId="77777777" w:rsidTr="00194BBD">
        <w:trPr>
          <w:trHeight w:val="300"/>
        </w:trPr>
        <w:tc>
          <w:tcPr>
            <w:tcW w:w="1080" w:type="dxa"/>
            <w:tcMar>
              <w:left w:w="105" w:type="dxa"/>
              <w:right w:w="105" w:type="dxa"/>
            </w:tcMar>
          </w:tcPr>
          <w:p w14:paraId="6B167A24"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58589BC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Define psychological safety and its relevance in interprofessional simulation.</w:t>
            </w:r>
          </w:p>
          <w:p w14:paraId="5A5D264A"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4292CE8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p w14:paraId="150A1598" w14:textId="77777777" w:rsidR="00161602" w:rsidRDefault="00161602" w:rsidP="00194BBD">
            <w:pPr>
              <w:rPr>
                <w:rFonts w:ascii="Times New Roman" w:eastAsia="Times New Roman" w:hAnsi="Times New Roman" w:cs="Times New Roman"/>
                <w:sz w:val="20"/>
                <w:szCs w:val="20"/>
              </w:rPr>
            </w:pPr>
          </w:p>
        </w:tc>
        <w:tc>
          <w:tcPr>
            <w:tcW w:w="1890" w:type="dxa"/>
            <w:tcMar>
              <w:left w:w="105" w:type="dxa"/>
              <w:right w:w="105" w:type="dxa"/>
            </w:tcMar>
          </w:tcPr>
          <w:p w14:paraId="3EEB280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5E6C97F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Removed (Duplication)</w:t>
            </w:r>
          </w:p>
        </w:tc>
        <w:tc>
          <w:tcPr>
            <w:tcW w:w="1095" w:type="dxa"/>
            <w:tcMar>
              <w:left w:w="105" w:type="dxa"/>
              <w:right w:w="105" w:type="dxa"/>
            </w:tcMar>
          </w:tcPr>
          <w:p w14:paraId="070FF59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0A4D878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39C993CB" w14:textId="77777777" w:rsidTr="00194BBD">
        <w:trPr>
          <w:trHeight w:val="300"/>
        </w:trPr>
        <w:tc>
          <w:tcPr>
            <w:tcW w:w="1080" w:type="dxa"/>
            <w:tcMar>
              <w:left w:w="105" w:type="dxa"/>
              <w:right w:w="105" w:type="dxa"/>
            </w:tcMar>
          </w:tcPr>
          <w:p w14:paraId="7440705B"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6723361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Recognize ethical issues and power dynamics that may emerge in interprofessional simulation.</w:t>
            </w:r>
          </w:p>
          <w:p w14:paraId="4CDFD578"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420D3BC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10BA28D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Apply strategies to manage ethical issues and power dynamics during interprofessional simulation.</w:t>
            </w:r>
          </w:p>
          <w:p w14:paraId="50BC9B43"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6E9D422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2200238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7A5F6C4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05323923" w14:textId="77777777" w:rsidTr="00194BBD">
        <w:trPr>
          <w:trHeight w:val="300"/>
        </w:trPr>
        <w:tc>
          <w:tcPr>
            <w:tcW w:w="1080" w:type="dxa"/>
            <w:tcMar>
              <w:left w:w="105" w:type="dxa"/>
              <w:right w:w="105" w:type="dxa"/>
            </w:tcMar>
          </w:tcPr>
          <w:p w14:paraId="0537AEFD"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4440C40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Apply strategies to foster an inclusive and respectful learning environment.</w:t>
            </w:r>
          </w:p>
          <w:p w14:paraId="03AD0927"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044D10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0B137AF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Foster an inclusive and respectful learning environment.</w:t>
            </w:r>
          </w:p>
          <w:p w14:paraId="056140E2"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7F02C7D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28B93D4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656F984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2884FB46" w14:textId="77777777" w:rsidTr="00194BBD">
        <w:trPr>
          <w:trHeight w:val="300"/>
        </w:trPr>
        <w:tc>
          <w:tcPr>
            <w:tcW w:w="1080" w:type="dxa"/>
            <w:tcMar>
              <w:left w:w="105" w:type="dxa"/>
              <w:right w:w="105" w:type="dxa"/>
            </w:tcMar>
          </w:tcPr>
          <w:p w14:paraId="72C6968E"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478AB12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Evaluate facilitation strategies that support effective interprofessional teamwork and learning.</w:t>
            </w:r>
          </w:p>
          <w:p w14:paraId="2EBC2B9F"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03E23A8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18ECC0C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4DACB42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758789B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6BBC0E7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79A9E475" w14:textId="77777777" w:rsidTr="00194BBD">
        <w:trPr>
          <w:trHeight w:val="300"/>
        </w:trPr>
        <w:tc>
          <w:tcPr>
            <w:tcW w:w="1080" w:type="dxa"/>
            <w:tcMar>
              <w:left w:w="105" w:type="dxa"/>
              <w:right w:w="105" w:type="dxa"/>
            </w:tcMar>
          </w:tcPr>
          <w:p w14:paraId="10A87DE1"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AF1E53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Evaluate scenarios for potential bias, cultural insensitivity, or inequity in learner experience.</w:t>
            </w:r>
          </w:p>
          <w:p w14:paraId="1CF3964C"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47D9AC3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04B176B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2723A95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1E2523B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93.3%</w:t>
            </w:r>
          </w:p>
        </w:tc>
        <w:tc>
          <w:tcPr>
            <w:tcW w:w="1065" w:type="dxa"/>
            <w:tcMar>
              <w:left w:w="105" w:type="dxa"/>
              <w:right w:w="105" w:type="dxa"/>
            </w:tcMar>
          </w:tcPr>
          <w:p w14:paraId="11D6D4A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03AF5F66" w14:textId="77777777" w:rsidTr="00194BBD">
        <w:trPr>
          <w:trHeight w:val="300"/>
        </w:trPr>
        <w:tc>
          <w:tcPr>
            <w:tcW w:w="1080" w:type="dxa"/>
            <w:tcMar>
              <w:left w:w="105" w:type="dxa"/>
              <w:right w:w="105" w:type="dxa"/>
            </w:tcMar>
          </w:tcPr>
          <w:p w14:paraId="05AE6720"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EB6EB9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Reflect on interprofessional simulation effectiveness</w:t>
            </w:r>
          </w:p>
        </w:tc>
        <w:tc>
          <w:tcPr>
            <w:tcW w:w="1095" w:type="dxa"/>
            <w:tcMar>
              <w:left w:w="105" w:type="dxa"/>
              <w:right w:w="105" w:type="dxa"/>
            </w:tcMar>
          </w:tcPr>
          <w:p w14:paraId="1A79368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372DD31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Reflect on and </w:t>
            </w:r>
            <w:proofErr w:type="spellStart"/>
            <w:r w:rsidRPr="2F253C5C">
              <w:rPr>
                <w:rFonts w:ascii="Times New Roman" w:eastAsia="Times New Roman" w:hAnsi="Times New Roman" w:cs="Times New Roman"/>
                <w:sz w:val="20"/>
                <w:szCs w:val="20"/>
              </w:rPr>
              <w:t>analyse</w:t>
            </w:r>
            <w:proofErr w:type="spellEnd"/>
            <w:r w:rsidRPr="2F253C5C">
              <w:rPr>
                <w:rFonts w:ascii="Times New Roman" w:eastAsia="Times New Roman" w:hAnsi="Times New Roman" w:cs="Times New Roman"/>
                <w:sz w:val="20"/>
                <w:szCs w:val="20"/>
              </w:rPr>
              <w:t xml:space="preserve"> the effectiveness of interprofessional simulation curricula.</w:t>
            </w:r>
          </w:p>
          <w:p w14:paraId="74086229"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00AAB74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3047014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2F08E7B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244E0B1E" w14:textId="77777777" w:rsidTr="00194BBD">
        <w:trPr>
          <w:trHeight w:val="300"/>
        </w:trPr>
        <w:tc>
          <w:tcPr>
            <w:tcW w:w="1080" w:type="dxa"/>
            <w:tcMar>
              <w:left w:w="105" w:type="dxa"/>
              <w:right w:w="105" w:type="dxa"/>
            </w:tcMar>
          </w:tcPr>
          <w:p w14:paraId="79EB6F15" w14:textId="77777777" w:rsidR="00161602" w:rsidRDefault="00161602" w:rsidP="00194BBD">
            <w:pPr>
              <w:rPr>
                <w:rFonts w:ascii="Times New Roman" w:eastAsia="Times New Roman" w:hAnsi="Times New Roman" w:cs="Times New Roman"/>
                <w:sz w:val="17"/>
                <w:szCs w:val="17"/>
              </w:rPr>
            </w:pPr>
            <w:r w:rsidRPr="2F253C5C">
              <w:rPr>
                <w:rStyle w:val="FootnoteReference"/>
                <w:rFonts w:ascii="Times New Roman" w:eastAsia="Times New Roman" w:hAnsi="Times New Roman" w:cs="Times New Roman"/>
                <w:sz w:val="22"/>
                <w:szCs w:val="22"/>
              </w:rPr>
              <w:t>Debriefing and Reflective Practice</w:t>
            </w:r>
          </w:p>
        </w:tc>
        <w:tc>
          <w:tcPr>
            <w:tcW w:w="1920" w:type="dxa"/>
            <w:tcMar>
              <w:left w:w="105" w:type="dxa"/>
              <w:right w:w="105" w:type="dxa"/>
            </w:tcMar>
          </w:tcPr>
          <w:p w14:paraId="5811627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Identify key models and frameworks for interprofessional simulation debriefing.</w:t>
            </w:r>
          </w:p>
          <w:p w14:paraId="2DFB4BC5"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1C96848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55681A1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Use models and frameworks for interprofessional simulation debriefing.</w:t>
            </w:r>
          </w:p>
          <w:p w14:paraId="15BD0041"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0EBF7DA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63453B4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7200D09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019FDA0D" w14:textId="77777777" w:rsidTr="00194BBD">
        <w:trPr>
          <w:trHeight w:val="300"/>
        </w:trPr>
        <w:tc>
          <w:tcPr>
            <w:tcW w:w="1080" w:type="dxa"/>
            <w:tcMar>
              <w:left w:w="105" w:type="dxa"/>
              <w:right w:w="105" w:type="dxa"/>
            </w:tcMar>
          </w:tcPr>
          <w:p w14:paraId="610D3977"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5362739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Explain the principles of learner-</w:t>
            </w:r>
            <w:proofErr w:type="spellStart"/>
            <w:r w:rsidRPr="2F253C5C">
              <w:rPr>
                <w:rFonts w:ascii="Times New Roman" w:eastAsia="Times New Roman" w:hAnsi="Times New Roman" w:cs="Times New Roman"/>
                <w:sz w:val="20"/>
                <w:szCs w:val="20"/>
              </w:rPr>
              <w:t>centred</w:t>
            </w:r>
            <w:proofErr w:type="spellEnd"/>
            <w:r w:rsidRPr="2F253C5C">
              <w:rPr>
                <w:rFonts w:ascii="Times New Roman" w:eastAsia="Times New Roman" w:hAnsi="Times New Roman" w:cs="Times New Roman"/>
                <w:sz w:val="20"/>
                <w:szCs w:val="20"/>
              </w:rPr>
              <w:t xml:space="preserve"> and psychologically safe debriefing.</w:t>
            </w:r>
          </w:p>
          <w:p w14:paraId="02F8DD72"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054086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52D219E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Foster learner-</w:t>
            </w:r>
            <w:proofErr w:type="spellStart"/>
            <w:r w:rsidRPr="2F253C5C">
              <w:rPr>
                <w:rFonts w:ascii="Times New Roman" w:eastAsia="Times New Roman" w:hAnsi="Times New Roman" w:cs="Times New Roman"/>
                <w:sz w:val="20"/>
                <w:szCs w:val="20"/>
              </w:rPr>
              <w:t>centred</w:t>
            </w:r>
            <w:proofErr w:type="spellEnd"/>
            <w:r w:rsidRPr="2F253C5C">
              <w:rPr>
                <w:rFonts w:ascii="Times New Roman" w:eastAsia="Times New Roman" w:hAnsi="Times New Roman" w:cs="Times New Roman"/>
                <w:sz w:val="20"/>
                <w:szCs w:val="20"/>
              </w:rPr>
              <w:t xml:space="preserve"> and psychologically safe debriefing.</w:t>
            </w:r>
          </w:p>
          <w:p w14:paraId="61397BC7"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754E639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5B4FCA6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1F14F24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158FEAB6" w14:textId="77777777" w:rsidTr="00194BBD">
        <w:trPr>
          <w:trHeight w:val="300"/>
        </w:trPr>
        <w:tc>
          <w:tcPr>
            <w:tcW w:w="1080" w:type="dxa"/>
            <w:tcMar>
              <w:left w:w="105" w:type="dxa"/>
              <w:right w:w="105" w:type="dxa"/>
            </w:tcMar>
          </w:tcPr>
          <w:p w14:paraId="6C7CDE0A"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D5F241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Link theory to practice and evidence for collaborative practice </w:t>
            </w:r>
          </w:p>
          <w:p w14:paraId="15F942EE"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1689688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307AA74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Shares evidence for benefits of collaborative practice</w:t>
            </w:r>
          </w:p>
          <w:p w14:paraId="6C703225"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2740B01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Removed</w:t>
            </w:r>
          </w:p>
        </w:tc>
        <w:tc>
          <w:tcPr>
            <w:tcW w:w="1095" w:type="dxa"/>
            <w:tcMar>
              <w:left w:w="105" w:type="dxa"/>
              <w:right w:w="105" w:type="dxa"/>
            </w:tcMar>
          </w:tcPr>
          <w:p w14:paraId="77B0964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90.9%</w:t>
            </w:r>
          </w:p>
        </w:tc>
        <w:tc>
          <w:tcPr>
            <w:tcW w:w="1065" w:type="dxa"/>
            <w:tcMar>
              <w:left w:w="105" w:type="dxa"/>
              <w:right w:w="105" w:type="dxa"/>
            </w:tcMar>
          </w:tcPr>
          <w:p w14:paraId="4C81406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81.3%</w:t>
            </w:r>
          </w:p>
        </w:tc>
      </w:tr>
      <w:tr w:rsidR="00161602" w14:paraId="47D75ABA" w14:textId="77777777" w:rsidTr="00194BBD">
        <w:trPr>
          <w:trHeight w:val="300"/>
        </w:trPr>
        <w:tc>
          <w:tcPr>
            <w:tcW w:w="1080" w:type="dxa"/>
            <w:tcMar>
              <w:left w:w="105" w:type="dxa"/>
              <w:right w:w="105" w:type="dxa"/>
            </w:tcMar>
          </w:tcPr>
          <w:p w14:paraId="4D2C0C4D"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DE0CB0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95" w:type="dxa"/>
            <w:tcMar>
              <w:left w:w="105" w:type="dxa"/>
              <w:right w:w="105" w:type="dxa"/>
            </w:tcMar>
          </w:tcPr>
          <w:p w14:paraId="23DA8CD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New item</w:t>
            </w:r>
          </w:p>
        </w:tc>
        <w:tc>
          <w:tcPr>
            <w:tcW w:w="1890" w:type="dxa"/>
            <w:tcMar>
              <w:left w:w="105" w:type="dxa"/>
              <w:right w:w="105" w:type="dxa"/>
            </w:tcMar>
          </w:tcPr>
          <w:p w14:paraId="1259C2C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Help learners link theory to interprofessional practice</w:t>
            </w:r>
          </w:p>
        </w:tc>
        <w:tc>
          <w:tcPr>
            <w:tcW w:w="1320" w:type="dxa"/>
            <w:tcMar>
              <w:left w:w="105" w:type="dxa"/>
              <w:right w:w="105" w:type="dxa"/>
            </w:tcMar>
          </w:tcPr>
          <w:p w14:paraId="1892791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463BC8D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65" w:type="dxa"/>
            <w:tcMar>
              <w:left w:w="105" w:type="dxa"/>
              <w:right w:w="105" w:type="dxa"/>
            </w:tcMar>
          </w:tcPr>
          <w:p w14:paraId="7E957C8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87.5%</w:t>
            </w:r>
          </w:p>
        </w:tc>
      </w:tr>
      <w:tr w:rsidR="00161602" w14:paraId="7AA3EB9F" w14:textId="77777777" w:rsidTr="00194BBD">
        <w:trPr>
          <w:trHeight w:val="300"/>
        </w:trPr>
        <w:tc>
          <w:tcPr>
            <w:tcW w:w="1080" w:type="dxa"/>
            <w:tcMar>
              <w:left w:w="105" w:type="dxa"/>
              <w:right w:w="105" w:type="dxa"/>
            </w:tcMar>
          </w:tcPr>
          <w:p w14:paraId="2BC06C03"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FFC6BC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Facilitate debriefing </w:t>
            </w:r>
            <w:r w:rsidRPr="2F253C5C">
              <w:rPr>
                <w:rFonts w:ascii="Times New Roman" w:eastAsia="Times New Roman" w:hAnsi="Times New Roman" w:cs="Times New Roman"/>
                <w:sz w:val="20"/>
                <w:szCs w:val="20"/>
              </w:rPr>
              <w:lastRenderedPageBreak/>
              <w:t>conversations that support interprofessional reflection and mutual learning.</w:t>
            </w:r>
          </w:p>
          <w:p w14:paraId="61BFB670"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12C6DE4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lastRenderedPageBreak/>
              <w:t>Retained Unedited</w:t>
            </w:r>
          </w:p>
        </w:tc>
        <w:tc>
          <w:tcPr>
            <w:tcW w:w="1890" w:type="dxa"/>
            <w:tcMar>
              <w:left w:w="105" w:type="dxa"/>
              <w:right w:w="105" w:type="dxa"/>
            </w:tcMar>
          </w:tcPr>
          <w:p w14:paraId="7249F95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AF0987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1B15D6E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2FE18B2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220092BB" w14:textId="77777777" w:rsidTr="00194BBD">
        <w:trPr>
          <w:trHeight w:val="300"/>
        </w:trPr>
        <w:tc>
          <w:tcPr>
            <w:tcW w:w="1080" w:type="dxa"/>
            <w:tcMar>
              <w:left w:w="105" w:type="dxa"/>
              <w:right w:w="105" w:type="dxa"/>
            </w:tcMar>
          </w:tcPr>
          <w:p w14:paraId="7D932327"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0B87AB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Use questioning techniques to promote critical thinking and emotional processing by learners.</w:t>
            </w:r>
          </w:p>
          <w:p w14:paraId="1047A4F5"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78FF78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5917326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69F4B29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6B75292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08B850C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0BA6F2DB" w14:textId="77777777" w:rsidTr="00194BBD">
        <w:trPr>
          <w:trHeight w:val="300"/>
        </w:trPr>
        <w:tc>
          <w:tcPr>
            <w:tcW w:w="1080" w:type="dxa"/>
            <w:tcMar>
              <w:left w:w="105" w:type="dxa"/>
              <w:right w:w="105" w:type="dxa"/>
            </w:tcMar>
          </w:tcPr>
          <w:p w14:paraId="0B09C3A3"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0A3046E" w14:textId="77777777" w:rsidR="00161602" w:rsidRDefault="00161602" w:rsidP="00194BBD">
            <w:pPr>
              <w:rPr>
                <w:rFonts w:ascii="Times New Roman" w:eastAsia="Times New Roman" w:hAnsi="Times New Roman" w:cs="Times New Roman"/>
                <w:sz w:val="20"/>
                <w:szCs w:val="20"/>
              </w:rPr>
            </w:pPr>
            <w:proofErr w:type="spellStart"/>
            <w:r w:rsidRPr="2F253C5C">
              <w:rPr>
                <w:rFonts w:ascii="Times New Roman" w:eastAsia="Times New Roman" w:hAnsi="Times New Roman" w:cs="Times New Roman"/>
                <w:sz w:val="20"/>
                <w:szCs w:val="20"/>
              </w:rPr>
              <w:t>Analyse</w:t>
            </w:r>
            <w:proofErr w:type="spellEnd"/>
            <w:r w:rsidRPr="2F253C5C">
              <w:rPr>
                <w:rFonts w:ascii="Times New Roman" w:eastAsia="Times New Roman" w:hAnsi="Times New Roman" w:cs="Times New Roman"/>
                <w:sz w:val="20"/>
                <w:szCs w:val="20"/>
              </w:rPr>
              <w:t xml:space="preserve"> interprofessional interactions during simulation to guide meaningful debrief discussions.</w:t>
            </w:r>
          </w:p>
          <w:p w14:paraId="58EDBCFC"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378054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1E6E9C8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477C1E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5157ADF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93.2%</w:t>
            </w:r>
          </w:p>
        </w:tc>
        <w:tc>
          <w:tcPr>
            <w:tcW w:w="1065" w:type="dxa"/>
            <w:tcMar>
              <w:left w:w="105" w:type="dxa"/>
              <w:right w:w="105" w:type="dxa"/>
            </w:tcMar>
          </w:tcPr>
          <w:p w14:paraId="2BB9A2C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6473FF1F" w14:textId="77777777" w:rsidTr="00194BBD">
        <w:trPr>
          <w:trHeight w:val="300"/>
        </w:trPr>
        <w:tc>
          <w:tcPr>
            <w:tcW w:w="1080" w:type="dxa"/>
            <w:tcMar>
              <w:left w:w="105" w:type="dxa"/>
              <w:right w:w="105" w:type="dxa"/>
            </w:tcMar>
          </w:tcPr>
          <w:p w14:paraId="1EBF7C60"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331326E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Adapt debriefing strategies to the needs of diverse learners and complex group dynamics.</w:t>
            </w:r>
          </w:p>
          <w:p w14:paraId="00C9007C"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A2432D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19C053B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258ED2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288E97D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016395B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31E76907" w14:textId="77777777" w:rsidTr="00194BBD">
        <w:trPr>
          <w:trHeight w:val="300"/>
        </w:trPr>
        <w:tc>
          <w:tcPr>
            <w:tcW w:w="1080" w:type="dxa"/>
            <w:tcMar>
              <w:left w:w="105" w:type="dxa"/>
              <w:right w:w="105" w:type="dxa"/>
            </w:tcMar>
          </w:tcPr>
          <w:p w14:paraId="510F4072"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5128483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95" w:type="dxa"/>
            <w:tcMar>
              <w:left w:w="105" w:type="dxa"/>
              <w:right w:w="105" w:type="dxa"/>
            </w:tcMar>
          </w:tcPr>
          <w:p w14:paraId="1166D73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New item</w:t>
            </w:r>
          </w:p>
        </w:tc>
        <w:tc>
          <w:tcPr>
            <w:tcW w:w="1890" w:type="dxa"/>
            <w:tcMar>
              <w:left w:w="105" w:type="dxa"/>
              <w:right w:w="105" w:type="dxa"/>
            </w:tcMar>
          </w:tcPr>
          <w:p w14:paraId="315B618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Manage potential conflict and disagreement in a supportive and non-judgmental manner.</w:t>
            </w:r>
          </w:p>
        </w:tc>
        <w:tc>
          <w:tcPr>
            <w:tcW w:w="1320" w:type="dxa"/>
            <w:tcMar>
              <w:left w:w="105" w:type="dxa"/>
              <w:right w:w="105" w:type="dxa"/>
            </w:tcMar>
          </w:tcPr>
          <w:p w14:paraId="19B8436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4CFE2FA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65" w:type="dxa"/>
            <w:tcMar>
              <w:left w:w="105" w:type="dxa"/>
              <w:right w:w="105" w:type="dxa"/>
            </w:tcMar>
          </w:tcPr>
          <w:p w14:paraId="4E76780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51EA1BAD" w14:textId="77777777" w:rsidTr="00194BBD">
        <w:trPr>
          <w:trHeight w:val="300"/>
        </w:trPr>
        <w:tc>
          <w:tcPr>
            <w:tcW w:w="1080" w:type="dxa"/>
            <w:tcMar>
              <w:left w:w="105" w:type="dxa"/>
              <w:right w:w="105" w:type="dxa"/>
            </w:tcMar>
          </w:tcPr>
          <w:p w14:paraId="15B50C22" w14:textId="77777777" w:rsidR="00161602" w:rsidRDefault="00161602" w:rsidP="00194BBD">
            <w:pPr>
              <w:rPr>
                <w:rFonts w:ascii="Times New Roman" w:eastAsia="Times New Roman" w:hAnsi="Times New Roman" w:cs="Times New Roman"/>
                <w:sz w:val="17"/>
                <w:szCs w:val="17"/>
              </w:rPr>
            </w:pPr>
            <w:r w:rsidRPr="2F253C5C">
              <w:rPr>
                <w:rStyle w:val="FootnoteReference"/>
                <w:rFonts w:ascii="Times New Roman" w:eastAsia="Times New Roman" w:hAnsi="Times New Roman" w:cs="Times New Roman"/>
                <w:sz w:val="22"/>
                <w:szCs w:val="22"/>
              </w:rPr>
              <w:t>Learner Assessment</w:t>
            </w:r>
          </w:p>
        </w:tc>
        <w:tc>
          <w:tcPr>
            <w:tcW w:w="1920" w:type="dxa"/>
            <w:tcMar>
              <w:left w:w="105" w:type="dxa"/>
              <w:right w:w="105" w:type="dxa"/>
            </w:tcMar>
          </w:tcPr>
          <w:p w14:paraId="5D9F3EF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Relate assessment to the educational outcomes of a course or </w:t>
            </w:r>
            <w:proofErr w:type="spellStart"/>
            <w:r w:rsidRPr="2F253C5C">
              <w:rPr>
                <w:rFonts w:ascii="Times New Roman" w:eastAsia="Times New Roman" w:hAnsi="Times New Roman" w:cs="Times New Roman"/>
                <w:sz w:val="20"/>
                <w:szCs w:val="20"/>
              </w:rPr>
              <w:t>programme</w:t>
            </w:r>
            <w:proofErr w:type="spellEnd"/>
            <w:r w:rsidRPr="2F253C5C">
              <w:rPr>
                <w:rFonts w:ascii="Times New Roman" w:eastAsia="Times New Roman" w:hAnsi="Times New Roman" w:cs="Times New Roman"/>
                <w:sz w:val="20"/>
                <w:szCs w:val="20"/>
              </w:rPr>
              <w:t xml:space="preserve">.  </w:t>
            </w:r>
          </w:p>
        </w:tc>
        <w:tc>
          <w:tcPr>
            <w:tcW w:w="1095" w:type="dxa"/>
            <w:tcMar>
              <w:left w:w="105" w:type="dxa"/>
              <w:right w:w="105" w:type="dxa"/>
            </w:tcMar>
          </w:tcPr>
          <w:p w14:paraId="413FF9B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Removed (Duplication)</w:t>
            </w:r>
          </w:p>
        </w:tc>
        <w:tc>
          <w:tcPr>
            <w:tcW w:w="1890" w:type="dxa"/>
            <w:tcMar>
              <w:left w:w="105" w:type="dxa"/>
              <w:right w:w="105" w:type="dxa"/>
            </w:tcMar>
          </w:tcPr>
          <w:p w14:paraId="4E5C268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320" w:type="dxa"/>
            <w:tcMar>
              <w:left w:w="105" w:type="dxa"/>
              <w:right w:w="105" w:type="dxa"/>
            </w:tcMar>
          </w:tcPr>
          <w:p w14:paraId="403F716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95" w:type="dxa"/>
            <w:tcMar>
              <w:left w:w="105" w:type="dxa"/>
              <w:right w:w="105" w:type="dxa"/>
            </w:tcMar>
          </w:tcPr>
          <w:p w14:paraId="5CEE13C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347A465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r>
      <w:tr w:rsidR="00161602" w14:paraId="48633F36" w14:textId="77777777" w:rsidTr="00194BBD">
        <w:trPr>
          <w:trHeight w:val="300"/>
        </w:trPr>
        <w:tc>
          <w:tcPr>
            <w:tcW w:w="1080" w:type="dxa"/>
            <w:tcMar>
              <w:left w:w="105" w:type="dxa"/>
              <w:right w:w="105" w:type="dxa"/>
            </w:tcMar>
          </w:tcPr>
          <w:p w14:paraId="1D34970A"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593104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Demonstrate how the contribution of any assessment addresses the interprofessional learning outcomes.</w:t>
            </w:r>
          </w:p>
          <w:p w14:paraId="75E47617"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58934BB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25CB782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9CE3D0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4806FCF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4F248DD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87.5%</w:t>
            </w:r>
          </w:p>
        </w:tc>
      </w:tr>
      <w:tr w:rsidR="00161602" w14:paraId="09A92E45" w14:textId="77777777" w:rsidTr="00194BBD">
        <w:trPr>
          <w:trHeight w:val="300"/>
        </w:trPr>
        <w:tc>
          <w:tcPr>
            <w:tcW w:w="1080" w:type="dxa"/>
            <w:tcMar>
              <w:left w:w="105" w:type="dxa"/>
              <w:right w:w="105" w:type="dxa"/>
            </w:tcMar>
          </w:tcPr>
          <w:p w14:paraId="227CD1FC"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990827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Select assessment methods that match the purpose, content and level of the learner and evaluate interprofessional collaboration.</w:t>
            </w:r>
          </w:p>
          <w:p w14:paraId="27E91759"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431733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681D120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Select assessment methods that match the purpose, content and level of the learner and their interprofessional collaboration.</w:t>
            </w:r>
          </w:p>
          <w:p w14:paraId="3E49F169"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35BF129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7E386B8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93.2%</w:t>
            </w:r>
          </w:p>
        </w:tc>
        <w:tc>
          <w:tcPr>
            <w:tcW w:w="1065" w:type="dxa"/>
            <w:tcMar>
              <w:left w:w="105" w:type="dxa"/>
              <w:right w:w="105" w:type="dxa"/>
            </w:tcMar>
          </w:tcPr>
          <w:p w14:paraId="55827AA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36B8B712" w14:textId="77777777" w:rsidTr="00194BBD">
        <w:trPr>
          <w:trHeight w:val="300"/>
        </w:trPr>
        <w:tc>
          <w:tcPr>
            <w:tcW w:w="1080" w:type="dxa"/>
            <w:tcMar>
              <w:left w:w="105" w:type="dxa"/>
              <w:right w:w="105" w:type="dxa"/>
            </w:tcMar>
          </w:tcPr>
          <w:p w14:paraId="3A60C45D"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D59FF9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Document assessment data in a structured, objective, and constructive manner.</w:t>
            </w:r>
          </w:p>
          <w:p w14:paraId="70AE716F"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6F4290A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67B4551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Conduct assessment in a structured, objective, and constructive manner.</w:t>
            </w:r>
          </w:p>
          <w:p w14:paraId="0C307DDE"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3B59577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6D7D0AF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90.9%</w:t>
            </w:r>
          </w:p>
        </w:tc>
        <w:tc>
          <w:tcPr>
            <w:tcW w:w="1065" w:type="dxa"/>
            <w:tcMar>
              <w:left w:w="105" w:type="dxa"/>
              <w:right w:w="105" w:type="dxa"/>
            </w:tcMar>
          </w:tcPr>
          <w:p w14:paraId="711B131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1E95AE9D" w14:textId="77777777" w:rsidTr="00194BBD">
        <w:trPr>
          <w:trHeight w:val="300"/>
        </w:trPr>
        <w:tc>
          <w:tcPr>
            <w:tcW w:w="1080" w:type="dxa"/>
            <w:tcMar>
              <w:left w:w="105" w:type="dxa"/>
              <w:right w:w="105" w:type="dxa"/>
            </w:tcMar>
          </w:tcPr>
          <w:p w14:paraId="6753F34C"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AA9889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Use assessment outcomes to guide feedback and support learner development.</w:t>
            </w:r>
          </w:p>
          <w:p w14:paraId="74E91A55"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DA4322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0F24E50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571FAE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50B2675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6732AFF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26A143C2" w14:textId="77777777" w:rsidTr="00194BBD">
        <w:trPr>
          <w:trHeight w:val="300"/>
        </w:trPr>
        <w:tc>
          <w:tcPr>
            <w:tcW w:w="1080" w:type="dxa"/>
            <w:tcMar>
              <w:left w:w="105" w:type="dxa"/>
              <w:right w:w="105" w:type="dxa"/>
            </w:tcMar>
          </w:tcPr>
          <w:p w14:paraId="6F5877A0" w14:textId="77777777" w:rsidR="00161602" w:rsidRDefault="00161602" w:rsidP="00194BBD">
            <w:pPr>
              <w:rPr>
                <w:rFonts w:ascii="Times New Roman" w:eastAsia="Times New Roman" w:hAnsi="Times New Roman" w:cs="Times New Roman"/>
                <w:sz w:val="17"/>
                <w:szCs w:val="17"/>
              </w:rPr>
            </w:pPr>
            <w:r w:rsidRPr="2F253C5C">
              <w:rPr>
                <w:rStyle w:val="FootnoteReference"/>
                <w:rFonts w:ascii="Times New Roman" w:eastAsia="Times New Roman" w:hAnsi="Times New Roman" w:cs="Times New Roman"/>
                <w:sz w:val="22"/>
                <w:szCs w:val="22"/>
              </w:rPr>
              <w:t>Management and Leadership</w:t>
            </w:r>
          </w:p>
        </w:tc>
        <w:tc>
          <w:tcPr>
            <w:tcW w:w="1920" w:type="dxa"/>
            <w:tcMar>
              <w:left w:w="105" w:type="dxa"/>
              <w:right w:w="105" w:type="dxa"/>
            </w:tcMar>
          </w:tcPr>
          <w:p w14:paraId="2FF236F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Manage educational </w:t>
            </w:r>
            <w:proofErr w:type="spellStart"/>
            <w:r w:rsidRPr="2F253C5C">
              <w:rPr>
                <w:rFonts w:ascii="Times New Roman" w:eastAsia="Times New Roman" w:hAnsi="Times New Roman" w:cs="Times New Roman"/>
                <w:sz w:val="20"/>
                <w:szCs w:val="20"/>
              </w:rPr>
              <w:t>programmes</w:t>
            </w:r>
            <w:proofErr w:type="spellEnd"/>
            <w:r w:rsidRPr="2F253C5C">
              <w:rPr>
                <w:rFonts w:ascii="Times New Roman" w:eastAsia="Times New Roman" w:hAnsi="Times New Roman" w:cs="Times New Roman"/>
                <w:sz w:val="20"/>
                <w:szCs w:val="20"/>
              </w:rPr>
              <w:t xml:space="preserve"> and resources, including coordination of diverse professional and educational roles.</w:t>
            </w:r>
          </w:p>
        </w:tc>
        <w:tc>
          <w:tcPr>
            <w:tcW w:w="1095" w:type="dxa"/>
            <w:tcMar>
              <w:left w:w="105" w:type="dxa"/>
              <w:right w:w="105" w:type="dxa"/>
            </w:tcMar>
          </w:tcPr>
          <w:p w14:paraId="7A33E66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341B694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1AA3349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0225769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86.4%</w:t>
            </w:r>
          </w:p>
        </w:tc>
        <w:tc>
          <w:tcPr>
            <w:tcW w:w="1065" w:type="dxa"/>
            <w:tcMar>
              <w:left w:w="105" w:type="dxa"/>
              <w:right w:w="105" w:type="dxa"/>
            </w:tcMar>
          </w:tcPr>
          <w:p w14:paraId="72439B14"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672AFACC" w14:textId="77777777" w:rsidTr="00194BBD">
        <w:trPr>
          <w:trHeight w:val="300"/>
        </w:trPr>
        <w:tc>
          <w:tcPr>
            <w:tcW w:w="1080" w:type="dxa"/>
            <w:tcMar>
              <w:left w:w="105" w:type="dxa"/>
              <w:right w:w="105" w:type="dxa"/>
            </w:tcMar>
          </w:tcPr>
          <w:p w14:paraId="13B12CD7"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F11F2E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Develop and maintain an inclusive learning environment.</w:t>
            </w:r>
          </w:p>
          <w:p w14:paraId="3EA01D46"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1F8FD75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6C45782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401E5B1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67983CF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5667CCD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18CBEC34" w14:textId="77777777" w:rsidTr="00194BBD">
        <w:trPr>
          <w:trHeight w:val="300"/>
        </w:trPr>
        <w:tc>
          <w:tcPr>
            <w:tcW w:w="1080" w:type="dxa"/>
            <w:tcMar>
              <w:left w:w="105" w:type="dxa"/>
              <w:right w:w="105" w:type="dxa"/>
            </w:tcMar>
          </w:tcPr>
          <w:p w14:paraId="76E44D02"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F6B2AF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Draw upon a range of leadership theories for effective educational change.</w:t>
            </w:r>
          </w:p>
          <w:p w14:paraId="3D5BBBC4"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033F21F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28072A2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35E89B5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United</w:t>
            </w:r>
          </w:p>
        </w:tc>
        <w:tc>
          <w:tcPr>
            <w:tcW w:w="1095" w:type="dxa"/>
            <w:tcMar>
              <w:left w:w="105" w:type="dxa"/>
              <w:right w:w="105" w:type="dxa"/>
            </w:tcMar>
          </w:tcPr>
          <w:p w14:paraId="379D526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84.1%</w:t>
            </w:r>
          </w:p>
        </w:tc>
        <w:tc>
          <w:tcPr>
            <w:tcW w:w="1065" w:type="dxa"/>
            <w:tcMar>
              <w:left w:w="105" w:type="dxa"/>
              <w:right w:w="105" w:type="dxa"/>
            </w:tcMar>
          </w:tcPr>
          <w:p w14:paraId="296EC01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87.5%</w:t>
            </w:r>
          </w:p>
        </w:tc>
      </w:tr>
      <w:tr w:rsidR="00161602" w14:paraId="50F24BB9" w14:textId="77777777" w:rsidTr="00194BBD">
        <w:trPr>
          <w:trHeight w:val="300"/>
        </w:trPr>
        <w:tc>
          <w:tcPr>
            <w:tcW w:w="1080" w:type="dxa"/>
            <w:tcMar>
              <w:left w:w="105" w:type="dxa"/>
              <w:right w:w="105" w:type="dxa"/>
            </w:tcMar>
          </w:tcPr>
          <w:p w14:paraId="6231430E"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6E66AD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Support the educational development of others within a local team, </w:t>
            </w:r>
            <w:r w:rsidRPr="2F253C5C">
              <w:rPr>
                <w:rFonts w:ascii="Times New Roman" w:eastAsia="Times New Roman" w:hAnsi="Times New Roman" w:cs="Times New Roman"/>
                <w:sz w:val="20"/>
                <w:szCs w:val="20"/>
              </w:rPr>
              <w:lastRenderedPageBreak/>
              <w:t>educators faculty or department.</w:t>
            </w:r>
          </w:p>
          <w:p w14:paraId="209CC1FF"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8CB26F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lastRenderedPageBreak/>
              <w:t>Edited</w:t>
            </w:r>
          </w:p>
        </w:tc>
        <w:tc>
          <w:tcPr>
            <w:tcW w:w="1890" w:type="dxa"/>
            <w:tcMar>
              <w:left w:w="105" w:type="dxa"/>
              <w:right w:w="105" w:type="dxa"/>
            </w:tcMar>
          </w:tcPr>
          <w:p w14:paraId="64A25E3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Support the educational development of others within a local team, </w:t>
            </w:r>
            <w:r w:rsidRPr="2F253C5C">
              <w:rPr>
                <w:rFonts w:ascii="Times New Roman" w:eastAsia="Times New Roman" w:hAnsi="Times New Roman" w:cs="Times New Roman"/>
                <w:sz w:val="20"/>
                <w:szCs w:val="20"/>
              </w:rPr>
              <w:lastRenderedPageBreak/>
              <w:t>educators or department.</w:t>
            </w:r>
          </w:p>
          <w:p w14:paraId="4406572D"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424B2D5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lastRenderedPageBreak/>
              <w:t>Edited</w:t>
            </w:r>
          </w:p>
        </w:tc>
        <w:tc>
          <w:tcPr>
            <w:tcW w:w="1095" w:type="dxa"/>
            <w:tcMar>
              <w:left w:w="105" w:type="dxa"/>
              <w:right w:w="105" w:type="dxa"/>
            </w:tcMar>
          </w:tcPr>
          <w:p w14:paraId="59175432"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86.4%</w:t>
            </w:r>
          </w:p>
        </w:tc>
        <w:tc>
          <w:tcPr>
            <w:tcW w:w="1065" w:type="dxa"/>
            <w:tcMar>
              <w:left w:w="105" w:type="dxa"/>
              <w:right w:w="105" w:type="dxa"/>
            </w:tcMar>
          </w:tcPr>
          <w:p w14:paraId="6F05EA1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2394AA1F" w14:textId="77777777" w:rsidTr="00194BBD">
        <w:trPr>
          <w:trHeight w:val="300"/>
        </w:trPr>
        <w:tc>
          <w:tcPr>
            <w:tcW w:w="1080" w:type="dxa"/>
            <w:tcMar>
              <w:left w:w="105" w:type="dxa"/>
              <w:right w:w="105" w:type="dxa"/>
            </w:tcMar>
          </w:tcPr>
          <w:p w14:paraId="7A4FCA40"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620EF57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Facilitates educational governance through quality control and quality improvement of education.</w:t>
            </w:r>
          </w:p>
          <w:p w14:paraId="72EC4FD0"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6EBEE07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2BB6F40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Facilitate educational governance through quality control and quality improvement of interprofessional simulation education.</w:t>
            </w:r>
          </w:p>
          <w:p w14:paraId="24BD6C11"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11E79DB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7D9B6C7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93.2%</w:t>
            </w:r>
          </w:p>
        </w:tc>
        <w:tc>
          <w:tcPr>
            <w:tcW w:w="1065" w:type="dxa"/>
            <w:tcMar>
              <w:left w:w="105" w:type="dxa"/>
              <w:right w:w="105" w:type="dxa"/>
            </w:tcMar>
          </w:tcPr>
          <w:p w14:paraId="4E9E223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5E4DEED8" w14:textId="77777777" w:rsidTr="00194BBD">
        <w:trPr>
          <w:trHeight w:val="300"/>
        </w:trPr>
        <w:tc>
          <w:tcPr>
            <w:tcW w:w="1080" w:type="dxa"/>
            <w:tcMar>
              <w:left w:w="105" w:type="dxa"/>
              <w:right w:w="105" w:type="dxa"/>
            </w:tcMar>
          </w:tcPr>
          <w:p w14:paraId="194F3BEF"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0FBAFD0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Promote a culture of interprofessional collaboration, modelling inclusive leadership </w:t>
            </w:r>
            <w:proofErr w:type="spellStart"/>
            <w:r w:rsidRPr="2F253C5C">
              <w:rPr>
                <w:rFonts w:ascii="Times New Roman" w:eastAsia="Times New Roman" w:hAnsi="Times New Roman" w:cs="Times New Roman"/>
                <w:sz w:val="20"/>
                <w:szCs w:val="20"/>
              </w:rPr>
              <w:t>behaviours</w:t>
            </w:r>
            <w:proofErr w:type="spellEnd"/>
          </w:p>
        </w:tc>
        <w:tc>
          <w:tcPr>
            <w:tcW w:w="1095" w:type="dxa"/>
            <w:tcMar>
              <w:left w:w="105" w:type="dxa"/>
              <w:right w:w="105" w:type="dxa"/>
            </w:tcMar>
          </w:tcPr>
          <w:p w14:paraId="138A51D6"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3C72331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41FDE7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55A6498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97.8%</w:t>
            </w:r>
          </w:p>
        </w:tc>
        <w:tc>
          <w:tcPr>
            <w:tcW w:w="1065" w:type="dxa"/>
            <w:tcMar>
              <w:left w:w="105" w:type="dxa"/>
              <w:right w:w="105" w:type="dxa"/>
            </w:tcMar>
          </w:tcPr>
          <w:p w14:paraId="675FB92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r>
      <w:tr w:rsidR="00161602" w14:paraId="74CEFD2D" w14:textId="77777777" w:rsidTr="00194BBD">
        <w:trPr>
          <w:trHeight w:val="300"/>
        </w:trPr>
        <w:tc>
          <w:tcPr>
            <w:tcW w:w="1080" w:type="dxa"/>
            <w:tcMar>
              <w:left w:w="105" w:type="dxa"/>
              <w:right w:w="105" w:type="dxa"/>
            </w:tcMar>
          </w:tcPr>
          <w:p w14:paraId="6ED0B5B9"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57D8719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95" w:type="dxa"/>
            <w:tcMar>
              <w:left w:w="105" w:type="dxa"/>
              <w:right w:w="105" w:type="dxa"/>
            </w:tcMar>
          </w:tcPr>
          <w:p w14:paraId="2589AF2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New item</w:t>
            </w:r>
          </w:p>
        </w:tc>
        <w:tc>
          <w:tcPr>
            <w:tcW w:w="1890" w:type="dxa"/>
            <w:tcMar>
              <w:left w:w="105" w:type="dxa"/>
              <w:right w:w="105" w:type="dxa"/>
            </w:tcMar>
          </w:tcPr>
          <w:p w14:paraId="2E113F1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Facilitate processes that promote efficiency and reduce duplication across interprofessional simulation activities</w:t>
            </w:r>
          </w:p>
        </w:tc>
        <w:tc>
          <w:tcPr>
            <w:tcW w:w="1320" w:type="dxa"/>
            <w:tcMar>
              <w:left w:w="105" w:type="dxa"/>
              <w:right w:w="105" w:type="dxa"/>
            </w:tcMar>
          </w:tcPr>
          <w:p w14:paraId="66AE199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Removed (Duplication)</w:t>
            </w:r>
          </w:p>
        </w:tc>
        <w:tc>
          <w:tcPr>
            <w:tcW w:w="1095" w:type="dxa"/>
            <w:tcMar>
              <w:left w:w="105" w:type="dxa"/>
              <w:right w:w="105" w:type="dxa"/>
            </w:tcMar>
          </w:tcPr>
          <w:p w14:paraId="4019881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N/A</w:t>
            </w:r>
          </w:p>
        </w:tc>
        <w:tc>
          <w:tcPr>
            <w:tcW w:w="1065" w:type="dxa"/>
            <w:tcMar>
              <w:left w:w="105" w:type="dxa"/>
              <w:right w:w="105" w:type="dxa"/>
            </w:tcMar>
          </w:tcPr>
          <w:p w14:paraId="2E86649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1FCA8083" w14:textId="77777777" w:rsidTr="00194BBD">
        <w:trPr>
          <w:trHeight w:val="300"/>
        </w:trPr>
        <w:tc>
          <w:tcPr>
            <w:tcW w:w="1080" w:type="dxa"/>
            <w:tcMar>
              <w:left w:w="105" w:type="dxa"/>
              <w:right w:w="105" w:type="dxa"/>
            </w:tcMar>
          </w:tcPr>
          <w:p w14:paraId="43D3AA3F"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A37195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Advocate for education, systems and practices that support integration across professions</w:t>
            </w:r>
          </w:p>
        </w:tc>
        <w:tc>
          <w:tcPr>
            <w:tcW w:w="1095" w:type="dxa"/>
            <w:tcMar>
              <w:left w:w="105" w:type="dxa"/>
              <w:right w:w="105" w:type="dxa"/>
            </w:tcMar>
          </w:tcPr>
          <w:p w14:paraId="1ED2F78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1E6E5A8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0A946D4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7B31DE8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100%</w:t>
            </w:r>
          </w:p>
        </w:tc>
        <w:tc>
          <w:tcPr>
            <w:tcW w:w="1065" w:type="dxa"/>
            <w:tcMar>
              <w:left w:w="105" w:type="dxa"/>
              <w:right w:w="105" w:type="dxa"/>
            </w:tcMar>
          </w:tcPr>
          <w:p w14:paraId="43333D7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621B962D" w14:textId="77777777" w:rsidTr="00194BBD">
        <w:trPr>
          <w:trHeight w:val="300"/>
        </w:trPr>
        <w:tc>
          <w:tcPr>
            <w:tcW w:w="1080" w:type="dxa"/>
            <w:tcMar>
              <w:left w:w="105" w:type="dxa"/>
              <w:right w:w="105" w:type="dxa"/>
            </w:tcMar>
          </w:tcPr>
          <w:p w14:paraId="36B0D97D" w14:textId="77777777" w:rsidR="00161602" w:rsidRDefault="00161602" w:rsidP="00194BBD">
            <w:pPr>
              <w:rPr>
                <w:rFonts w:ascii="Times New Roman" w:eastAsia="Times New Roman" w:hAnsi="Times New Roman" w:cs="Times New Roman"/>
                <w:sz w:val="17"/>
                <w:szCs w:val="17"/>
              </w:rPr>
            </w:pPr>
            <w:r w:rsidRPr="2F253C5C">
              <w:rPr>
                <w:rStyle w:val="FootnoteReference"/>
                <w:rFonts w:ascii="Times New Roman" w:eastAsia="Times New Roman" w:hAnsi="Times New Roman" w:cs="Times New Roman"/>
                <w:sz w:val="22"/>
                <w:szCs w:val="22"/>
              </w:rPr>
              <w:t>Research and Scholarship</w:t>
            </w:r>
          </w:p>
        </w:tc>
        <w:tc>
          <w:tcPr>
            <w:tcW w:w="1920" w:type="dxa"/>
            <w:tcMar>
              <w:left w:w="105" w:type="dxa"/>
              <w:right w:w="105" w:type="dxa"/>
            </w:tcMar>
          </w:tcPr>
          <w:p w14:paraId="3994573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Integrate interprofessional simulation educational research into education and practice.</w:t>
            </w:r>
          </w:p>
          <w:p w14:paraId="0AE2CBC6"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39B028E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361DBB5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Integrate interprofessional simulation research into practice.</w:t>
            </w:r>
          </w:p>
          <w:p w14:paraId="2DA91D39"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4BD2F005"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764EC14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88.6%</w:t>
            </w:r>
          </w:p>
        </w:tc>
        <w:tc>
          <w:tcPr>
            <w:tcW w:w="1065" w:type="dxa"/>
            <w:tcMar>
              <w:left w:w="105" w:type="dxa"/>
              <w:right w:w="105" w:type="dxa"/>
            </w:tcMar>
          </w:tcPr>
          <w:p w14:paraId="46591230"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0238F5E8" w14:textId="77777777" w:rsidTr="00194BBD">
        <w:trPr>
          <w:trHeight w:val="300"/>
        </w:trPr>
        <w:tc>
          <w:tcPr>
            <w:tcW w:w="1080" w:type="dxa"/>
            <w:tcMar>
              <w:left w:w="105" w:type="dxa"/>
              <w:right w:w="105" w:type="dxa"/>
            </w:tcMar>
          </w:tcPr>
          <w:p w14:paraId="575D14E9"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28F8234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Engage in collaborative scholarship with interprofessional colleagues advancing </w:t>
            </w:r>
            <w:r w:rsidRPr="2F253C5C">
              <w:rPr>
                <w:rFonts w:ascii="Times New Roman" w:eastAsia="Times New Roman" w:hAnsi="Times New Roman" w:cs="Times New Roman"/>
                <w:sz w:val="20"/>
                <w:szCs w:val="20"/>
              </w:rPr>
              <w:lastRenderedPageBreak/>
              <w:t>understanding of simulation-based interprofessional education.</w:t>
            </w:r>
          </w:p>
          <w:p w14:paraId="526F606B"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15D2D718"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lastRenderedPageBreak/>
              <w:t>Edited</w:t>
            </w:r>
          </w:p>
        </w:tc>
        <w:tc>
          <w:tcPr>
            <w:tcW w:w="1890" w:type="dxa"/>
            <w:tcMar>
              <w:left w:w="105" w:type="dxa"/>
              <w:right w:w="105" w:type="dxa"/>
            </w:tcMar>
          </w:tcPr>
          <w:p w14:paraId="54926E9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 xml:space="preserve">Engage in collaborative scholarship with interprofessional colleagues advancing </w:t>
            </w:r>
            <w:r w:rsidRPr="2F253C5C">
              <w:rPr>
                <w:rFonts w:ascii="Times New Roman" w:eastAsia="Times New Roman" w:hAnsi="Times New Roman" w:cs="Times New Roman"/>
                <w:sz w:val="20"/>
                <w:szCs w:val="20"/>
              </w:rPr>
              <w:lastRenderedPageBreak/>
              <w:t>simulation-based interprofessional education.</w:t>
            </w:r>
          </w:p>
          <w:p w14:paraId="10AA4E09"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7080704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lastRenderedPageBreak/>
              <w:t>Edited</w:t>
            </w:r>
          </w:p>
        </w:tc>
        <w:tc>
          <w:tcPr>
            <w:tcW w:w="1095" w:type="dxa"/>
            <w:tcMar>
              <w:left w:w="105" w:type="dxa"/>
              <w:right w:w="105" w:type="dxa"/>
            </w:tcMar>
          </w:tcPr>
          <w:p w14:paraId="0A6153A7"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95.5%</w:t>
            </w:r>
          </w:p>
        </w:tc>
        <w:tc>
          <w:tcPr>
            <w:tcW w:w="1065" w:type="dxa"/>
            <w:tcMar>
              <w:left w:w="105" w:type="dxa"/>
              <w:right w:w="105" w:type="dxa"/>
            </w:tcMar>
          </w:tcPr>
          <w:p w14:paraId="52D2F61F"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96.9%</w:t>
            </w:r>
          </w:p>
        </w:tc>
      </w:tr>
      <w:tr w:rsidR="00161602" w14:paraId="1BDB8B27" w14:textId="77777777" w:rsidTr="00194BBD">
        <w:trPr>
          <w:trHeight w:val="300"/>
        </w:trPr>
        <w:tc>
          <w:tcPr>
            <w:tcW w:w="1080" w:type="dxa"/>
            <w:tcMar>
              <w:left w:w="105" w:type="dxa"/>
              <w:right w:w="105" w:type="dxa"/>
            </w:tcMar>
          </w:tcPr>
          <w:p w14:paraId="5E3E754F"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1D27421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Employ appropriate research methodologies relevant to interprofessional simulation-based education research.</w:t>
            </w:r>
          </w:p>
          <w:p w14:paraId="061FA73B"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075F365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6AB53C8A"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45E06129"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095" w:type="dxa"/>
            <w:tcMar>
              <w:left w:w="105" w:type="dxa"/>
              <w:right w:w="105" w:type="dxa"/>
            </w:tcMar>
          </w:tcPr>
          <w:p w14:paraId="4BFC325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84.1%</w:t>
            </w:r>
          </w:p>
        </w:tc>
        <w:tc>
          <w:tcPr>
            <w:tcW w:w="1065" w:type="dxa"/>
            <w:tcMar>
              <w:left w:w="105" w:type="dxa"/>
              <w:right w:w="105" w:type="dxa"/>
            </w:tcMar>
          </w:tcPr>
          <w:p w14:paraId="25251D23"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90.6%</w:t>
            </w:r>
          </w:p>
        </w:tc>
      </w:tr>
      <w:tr w:rsidR="00161602" w14:paraId="2B58C92E" w14:textId="77777777" w:rsidTr="00194BBD">
        <w:trPr>
          <w:trHeight w:val="300"/>
        </w:trPr>
        <w:tc>
          <w:tcPr>
            <w:tcW w:w="1080" w:type="dxa"/>
            <w:tcMar>
              <w:left w:w="105" w:type="dxa"/>
              <w:right w:w="105" w:type="dxa"/>
            </w:tcMar>
          </w:tcPr>
          <w:p w14:paraId="50761CED"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5E408E0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Disseminate findings through peer-reviewed publications, conference presentations, and internal knowledge-sharing platforms.</w:t>
            </w:r>
          </w:p>
        </w:tc>
        <w:tc>
          <w:tcPr>
            <w:tcW w:w="1095" w:type="dxa"/>
            <w:tcMar>
              <w:left w:w="105" w:type="dxa"/>
              <w:right w:w="105" w:type="dxa"/>
            </w:tcMar>
          </w:tcPr>
          <w:p w14:paraId="6D96A6B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Retained Unedited</w:t>
            </w:r>
          </w:p>
        </w:tc>
        <w:tc>
          <w:tcPr>
            <w:tcW w:w="1890" w:type="dxa"/>
            <w:tcMar>
              <w:left w:w="105" w:type="dxa"/>
              <w:right w:w="105" w:type="dxa"/>
            </w:tcMar>
          </w:tcPr>
          <w:p w14:paraId="4787CA4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w:t>
            </w:r>
          </w:p>
        </w:tc>
        <w:tc>
          <w:tcPr>
            <w:tcW w:w="1320" w:type="dxa"/>
            <w:tcMar>
              <w:left w:w="105" w:type="dxa"/>
              <w:right w:w="105" w:type="dxa"/>
            </w:tcMar>
          </w:tcPr>
          <w:p w14:paraId="3F68A871"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2D12C0EE"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88.6%</w:t>
            </w:r>
          </w:p>
        </w:tc>
        <w:tc>
          <w:tcPr>
            <w:tcW w:w="1065" w:type="dxa"/>
            <w:tcMar>
              <w:left w:w="105" w:type="dxa"/>
              <w:right w:w="105" w:type="dxa"/>
            </w:tcMar>
          </w:tcPr>
          <w:p w14:paraId="4380480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r w:rsidR="00161602" w14:paraId="10A1FB59" w14:textId="77777777" w:rsidTr="00194BBD">
        <w:trPr>
          <w:trHeight w:val="300"/>
        </w:trPr>
        <w:tc>
          <w:tcPr>
            <w:tcW w:w="1080" w:type="dxa"/>
            <w:tcMar>
              <w:left w:w="105" w:type="dxa"/>
              <w:right w:w="105" w:type="dxa"/>
            </w:tcMar>
          </w:tcPr>
          <w:p w14:paraId="082AB4DE" w14:textId="77777777" w:rsidR="00161602" w:rsidRDefault="00161602" w:rsidP="00194BBD">
            <w:pPr>
              <w:rPr>
                <w:rFonts w:ascii="Times New Roman" w:eastAsia="Times New Roman" w:hAnsi="Times New Roman" w:cs="Times New Roman"/>
                <w:sz w:val="17"/>
                <w:szCs w:val="17"/>
              </w:rPr>
            </w:pPr>
          </w:p>
        </w:tc>
        <w:tc>
          <w:tcPr>
            <w:tcW w:w="1920" w:type="dxa"/>
            <w:tcMar>
              <w:left w:w="105" w:type="dxa"/>
              <w:right w:w="105" w:type="dxa"/>
            </w:tcMar>
          </w:tcPr>
          <w:p w14:paraId="6969633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Advocate for inclusive, ethical and patient-centered perspectives in IPE simulation research</w:t>
            </w:r>
            <w:r w:rsidRPr="2F253C5C">
              <w:rPr>
                <w:rFonts w:ascii="Times New Roman" w:eastAsia="Times New Roman" w:hAnsi="Times New Roman" w:cs="Times New Roman"/>
                <w:strike/>
                <w:sz w:val="20"/>
                <w:szCs w:val="20"/>
              </w:rPr>
              <w:t>.</w:t>
            </w:r>
          </w:p>
          <w:p w14:paraId="0B111D04" w14:textId="77777777" w:rsidR="00161602" w:rsidRDefault="00161602" w:rsidP="00194BBD">
            <w:pPr>
              <w:rPr>
                <w:rFonts w:ascii="Times New Roman" w:eastAsia="Times New Roman" w:hAnsi="Times New Roman" w:cs="Times New Roman"/>
                <w:sz w:val="20"/>
                <w:szCs w:val="20"/>
              </w:rPr>
            </w:pPr>
          </w:p>
        </w:tc>
        <w:tc>
          <w:tcPr>
            <w:tcW w:w="1095" w:type="dxa"/>
            <w:tcMar>
              <w:left w:w="105" w:type="dxa"/>
              <w:right w:w="105" w:type="dxa"/>
            </w:tcMar>
          </w:tcPr>
          <w:p w14:paraId="2A92CD9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890" w:type="dxa"/>
            <w:tcMar>
              <w:left w:w="105" w:type="dxa"/>
              <w:right w:w="105" w:type="dxa"/>
            </w:tcMar>
          </w:tcPr>
          <w:p w14:paraId="5CE6CB7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Advocate for inclusive, ethical, learner and patient-centered perspectives in IPE simulation research</w:t>
            </w:r>
            <w:r w:rsidRPr="2F253C5C">
              <w:rPr>
                <w:rFonts w:ascii="Times New Roman" w:eastAsia="Times New Roman" w:hAnsi="Times New Roman" w:cs="Times New Roman"/>
                <w:strike/>
                <w:sz w:val="20"/>
                <w:szCs w:val="20"/>
              </w:rPr>
              <w:t>.</w:t>
            </w:r>
          </w:p>
          <w:p w14:paraId="1D1950E1" w14:textId="77777777" w:rsidR="00161602" w:rsidRDefault="00161602" w:rsidP="00194BBD">
            <w:pPr>
              <w:rPr>
                <w:rFonts w:ascii="Times New Roman" w:eastAsia="Times New Roman" w:hAnsi="Times New Roman" w:cs="Times New Roman"/>
                <w:sz w:val="20"/>
                <w:szCs w:val="20"/>
              </w:rPr>
            </w:pPr>
          </w:p>
        </w:tc>
        <w:tc>
          <w:tcPr>
            <w:tcW w:w="1320" w:type="dxa"/>
            <w:tcMar>
              <w:left w:w="105" w:type="dxa"/>
              <w:right w:w="105" w:type="dxa"/>
            </w:tcMar>
          </w:tcPr>
          <w:p w14:paraId="6F4092BD"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Edited</w:t>
            </w:r>
          </w:p>
        </w:tc>
        <w:tc>
          <w:tcPr>
            <w:tcW w:w="1095" w:type="dxa"/>
            <w:tcMar>
              <w:left w:w="105" w:type="dxa"/>
              <w:right w:w="105" w:type="dxa"/>
            </w:tcMar>
          </w:tcPr>
          <w:p w14:paraId="1B4A560C"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88.6%</w:t>
            </w:r>
          </w:p>
        </w:tc>
        <w:tc>
          <w:tcPr>
            <w:tcW w:w="1065" w:type="dxa"/>
            <w:tcMar>
              <w:left w:w="105" w:type="dxa"/>
              <w:right w:w="105" w:type="dxa"/>
            </w:tcMar>
          </w:tcPr>
          <w:p w14:paraId="0DD3C7BB" w14:textId="77777777" w:rsidR="00161602" w:rsidRDefault="00161602" w:rsidP="00194BBD">
            <w:pPr>
              <w:rPr>
                <w:rFonts w:ascii="Times New Roman" w:eastAsia="Times New Roman" w:hAnsi="Times New Roman" w:cs="Times New Roman"/>
                <w:sz w:val="20"/>
                <w:szCs w:val="20"/>
              </w:rPr>
            </w:pPr>
            <w:r w:rsidRPr="2F253C5C">
              <w:rPr>
                <w:rFonts w:ascii="Times New Roman" w:eastAsia="Times New Roman" w:hAnsi="Times New Roman" w:cs="Times New Roman"/>
                <w:sz w:val="20"/>
                <w:szCs w:val="20"/>
              </w:rPr>
              <w:t>93.8%</w:t>
            </w:r>
          </w:p>
        </w:tc>
      </w:tr>
    </w:tbl>
    <w:p w14:paraId="31343177" w14:textId="77777777" w:rsidR="00161602" w:rsidRDefault="00161602" w:rsidP="00161602">
      <w:pPr>
        <w:rPr>
          <w:rFonts w:ascii="Times New Roman" w:eastAsia="Times New Roman" w:hAnsi="Times New Roman" w:cs="Times New Roman"/>
          <w:color w:val="000000" w:themeColor="text1"/>
          <w:sz w:val="17"/>
          <w:szCs w:val="17"/>
        </w:rPr>
      </w:pPr>
      <w:r w:rsidRPr="2F253C5C">
        <w:rPr>
          <w:rStyle w:val="FootnoteReference"/>
          <w:rFonts w:ascii="Times New Roman" w:eastAsia="Times New Roman" w:hAnsi="Times New Roman" w:cs="Times New Roman"/>
          <w:color w:val="000000" w:themeColor="text1"/>
          <w:sz w:val="22"/>
          <w:szCs w:val="22"/>
        </w:rPr>
        <w:t>- item unchanged from previous round</w:t>
      </w:r>
    </w:p>
    <w:p w14:paraId="04406C15" w14:textId="77777777" w:rsidR="008B07A6" w:rsidRDefault="008B07A6"/>
    <w:sectPr w:rsidR="008B07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02"/>
    <w:rsid w:val="00066677"/>
    <w:rsid w:val="00161602"/>
    <w:rsid w:val="003A4E89"/>
    <w:rsid w:val="00556784"/>
    <w:rsid w:val="008B07A6"/>
    <w:rsid w:val="00987B63"/>
    <w:rsid w:val="00B73853"/>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B1BD"/>
  <w15:chartTrackingRefBased/>
  <w15:docId w15:val="{F8A4A795-14B6-4FC8-9A3E-7AEDA3B4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0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1616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616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61602"/>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61602"/>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61602"/>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61602"/>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61602"/>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61602"/>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61602"/>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602"/>
    <w:rPr>
      <w:rFonts w:eastAsiaTheme="majorEastAsia" w:cstheme="majorBidi"/>
      <w:color w:val="272727" w:themeColor="text1" w:themeTint="D8"/>
    </w:rPr>
  </w:style>
  <w:style w:type="paragraph" w:styleId="Title">
    <w:name w:val="Title"/>
    <w:basedOn w:val="Normal"/>
    <w:next w:val="Normal"/>
    <w:link w:val="TitleChar"/>
    <w:uiPriority w:val="10"/>
    <w:qFormat/>
    <w:rsid w:val="0016160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61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602"/>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61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602"/>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61602"/>
    <w:rPr>
      <w:i/>
      <w:iCs/>
      <w:color w:val="404040" w:themeColor="text1" w:themeTint="BF"/>
    </w:rPr>
  </w:style>
  <w:style w:type="paragraph" w:styleId="ListParagraph">
    <w:name w:val="List Paragraph"/>
    <w:basedOn w:val="Normal"/>
    <w:uiPriority w:val="34"/>
    <w:qFormat/>
    <w:rsid w:val="00161602"/>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161602"/>
    <w:rPr>
      <w:i/>
      <w:iCs/>
      <w:color w:val="0F4761" w:themeColor="accent1" w:themeShade="BF"/>
    </w:rPr>
  </w:style>
  <w:style w:type="paragraph" w:styleId="IntenseQuote">
    <w:name w:val="Intense Quote"/>
    <w:basedOn w:val="Normal"/>
    <w:next w:val="Normal"/>
    <w:link w:val="IntenseQuoteChar"/>
    <w:uiPriority w:val="30"/>
    <w:qFormat/>
    <w:rsid w:val="001616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61602"/>
    <w:rPr>
      <w:i/>
      <w:iCs/>
      <w:color w:val="0F4761" w:themeColor="accent1" w:themeShade="BF"/>
    </w:rPr>
  </w:style>
  <w:style w:type="character" w:styleId="IntenseReference">
    <w:name w:val="Intense Reference"/>
    <w:basedOn w:val="DefaultParagraphFont"/>
    <w:uiPriority w:val="32"/>
    <w:qFormat/>
    <w:rsid w:val="00161602"/>
    <w:rPr>
      <w:b/>
      <w:bCs/>
      <w:smallCaps/>
      <w:color w:val="0F4761" w:themeColor="accent1" w:themeShade="BF"/>
      <w:spacing w:val="5"/>
    </w:rPr>
  </w:style>
  <w:style w:type="table" w:styleId="TableGrid">
    <w:name w:val="Table Grid"/>
    <w:basedOn w:val="TableNormal"/>
    <w:uiPriority w:val="59"/>
    <w:rsid w:val="00161602"/>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161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3020</Words>
  <Characters>17214</Characters>
  <Application>Microsoft Office Word</Application>
  <DocSecurity>0</DocSecurity>
  <Lines>143</Lines>
  <Paragraphs>40</Paragraphs>
  <ScaleCrop>false</ScaleCrop>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2026-05-14T02:25:00Z</dcterms:created>
  <dcterms:modified xsi:type="dcterms:W3CDTF">2026-05-14T02:31:00Z</dcterms:modified>
</cp:coreProperties>
</file>