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94EDB20" w:rsidP="0D22A979" w:rsidRDefault="694EDB20" w14:paraId="6AD4B7C1" w14:textId="33461A58">
      <w:pPr>
        <w:pStyle w:val="Heading3"/>
        <w:suppressLineNumbers w:val="0"/>
        <w:bidi w:val="0"/>
        <w:spacing w:before="281" w:beforeAutospacing="off" w:after="281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0D22A979" w:rsidR="0D22A979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Table S2. Summary of feedback loops in the CLD</w:t>
      </w:r>
    </w:p>
    <w:tbl>
      <w:tblPr>
        <w:tblStyle w:val="TableNormal"/>
        <w:bidiVisual w:val="0"/>
        <w:tblW w:w="9511" w:type="dxa"/>
        <w:tblLook w:val="06A0" w:firstRow="1" w:lastRow="0" w:firstColumn="1" w:lastColumn="0" w:noHBand="1" w:noVBand="1"/>
      </w:tblPr>
      <w:tblGrid>
        <w:gridCol w:w="1843"/>
        <w:gridCol w:w="2925"/>
        <w:gridCol w:w="1948"/>
        <w:gridCol w:w="2795"/>
      </w:tblGrid>
      <w:tr w:rsidR="694EDB20" w:rsidTr="35A7722E" w14:paraId="54B594A3">
        <w:trPr>
          <w:trHeight w:val="300"/>
        </w:trPr>
        <w:tc>
          <w:tcPr>
            <w:tcW w:w="1843" w:type="dxa"/>
            <w:tcBorders>
              <w:top w:val="single" w:color="000000" w:themeColor="text1" w:sz="2"/>
              <w:bottom w:val="single" w:color="000000" w:themeColor="text1" w:sz="2"/>
            </w:tcBorders>
            <w:tcMar/>
            <w:vAlign w:val="center"/>
          </w:tcPr>
          <w:p w:rsidR="694EDB20" w:rsidP="694EDB20" w:rsidRDefault="694EDB20" w14:paraId="0F90D33D" w14:textId="5E211C3A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A2E6723" w:rsidR="3A2E6723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Loop </w:t>
            </w:r>
          </w:p>
        </w:tc>
        <w:tc>
          <w:tcPr>
            <w:tcW w:w="2925" w:type="dxa"/>
            <w:tcBorders>
              <w:top w:val="single" w:color="000000" w:themeColor="text1" w:sz="2"/>
              <w:bottom w:val="single" w:color="000000" w:themeColor="text1" w:sz="2"/>
            </w:tcBorders>
            <w:tcMar/>
            <w:vAlign w:val="center"/>
          </w:tcPr>
          <w:p w:rsidR="694EDB20" w:rsidP="694EDB20" w:rsidRDefault="694EDB20" w14:paraId="6BEC0E21" w14:textId="49B660A7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Core variables (examples)</w:t>
            </w:r>
          </w:p>
        </w:tc>
        <w:tc>
          <w:tcPr>
            <w:tcW w:w="1948" w:type="dxa"/>
            <w:tcBorders>
              <w:top w:val="single" w:color="000000" w:themeColor="text1" w:sz="2"/>
              <w:bottom w:val="single" w:color="000000" w:themeColor="text1" w:sz="2"/>
            </w:tcBorders>
            <w:tcMar/>
            <w:vAlign w:val="center"/>
          </w:tcPr>
          <w:p w:rsidR="694EDB20" w:rsidP="694EDB20" w:rsidRDefault="694EDB20" w14:paraId="5371D0C5" w14:textId="383C6EF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Expected system effect</w:t>
            </w:r>
          </w:p>
        </w:tc>
        <w:tc>
          <w:tcPr>
            <w:tcW w:w="2795" w:type="dxa"/>
            <w:tcBorders>
              <w:top w:val="single" w:color="000000" w:themeColor="text1" w:sz="2"/>
              <w:bottom w:val="single" w:color="000000" w:themeColor="text1" w:sz="2"/>
            </w:tcBorders>
            <w:tcMar/>
            <w:vAlign w:val="center"/>
          </w:tcPr>
          <w:p w:rsidR="694EDB20" w:rsidP="694EDB20" w:rsidRDefault="694EDB20" w14:paraId="010B3F59" w14:textId="65939D93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Practical leverage points (examples)</w:t>
            </w:r>
          </w:p>
        </w:tc>
      </w:tr>
      <w:tr w:rsidR="694EDB20" w:rsidTr="35A7722E" w14:paraId="5EFE506E">
        <w:trPr>
          <w:trHeight w:val="300"/>
        </w:trPr>
        <w:tc>
          <w:tcPr>
            <w:tcW w:w="1843" w:type="dxa"/>
            <w:tcBorders>
              <w:top w:val="single" w:color="000000" w:themeColor="text1" w:sz="2"/>
            </w:tcBorders>
            <w:tcMar/>
            <w:vAlign w:val="center"/>
          </w:tcPr>
          <w:p w:rsidR="694EDB20" w:rsidP="694EDB20" w:rsidRDefault="694EDB20" w14:paraId="1490A0E6" w14:textId="31F531CB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Resilient Housing and Well-Being</w:t>
            </w:r>
          </w:p>
        </w:tc>
        <w:tc>
          <w:tcPr>
            <w:tcW w:w="2925" w:type="dxa"/>
            <w:tcBorders>
              <w:top w:val="single" w:color="000000" w:themeColor="text1" w:sz="2"/>
            </w:tcBorders>
            <w:tcMar/>
            <w:vAlign w:val="center"/>
          </w:tcPr>
          <w:p w:rsidR="694EDB20" w:rsidP="694EDB20" w:rsidRDefault="694EDB20" w14:paraId="295CA0DA" w14:textId="776E4B03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Resilient housing quality &amp; environmental comfort; mental health; physical health; demand for resilient standards; investment</w:t>
            </w:r>
          </w:p>
        </w:tc>
        <w:tc>
          <w:tcPr>
            <w:tcW w:w="1948" w:type="dxa"/>
            <w:tcBorders>
              <w:top w:val="single" w:color="000000" w:themeColor="text1" w:sz="2"/>
            </w:tcBorders>
            <w:tcMar/>
            <w:vAlign w:val="center"/>
          </w:tcPr>
          <w:p w:rsidR="694EDB20" w:rsidP="694EDB20" w:rsidRDefault="694EDB20" w14:paraId="537732EE" w14:textId="2F1615F2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Health gains + stronger momentum for resilient housing improvements</w:t>
            </w:r>
          </w:p>
        </w:tc>
        <w:tc>
          <w:tcPr>
            <w:tcW w:w="2795" w:type="dxa"/>
            <w:tcBorders>
              <w:top w:val="single" w:color="000000" w:themeColor="text1" w:sz="2"/>
            </w:tcBorders>
            <w:tcMar/>
            <w:vAlign w:val="center"/>
          </w:tcPr>
          <w:p w:rsidR="694EDB20" w:rsidP="694EDB20" w:rsidRDefault="694EDB20" w14:paraId="657C14F6" w14:textId="53D06EBE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Embed thermal comfort and hazard-ready standards; maintenance funding; enforce performance-based specs</w:t>
            </w:r>
          </w:p>
        </w:tc>
      </w:tr>
      <w:tr w:rsidR="694EDB20" w:rsidTr="35A7722E" w14:paraId="59AD1965">
        <w:trPr>
          <w:trHeight w:val="300"/>
        </w:trPr>
        <w:tc>
          <w:tcPr>
            <w:tcW w:w="1843" w:type="dxa"/>
            <w:tcBorders>
              <w:bottom w:val="none" w:color="000000" w:themeColor="text1" w:sz="2"/>
            </w:tcBorders>
            <w:tcMar/>
            <w:vAlign w:val="center"/>
          </w:tcPr>
          <w:p w:rsidR="694EDB20" w:rsidP="694EDB20" w:rsidRDefault="694EDB20" w14:paraId="4DF6884D" w14:textId="6F71ACD8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Adaptive Urban Design and Active Mobility</w:t>
            </w:r>
          </w:p>
        </w:tc>
        <w:tc>
          <w:tcPr>
            <w:tcW w:w="2925" w:type="dxa"/>
            <w:tcBorders>
              <w:bottom w:val="none" w:color="000000" w:themeColor="text1" w:sz="2"/>
            </w:tcBorders>
            <w:tcMar/>
            <w:vAlign w:val="center"/>
          </w:tcPr>
          <w:p w:rsidR="694EDB20" w:rsidP="694EDB20" w:rsidRDefault="694EDB20" w14:paraId="439F6D88" w14:textId="49C813AF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Adaptive urban design coverage; vegetation/greening; safe parks/plazas; active-mobility infrastructure; physical activity; air pollution; social cohesion</w:t>
            </w:r>
          </w:p>
        </w:tc>
        <w:tc>
          <w:tcPr>
            <w:tcW w:w="1948" w:type="dxa"/>
            <w:tcBorders>
              <w:bottom w:val="none" w:color="000000" w:themeColor="text1" w:sz="2"/>
            </w:tcBorders>
            <w:tcMar/>
            <w:vAlign w:val="center"/>
          </w:tcPr>
          <w:p w:rsidR="694EDB20" w:rsidP="694EDB20" w:rsidRDefault="694EDB20" w14:paraId="33B0EA9E" w14:textId="250A26CA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More physical activity + improved environmental quality and cohesion</w:t>
            </w:r>
          </w:p>
        </w:tc>
        <w:tc>
          <w:tcPr>
            <w:tcW w:w="2795" w:type="dxa"/>
            <w:tcBorders>
              <w:bottom w:val="none" w:color="000000" w:themeColor="text1" w:sz="2"/>
            </w:tcBorders>
            <w:tcMar/>
            <w:vAlign w:val="center"/>
          </w:tcPr>
          <w:p w:rsidR="694EDB20" w:rsidP="694EDB20" w:rsidRDefault="694EDB20" w14:paraId="0FB57F19" w14:textId="4D00F337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Nature-based solutions; shade trees; continuous sidewalks; safe public spaces; protected cycling</w:t>
            </w:r>
          </w:p>
        </w:tc>
      </w:tr>
      <w:tr w:rsidR="694EDB20" w:rsidTr="35A7722E" w14:paraId="1F329137">
        <w:trPr>
          <w:trHeight w:val="300"/>
        </w:trPr>
        <w:tc>
          <w:tcPr>
            <w:tcW w:w="1843" w:type="dxa"/>
            <w:tcBorders>
              <w:top w:val="none" w:color="000000" w:themeColor="text1" w:sz="2"/>
              <w:left w:val="none" w:color="000000" w:themeColor="text1" w:sz="2"/>
              <w:bottom w:val="none" w:color="000000" w:themeColor="text1" w:sz="12"/>
              <w:right w:val="none" w:color="000000" w:themeColor="text1" w:sz="2"/>
            </w:tcBorders>
            <w:tcMar/>
            <w:vAlign w:val="center"/>
          </w:tcPr>
          <w:p w:rsidR="694EDB20" w:rsidP="694EDB20" w:rsidRDefault="694EDB20" w14:paraId="4381F55A" w14:textId="2BEDF1CF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Policy Integration and Institutional Learning</w:t>
            </w:r>
          </w:p>
        </w:tc>
        <w:tc>
          <w:tcPr>
            <w:tcW w:w="2925" w:type="dxa"/>
            <w:tcBorders>
              <w:top w:val="none" w:color="000000" w:themeColor="text1" w:sz="2"/>
              <w:left w:val="none" w:color="000000" w:themeColor="text1" w:sz="2"/>
              <w:bottom w:val="none" w:color="000000" w:themeColor="text1" w:sz="12"/>
              <w:right w:val="none" w:color="000000" w:themeColor="text1" w:sz="2"/>
            </w:tcBorders>
            <w:tcMar/>
            <w:vAlign w:val="center"/>
          </w:tcPr>
          <w:p w:rsidR="694EDB20" w:rsidP="694EDB20" w:rsidRDefault="694EDB20" w14:paraId="2DCE75CC" w14:textId="37856047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Social participation; public pressure; implementation of climate-oriented policies; resilient housing policy implementation; adaptive capacity; public trust</w:t>
            </w:r>
          </w:p>
        </w:tc>
        <w:tc>
          <w:tcPr>
            <w:tcW w:w="1948" w:type="dxa"/>
            <w:tcBorders>
              <w:top w:val="none" w:color="000000" w:themeColor="text1" w:sz="2"/>
              <w:left w:val="none" w:color="000000" w:themeColor="text1" w:sz="2"/>
              <w:bottom w:val="none" w:color="000000" w:themeColor="text1" w:sz="12"/>
              <w:right w:val="none" w:color="000000" w:themeColor="text1" w:sz="2"/>
            </w:tcBorders>
            <w:tcMar/>
            <w:vAlign w:val="center"/>
          </w:tcPr>
          <w:p w:rsidR="694EDB20" w:rsidP="694EDB20" w:rsidRDefault="694EDB20" w14:paraId="6511A943" w14:textId="38F32212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More effective cross-sector action and sustained policy execution</w:t>
            </w:r>
          </w:p>
        </w:tc>
        <w:tc>
          <w:tcPr>
            <w:tcW w:w="2795" w:type="dxa"/>
            <w:tcBorders>
              <w:top w:val="none" w:color="000000" w:themeColor="text1" w:sz="2"/>
              <w:left w:val="none" w:color="000000" w:themeColor="text1" w:sz="2"/>
              <w:bottom w:val="none" w:color="000000" w:themeColor="text1" w:sz="12"/>
              <w:right w:val="none" w:color="000000" w:themeColor="text1" w:sz="2"/>
            </w:tcBorders>
            <w:tcMar/>
            <w:vAlign w:val="center"/>
          </w:tcPr>
          <w:p w:rsidR="694EDB20" w:rsidP="694EDB20" w:rsidRDefault="694EDB20" w14:paraId="793F2A29" w14:textId="10C3F72F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Formal participatory governance; co-management; interministerial coordination; joint criteria and monitoring</w:t>
            </w:r>
          </w:p>
        </w:tc>
      </w:tr>
      <w:tr w:rsidR="694EDB20" w:rsidTr="35A7722E" w14:paraId="3CAAF3EE">
        <w:trPr>
          <w:trHeight w:val="300"/>
        </w:trPr>
        <w:tc>
          <w:tcPr>
            <w:tcW w:w="1843" w:type="dxa"/>
            <w:tcBorders>
              <w:top w:val="none" w:color="000000" w:themeColor="text1" w:sz="12"/>
            </w:tcBorders>
            <w:tcMar/>
            <w:vAlign w:val="center"/>
          </w:tcPr>
          <w:p w:rsidR="694EDB20" w:rsidP="694EDB20" w:rsidRDefault="694EDB20" w14:paraId="2EAA22EA" w14:textId="74ECDD03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Socioeconomic Inequality and Exposure</w:t>
            </w:r>
          </w:p>
        </w:tc>
        <w:tc>
          <w:tcPr>
            <w:tcW w:w="2925" w:type="dxa"/>
            <w:tcBorders>
              <w:top w:val="none" w:color="000000" w:themeColor="text1" w:sz="12"/>
            </w:tcBorders>
            <w:tcMar/>
            <w:vAlign w:val="center"/>
          </w:tcPr>
          <w:p w:rsidR="694EDB20" w:rsidP="694EDB20" w:rsidRDefault="694EDB20" w14:paraId="46CA7716" w14:textId="0F9689A1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Income inequality by race and gender; access to secure/well-located housing; exposure to hazards; resources; health risks</w:t>
            </w:r>
          </w:p>
        </w:tc>
        <w:tc>
          <w:tcPr>
            <w:tcW w:w="1948" w:type="dxa"/>
            <w:tcBorders>
              <w:top w:val="none" w:color="000000" w:themeColor="text1" w:sz="12"/>
            </w:tcBorders>
            <w:tcMar/>
            <w:vAlign w:val="center"/>
          </w:tcPr>
          <w:p w:rsidR="694EDB20" w:rsidP="694EDB20" w:rsidRDefault="694EDB20" w14:paraId="47BADB57" w14:textId="04719007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Dampens gains; </w:t>
            </w: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maintains</w:t>
            </w: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vulnerability</w:t>
            </w:r>
          </w:p>
        </w:tc>
        <w:tc>
          <w:tcPr>
            <w:tcW w:w="2795" w:type="dxa"/>
            <w:tcBorders>
              <w:top w:val="none" w:color="000000" w:themeColor="text1" w:sz="12"/>
            </w:tcBorders>
            <w:tcMar/>
            <w:vAlign w:val="center"/>
          </w:tcPr>
          <w:p w:rsidR="694EDB20" w:rsidP="694EDB20" w:rsidRDefault="694EDB20" w14:paraId="5642355A" w14:textId="775990E5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Equity-focused targeting; anti-segregation siting; prioritize services and protections for highest-risk groups</w:t>
            </w:r>
          </w:p>
        </w:tc>
      </w:tr>
      <w:tr w:rsidR="694EDB20" w:rsidTr="35A7722E" w14:paraId="2EA5F1A0">
        <w:trPr>
          <w:trHeight w:val="300"/>
        </w:trPr>
        <w:tc>
          <w:tcPr>
            <w:tcW w:w="1843" w:type="dxa"/>
            <w:tcMar/>
            <w:vAlign w:val="center"/>
          </w:tcPr>
          <w:p w:rsidR="694EDB20" w:rsidP="694EDB20" w:rsidRDefault="694EDB20" w14:paraId="511CF72E" w14:textId="09E09DAD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Market Pressure and Peripheralization</w:t>
            </w:r>
          </w:p>
        </w:tc>
        <w:tc>
          <w:tcPr>
            <w:tcW w:w="2925" w:type="dxa"/>
            <w:tcMar/>
            <w:vAlign w:val="center"/>
          </w:tcPr>
          <w:p w:rsidR="694EDB20" w:rsidP="694EDB20" w:rsidRDefault="694EDB20" w14:paraId="37DE5C6D" w14:textId="14BB6627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Land cost; market pressure/speculation; location of housing developments; access to services; exposure to hazards</w:t>
            </w:r>
          </w:p>
        </w:tc>
        <w:tc>
          <w:tcPr>
            <w:tcW w:w="1948" w:type="dxa"/>
            <w:tcMar/>
            <w:vAlign w:val="center"/>
          </w:tcPr>
          <w:p w:rsidR="694EDB20" w:rsidP="694EDB20" w:rsidRDefault="694EDB20" w14:paraId="3435A748" w14:textId="0D7CF1EC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Reinforces spatial disadvantage and risk</w:t>
            </w:r>
          </w:p>
        </w:tc>
        <w:tc>
          <w:tcPr>
            <w:tcW w:w="2795" w:type="dxa"/>
            <w:tcMar/>
            <w:vAlign w:val="center"/>
          </w:tcPr>
          <w:p w:rsidR="694EDB20" w:rsidP="694EDB20" w:rsidRDefault="694EDB20" w14:paraId="1F6540C7" w14:textId="06A65446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Land policy tools; siting requirements; transit-oriented location; service guarantees; anti-peripheralization safeguards</w:t>
            </w:r>
          </w:p>
        </w:tc>
      </w:tr>
      <w:tr w:rsidR="694EDB20" w:rsidTr="35A7722E" w14:paraId="05570CA4">
        <w:trPr>
          <w:trHeight w:val="300"/>
        </w:trPr>
        <w:tc>
          <w:tcPr>
            <w:tcW w:w="1843" w:type="dxa"/>
            <w:tcBorders>
              <w:bottom w:val="single" w:color="000000" w:themeColor="text1" w:sz="2"/>
            </w:tcBorders>
            <w:tcMar/>
            <w:vAlign w:val="center"/>
          </w:tcPr>
          <w:p w:rsidR="694EDB20" w:rsidP="694EDB20" w:rsidRDefault="694EDB20" w14:paraId="33249FEB" w14:textId="2F4C0022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Urban Violence and Behavioral Constraint</w:t>
            </w:r>
          </w:p>
        </w:tc>
        <w:tc>
          <w:tcPr>
            <w:tcW w:w="2925" w:type="dxa"/>
            <w:tcBorders>
              <w:bottom w:val="single" w:color="000000" w:themeColor="text1" w:sz="2"/>
            </w:tcBorders>
            <w:tcMar/>
            <w:vAlign w:val="center"/>
          </w:tcPr>
          <w:p w:rsidR="694EDB20" w:rsidP="694EDB20" w:rsidRDefault="694EDB20" w14:paraId="1BBFDF72" w14:textId="1DEE639A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Safety/violence; use of public space; leisure-time physical activity; social cohesion</w:t>
            </w:r>
          </w:p>
        </w:tc>
        <w:tc>
          <w:tcPr>
            <w:tcW w:w="1948" w:type="dxa"/>
            <w:tcBorders>
              <w:bottom w:val="single" w:color="000000" w:themeColor="text1" w:sz="2"/>
            </w:tcBorders>
            <w:tcMar/>
            <w:vAlign w:val="center"/>
          </w:tcPr>
          <w:p w:rsidR="694EDB20" w:rsidP="694EDB20" w:rsidRDefault="694EDB20" w14:paraId="7E343690" w14:textId="0269FB4C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Suppresses active living and community benefits</w:t>
            </w:r>
          </w:p>
        </w:tc>
        <w:tc>
          <w:tcPr>
            <w:tcW w:w="2795" w:type="dxa"/>
            <w:tcBorders>
              <w:bottom w:val="single" w:color="000000" w:themeColor="text1" w:sz="2"/>
            </w:tcBorders>
            <w:tcMar/>
            <w:vAlign w:val="center"/>
          </w:tcPr>
          <w:p w:rsidR="694EDB20" w:rsidP="694EDB20" w:rsidRDefault="694EDB20" w14:paraId="463CD4C5" w14:textId="1303718E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4EDB20" w:rsidR="694EDB20">
              <w:rPr>
                <w:rFonts w:ascii="Times New Roman" w:hAnsi="Times New Roman" w:eastAsia="Times New Roman" w:cs="Times New Roman"/>
                <w:sz w:val="20"/>
                <w:szCs w:val="20"/>
              </w:rPr>
              <w:t>Violence prevention; lighting; inclusive design; activation/maintenance; community stewardship; safe routes</w:t>
            </w:r>
          </w:p>
        </w:tc>
      </w:tr>
    </w:tbl>
    <w:p w:rsidR="694EDB20" w:rsidP="694EDB20" w:rsidRDefault="694EDB20" w14:paraId="60B2492D" w14:textId="349D1676">
      <w:pPr>
        <w:pStyle w:val="Normal"/>
        <w:bidi w:val="0"/>
        <w:rPr>
          <w:noProof w:val="0"/>
          <w:lang w:val="en-US"/>
        </w:rPr>
      </w:pPr>
    </w:p>
    <w:sectPr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D1010D"/>
    <w:rsid w:val="00EE6E42"/>
    <w:rsid w:val="0D22A979"/>
    <w:rsid w:val="0EF0B860"/>
    <w:rsid w:val="35A7722E"/>
    <w:rsid w:val="3A2E6723"/>
    <w:rsid w:val="3F0CB90D"/>
    <w:rsid w:val="694EDB20"/>
    <w:rsid w:val="7C69D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94EDB20"/>
    <w:rPr>
      <w:rFonts w:eastAsia="" w:cs="" w:eastAsiaTheme="majorEastAsia" w:cstheme="majorBid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styles" Target="styles.xml" Id="rId1" /><Relationship Type="http://schemas.openxmlformats.org/officeDocument/2006/relationships/settings" Target="settings.xml" Id="rI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Favarao Leao, Ana Luiza</lastModifiedBy>
  <revision>8</revision>
  <dcterms:created xsi:type="dcterms:W3CDTF">2018-02-09T21:34:00.0000000Z</dcterms:created>
  <dcterms:modified xsi:type="dcterms:W3CDTF">2026-03-05T13:15:21.1813296Z</dcterms:modified>
</coreProperties>
</file>