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E70B1" w14:textId="77777777" w:rsidR="006A0AE8" w:rsidRPr="00AE6026" w:rsidRDefault="006A0AE8" w:rsidP="006A0AE8">
      <w:pPr>
        <w:rPr>
          <w:rFonts w:ascii="Times New Roman" w:cs="Times New Roman"/>
          <w:b/>
          <w:bCs/>
          <w:i/>
          <w:iCs/>
          <w:sz w:val="28"/>
          <w:szCs w:val="32"/>
        </w:rPr>
      </w:pPr>
      <w:r w:rsidRPr="00AE6026">
        <w:rPr>
          <w:rFonts w:ascii="Times New Roman"/>
          <w:b/>
          <w:bCs/>
          <w:i/>
          <w:iCs/>
          <w:sz w:val="22"/>
          <w:szCs w:val="24"/>
        </w:rPr>
        <w:t>Supplementary Table 1. Exploratory multivariable Cox proportional hazards models for overall survival after allogeneic hematopoietic stem cell transplantation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831"/>
        <w:gridCol w:w="1983"/>
        <w:gridCol w:w="998"/>
        <w:gridCol w:w="2126"/>
        <w:gridCol w:w="1088"/>
      </w:tblGrid>
      <w:tr w:rsidR="006A0AE8" w:rsidRPr="00DF5B8B" w14:paraId="2CFF736C" w14:textId="77777777" w:rsidTr="005932B8">
        <w:trPr>
          <w:trHeight w:val="65"/>
          <w:jc w:val="center"/>
        </w:trPr>
        <w:tc>
          <w:tcPr>
            <w:tcW w:w="2831" w:type="dxa"/>
            <w:tcBorders>
              <w:top w:val="single" w:sz="12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2E35ED13" w14:textId="77777777" w:rsidR="006A0AE8" w:rsidRPr="00AE6026" w:rsidRDefault="006A0AE8" w:rsidP="005932B8">
            <w:pPr>
              <w:spacing w:line="276" w:lineRule="auto"/>
              <w:rPr>
                <w:rFonts w:ascii="Times New Roman" w:cs="Times New Roman"/>
                <w:b/>
                <w:bCs/>
                <w:i/>
                <w:iCs/>
                <w:sz w:val="22"/>
              </w:rPr>
            </w:pPr>
            <w:r w:rsidRPr="00AE6026">
              <w:rPr>
                <w:rFonts w:ascii="Times New Roman" w:cs="Times New Roman"/>
                <w:b/>
                <w:bCs/>
                <w:i/>
                <w:iCs/>
              </w:rPr>
              <w:t>Variable</w:t>
            </w:r>
          </w:p>
        </w:tc>
        <w:tc>
          <w:tcPr>
            <w:tcW w:w="1983" w:type="dxa"/>
            <w:tcBorders>
              <w:top w:val="single" w:sz="12" w:space="0" w:color="auto"/>
              <w:left w:val="nil"/>
              <w:bottom w:val="double" w:sz="4" w:space="0" w:color="auto"/>
              <w:right w:val="nil"/>
            </w:tcBorders>
          </w:tcPr>
          <w:p w14:paraId="65D4C346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b/>
                <w:bCs/>
                <w:sz w:val="22"/>
              </w:rPr>
            </w:pPr>
            <w:r w:rsidRPr="00AE6026">
              <w:rPr>
                <w:rFonts w:ascii="Times New Roman" w:cs="Times New Roman"/>
                <w:b/>
                <w:bCs/>
              </w:rPr>
              <w:t>Model 1</w:t>
            </w:r>
          </w:p>
          <w:p w14:paraId="2E54384F" w14:textId="347C2400" w:rsidR="006A0AE8" w:rsidRPr="00AE6026" w:rsidRDefault="0042787F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  <w:b/>
              </w:rPr>
              <w:t xml:space="preserve">Age-based aHR </w:t>
            </w:r>
            <w:r w:rsidR="006A0AE8" w:rsidRPr="00AE6026">
              <w:rPr>
                <w:rFonts w:ascii="Times New Roman" w:cs="Times New Roman"/>
                <w:b/>
              </w:rPr>
              <w:t>(95% CI)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0010D68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  <w:b/>
              </w:rPr>
              <w:t>p-value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36C3F65" w14:textId="66315F93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b/>
                <w:bCs/>
                <w:sz w:val="22"/>
              </w:rPr>
            </w:pPr>
            <w:r w:rsidRPr="00AE6026">
              <w:rPr>
                <w:rFonts w:ascii="Times New Roman" w:cs="Times New Roman"/>
                <w:b/>
                <w:bCs/>
              </w:rPr>
              <w:t>Model 2</w:t>
            </w:r>
            <w:r w:rsidRPr="00AE6026">
              <w:rPr>
                <w:rFonts w:ascii="Times New Roman" w:cs="Times New Roman"/>
                <w:b/>
                <w:bCs/>
              </w:rPr>
              <w:br/>
            </w:r>
            <w:r w:rsidR="0042787F" w:rsidRPr="00AE6026">
              <w:rPr>
                <w:rFonts w:ascii="Times New Roman" w:cs="Times New Roman"/>
                <w:b/>
              </w:rPr>
              <w:t xml:space="preserve">DIPSS-based aHR </w:t>
            </w:r>
            <w:r w:rsidRPr="00AE6026">
              <w:rPr>
                <w:rFonts w:ascii="Times New Roman" w:cs="Times New Roman"/>
                <w:b/>
              </w:rPr>
              <w:t>(95% CI)</w:t>
            </w:r>
          </w:p>
        </w:tc>
        <w:tc>
          <w:tcPr>
            <w:tcW w:w="1088" w:type="dxa"/>
            <w:tcBorders>
              <w:top w:val="single" w:sz="12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1AC90632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  <w:b/>
              </w:rPr>
              <w:t>p-value</w:t>
            </w:r>
          </w:p>
        </w:tc>
      </w:tr>
      <w:tr w:rsidR="006A0AE8" w:rsidRPr="00DF5B8B" w14:paraId="5C12C809" w14:textId="77777777" w:rsidTr="005932B8">
        <w:trPr>
          <w:trHeight w:val="65"/>
          <w:jc w:val="center"/>
        </w:trPr>
        <w:tc>
          <w:tcPr>
            <w:tcW w:w="2831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5EFBC61B" w14:textId="77777777" w:rsidR="006A0AE8" w:rsidRPr="00AE6026" w:rsidRDefault="006A0AE8" w:rsidP="005932B8">
            <w:pPr>
              <w:spacing w:line="276" w:lineRule="auto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 xml:space="preserve">Age </w:t>
            </w:r>
            <w:r w:rsidRPr="00AE6026">
              <w:rPr>
                <w:rFonts w:ascii="Times New Roman" w:eastAsia="맑은 고딕" w:cs="Times New Roman"/>
              </w:rPr>
              <w:t>≥</w:t>
            </w:r>
            <w:r w:rsidRPr="00AE6026">
              <w:rPr>
                <w:rFonts w:ascii="Times New Roman" w:cs="Times New Roman"/>
              </w:rPr>
              <w:t>60 vs &lt;60</w:t>
            </w:r>
          </w:p>
        </w:tc>
        <w:tc>
          <w:tcPr>
            <w:tcW w:w="1983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7BEBEBC5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1.65 (0.66-4.15)</w:t>
            </w:r>
          </w:p>
        </w:tc>
        <w:tc>
          <w:tcPr>
            <w:tcW w:w="998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24C0EF56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0.3</w:t>
            </w:r>
          </w:p>
        </w:tc>
        <w:tc>
          <w:tcPr>
            <w:tcW w:w="212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18AA7902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-</w:t>
            </w:r>
          </w:p>
        </w:tc>
        <w:tc>
          <w:tcPr>
            <w:tcW w:w="1088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5EF0EF22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-</w:t>
            </w:r>
          </w:p>
        </w:tc>
      </w:tr>
      <w:tr w:rsidR="006A0AE8" w:rsidRPr="00DF5B8B" w14:paraId="09F673AF" w14:textId="77777777" w:rsidTr="005932B8">
        <w:trPr>
          <w:trHeight w:val="65"/>
          <w:jc w:val="center"/>
        </w:trPr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5790F58F" w14:textId="77777777" w:rsidR="006A0AE8" w:rsidRPr="00AE6026" w:rsidRDefault="006A0AE8" w:rsidP="005932B8">
            <w:pPr>
              <w:spacing w:line="276" w:lineRule="auto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DIPSS high vs intermediate*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94530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04544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DFAE0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2.91 (1.27-6.63)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E2D8E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0.011</w:t>
            </w:r>
          </w:p>
        </w:tc>
      </w:tr>
      <w:tr w:rsidR="006A0AE8" w:rsidRPr="00DF5B8B" w14:paraId="19B5DEDD" w14:textId="77777777" w:rsidTr="005932B8">
        <w:trPr>
          <w:trHeight w:val="94"/>
          <w:jc w:val="center"/>
        </w:trPr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4EC0C4E9" w14:textId="77777777" w:rsidR="006A0AE8" w:rsidRPr="00AE6026" w:rsidRDefault="006A0AE8" w:rsidP="005932B8">
            <w:pPr>
              <w:spacing w:line="276" w:lineRule="auto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HCT-CI† high vs low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EEB4C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1.23 (0.57-2.67)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5957A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0.6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4657A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0.98 (0.44-2.19)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5D26A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&gt;0.9</w:t>
            </w:r>
          </w:p>
        </w:tc>
      </w:tr>
      <w:tr w:rsidR="006A0AE8" w:rsidRPr="00DF5B8B" w14:paraId="72E005F1" w14:textId="77777777" w:rsidTr="005932B8">
        <w:trPr>
          <w:trHeight w:val="69"/>
          <w:jc w:val="center"/>
        </w:trPr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337A28" w14:textId="77777777" w:rsidR="006A0AE8" w:rsidRPr="00AE6026" w:rsidRDefault="006A0AE8" w:rsidP="005932B8">
            <w:pPr>
              <w:spacing w:line="276" w:lineRule="auto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Donor type: non-MSD‡ vs MSD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E2415F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1.18 (0.45-3.06)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F2C8A2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0.7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07B0A4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1.09 (0.42-2.78)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10497D" w14:textId="77777777" w:rsidR="006A0AE8" w:rsidRPr="00AE6026" w:rsidRDefault="006A0AE8" w:rsidP="005932B8">
            <w:pPr>
              <w:spacing w:line="276" w:lineRule="auto"/>
              <w:jc w:val="center"/>
              <w:rPr>
                <w:rFonts w:ascii="Times New Roman" w:cs="Times New Roman"/>
                <w:sz w:val="22"/>
              </w:rPr>
            </w:pPr>
            <w:r w:rsidRPr="00AE6026">
              <w:rPr>
                <w:rFonts w:ascii="Times New Roman" w:cs="Times New Roman"/>
              </w:rPr>
              <w:t>0.9</w:t>
            </w:r>
          </w:p>
        </w:tc>
      </w:tr>
    </w:tbl>
    <w:p w14:paraId="1750DDF9" w14:textId="77777777" w:rsidR="006A0AE8" w:rsidRPr="00AE6026" w:rsidRDefault="006A0AE8" w:rsidP="006A0AE8">
      <w:pPr>
        <w:spacing w:line="240" w:lineRule="auto"/>
        <w:rPr>
          <w:rFonts w:ascii="Times New Roman" w:cs="Times New Roman"/>
          <w:sz w:val="18"/>
          <w:szCs w:val="20"/>
        </w:rPr>
      </w:pPr>
      <w:r w:rsidRPr="00AE6026">
        <w:rPr>
          <w:rFonts w:ascii="Times New Roman"/>
          <w:sz w:val="18"/>
          <w:szCs w:val="20"/>
        </w:rPr>
        <w:t>Abbreviations: CI, confidence interval; HR, hazard ratio; HCT-CI, Hematopoietic Cell Transplantation–Comorbidity Index; DIPSS, Dynamic International Prognostic Scoring System; MSD, matched sibling donor; MUD, matched unrelated donor.</w:t>
      </w:r>
      <w:r w:rsidRPr="00AE6026">
        <w:rPr>
          <w:rFonts w:ascii="Times New Roman"/>
          <w:sz w:val="18"/>
          <w:szCs w:val="20"/>
        </w:rPr>
        <w:br/>
        <w:t>*Intermediate = DIPSS Int-1 and Int-2 combined.</w:t>
      </w:r>
      <w:r w:rsidRPr="00AE6026">
        <w:rPr>
          <w:rFonts w:ascii="Times New Roman"/>
          <w:sz w:val="18"/>
          <w:szCs w:val="20"/>
        </w:rPr>
        <w:br/>
        <w:t xml:space="preserve">†HCT-CI High ≥3 and HCT-CI Low &lt;3 </w:t>
      </w:r>
      <w:r w:rsidRPr="00AE6026">
        <w:rPr>
          <w:rFonts w:ascii="Times New Roman"/>
          <w:sz w:val="18"/>
          <w:szCs w:val="20"/>
        </w:rPr>
        <w:br/>
        <w:t>‡non-MSD = haploidentical donor or matched unrelated donor.</w:t>
      </w:r>
    </w:p>
    <w:p w14:paraId="69335E27" w14:textId="77777777" w:rsidR="00E43D31" w:rsidRDefault="00E43D31"/>
    <w:p w14:paraId="330E00EE" w14:textId="77777777" w:rsidR="006A0AE8" w:rsidRDefault="006A0AE8"/>
    <w:p w14:paraId="33C7E2B7" w14:textId="77777777" w:rsidR="006A0AE8" w:rsidRDefault="006A0AE8"/>
    <w:p w14:paraId="39B0F2E3" w14:textId="77777777" w:rsidR="006A0AE8" w:rsidRDefault="006A0AE8"/>
    <w:p w14:paraId="67A74748" w14:textId="77777777" w:rsidR="006A0AE8" w:rsidRDefault="006A0AE8"/>
    <w:p w14:paraId="0612DDEB" w14:textId="77777777" w:rsidR="006A0AE8" w:rsidRDefault="006A0AE8"/>
    <w:p w14:paraId="439472E1" w14:textId="77777777" w:rsidR="006A0AE8" w:rsidRDefault="006A0AE8"/>
    <w:p w14:paraId="66686564" w14:textId="77777777" w:rsidR="006A0AE8" w:rsidRDefault="006A0AE8"/>
    <w:p w14:paraId="2D6FADE1" w14:textId="77777777" w:rsidR="006A0AE8" w:rsidRDefault="006A0AE8"/>
    <w:p w14:paraId="4EC274E1" w14:textId="77777777" w:rsidR="006A0AE8" w:rsidRDefault="006A0AE8"/>
    <w:p w14:paraId="7D0A23F8" w14:textId="77777777" w:rsidR="006A0AE8" w:rsidRDefault="006A0AE8"/>
    <w:p w14:paraId="51D485E3" w14:textId="77777777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  <w:r w:rsidRPr="006A0AE8">
        <w:rPr>
          <w:rFonts w:ascii="Times New Roman"/>
          <w:b/>
          <w:bCs/>
          <w:i/>
          <w:iCs/>
          <w:sz w:val="22"/>
          <w:szCs w:val="24"/>
        </w:rPr>
        <w:lastRenderedPageBreak/>
        <w:t>Supplementary Figure 1. Overall survival by age group (≥60 vs &lt;60 years). Median OS was 8.0 months (95% CI 5.4–36.3) in the ≥60-year group and 15.2 months (95% CI 6.3–NR) in the &lt;60-year group (log-rank p=0.16). Analyses are exploratory.</w:t>
      </w:r>
    </w:p>
    <w:p w14:paraId="4E9D744D" w14:textId="7E610D5C" w:rsidR="006A0AE8" w:rsidRPr="006A0AE8" w:rsidRDefault="00060D7B" w:rsidP="006A0AE8">
      <w:pPr>
        <w:rPr>
          <w:b/>
          <w:bCs/>
          <w:i/>
          <w:iCs/>
          <w:sz w:val="22"/>
          <w:szCs w:val="24"/>
        </w:rPr>
      </w:pPr>
      <w:r>
        <w:rPr>
          <w:noProof/>
        </w:rPr>
        <w:drawing>
          <wp:inline distT="0" distB="0" distL="0" distR="0" wp14:anchorId="6C280824" wp14:editId="36DF17E7">
            <wp:extent cx="5731510" cy="4220665"/>
            <wp:effectExtent l="0" t="0" r="2540" b="8890"/>
            <wp:docPr id="166370465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79E68" w14:textId="77777777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</w:p>
    <w:p w14:paraId="5AB18FCA" w14:textId="77777777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</w:p>
    <w:p w14:paraId="3691D0B1" w14:textId="77777777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</w:p>
    <w:p w14:paraId="40AC94C7" w14:textId="77777777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</w:p>
    <w:p w14:paraId="1CD648A1" w14:textId="77777777" w:rsidR="008A32FB" w:rsidRDefault="008A32FB" w:rsidP="006A0AE8">
      <w:pPr>
        <w:rPr>
          <w:rFonts w:ascii="Times New Roman"/>
          <w:b/>
          <w:bCs/>
          <w:i/>
          <w:iCs/>
          <w:sz w:val="22"/>
          <w:szCs w:val="24"/>
        </w:rPr>
      </w:pPr>
    </w:p>
    <w:p w14:paraId="1614AAE1" w14:textId="77777777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</w:p>
    <w:p w14:paraId="6B07E53D" w14:textId="77777777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</w:p>
    <w:p w14:paraId="612133DF" w14:textId="12B8DB6A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  <w:r w:rsidRPr="006A0AE8">
        <w:rPr>
          <w:rFonts w:ascii="Times New Roman"/>
          <w:b/>
          <w:bCs/>
          <w:i/>
          <w:iCs/>
          <w:sz w:val="22"/>
          <w:szCs w:val="24"/>
        </w:rPr>
        <w:lastRenderedPageBreak/>
        <w:t xml:space="preserve">Supplementary Figure 2. Overall survival by driver mutation status. Kaplan–Meier curves are compared using the log-rank test (p=0.10); </w:t>
      </w:r>
      <w:r w:rsidR="00367B8C" w:rsidRPr="00367B8C">
        <w:rPr>
          <w:rFonts w:ascii="Times New Roman"/>
          <w:b/>
          <w:bCs/>
          <w:i/>
          <w:iCs/>
          <w:sz w:val="22"/>
          <w:szCs w:val="24"/>
        </w:rPr>
        <w:t>Three patients with unknown driver mutation status were excluded.</w:t>
      </w:r>
      <w:r w:rsidR="00367B8C">
        <w:rPr>
          <w:rFonts w:ascii="Times New Roman" w:hint="eastAsia"/>
          <w:b/>
          <w:bCs/>
          <w:i/>
          <w:iCs/>
          <w:sz w:val="22"/>
          <w:szCs w:val="24"/>
        </w:rPr>
        <w:t xml:space="preserve"> A</w:t>
      </w:r>
      <w:r w:rsidRPr="006A0AE8">
        <w:rPr>
          <w:rFonts w:ascii="Times New Roman"/>
          <w:b/>
          <w:bCs/>
          <w:i/>
          <w:iCs/>
          <w:sz w:val="22"/>
          <w:szCs w:val="24"/>
        </w:rPr>
        <w:t>nalyses are exploratory given the small subgroup sizes.</w:t>
      </w:r>
    </w:p>
    <w:p w14:paraId="02244F06" w14:textId="35D69ECF" w:rsidR="006A0AE8" w:rsidRDefault="00060D7B" w:rsidP="006A0AE8">
      <w:pPr>
        <w:rPr>
          <w:rFonts w:ascii="Times New Roman"/>
          <w:b/>
          <w:bCs/>
          <w:i/>
          <w:iCs/>
          <w:sz w:val="22"/>
          <w:szCs w:val="24"/>
        </w:rPr>
      </w:pPr>
      <w:r>
        <w:rPr>
          <w:noProof/>
        </w:rPr>
        <w:drawing>
          <wp:inline distT="0" distB="0" distL="0" distR="0" wp14:anchorId="05D64440" wp14:editId="7272BD8F">
            <wp:extent cx="5731510" cy="4198165"/>
            <wp:effectExtent l="0" t="0" r="2540" b="0"/>
            <wp:docPr id="135696408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CAE9C" w14:textId="77777777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</w:p>
    <w:p w14:paraId="72076244" w14:textId="77777777" w:rsidR="006A0AE8" w:rsidRDefault="006A0AE8" w:rsidP="006A0AE8">
      <w:pPr>
        <w:rPr>
          <w:b/>
          <w:bCs/>
          <w:i/>
          <w:iCs/>
          <w:sz w:val="22"/>
          <w:szCs w:val="24"/>
        </w:rPr>
      </w:pPr>
    </w:p>
    <w:p w14:paraId="6F7DEBDB" w14:textId="77777777" w:rsidR="006A0AE8" w:rsidRDefault="006A0AE8" w:rsidP="006A0AE8">
      <w:pPr>
        <w:rPr>
          <w:b/>
          <w:bCs/>
          <w:i/>
          <w:iCs/>
          <w:sz w:val="22"/>
          <w:szCs w:val="24"/>
        </w:rPr>
      </w:pPr>
    </w:p>
    <w:p w14:paraId="47C3FA5C" w14:textId="77777777" w:rsidR="006A0AE8" w:rsidRDefault="006A0AE8" w:rsidP="006A0AE8">
      <w:pPr>
        <w:rPr>
          <w:b/>
          <w:bCs/>
          <w:i/>
          <w:iCs/>
          <w:sz w:val="22"/>
          <w:szCs w:val="24"/>
        </w:rPr>
      </w:pPr>
    </w:p>
    <w:p w14:paraId="27C891CC" w14:textId="77777777" w:rsidR="006A0AE8" w:rsidRDefault="006A0AE8" w:rsidP="006A0AE8">
      <w:pPr>
        <w:rPr>
          <w:b/>
          <w:bCs/>
          <w:i/>
          <w:iCs/>
          <w:sz w:val="22"/>
          <w:szCs w:val="24"/>
        </w:rPr>
      </w:pPr>
    </w:p>
    <w:p w14:paraId="47DDBC45" w14:textId="77777777" w:rsidR="006A0AE8" w:rsidRPr="006A0AE8" w:rsidRDefault="006A0AE8" w:rsidP="006A0AE8">
      <w:pPr>
        <w:rPr>
          <w:b/>
          <w:bCs/>
          <w:i/>
          <w:iCs/>
          <w:sz w:val="22"/>
          <w:szCs w:val="24"/>
        </w:rPr>
      </w:pPr>
    </w:p>
    <w:p w14:paraId="51CFED1E" w14:textId="49D9370D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  <w:r w:rsidRPr="006A0AE8">
        <w:rPr>
          <w:rFonts w:ascii="Times New Roman"/>
          <w:b/>
          <w:bCs/>
          <w:i/>
          <w:iCs/>
          <w:sz w:val="22"/>
          <w:szCs w:val="24"/>
        </w:rPr>
        <w:lastRenderedPageBreak/>
        <w:t xml:space="preserve">Supplementary Figure 3. </w:t>
      </w:r>
      <w:r w:rsidR="005155D5" w:rsidRPr="005155D5">
        <w:rPr>
          <w:rFonts w:ascii="Times New Roman"/>
          <w:b/>
          <w:bCs/>
          <w:i/>
          <w:iCs/>
          <w:sz w:val="22"/>
          <w:szCs w:val="24"/>
        </w:rPr>
        <w:t>Overall survival by spleen size before HSCT (&lt;22 cm vs ≥22 cm). One patient with prior splenectomy was excluded. Kaplan–Meier curves are compared using the log-rank test (p=0.85).</w:t>
      </w:r>
    </w:p>
    <w:p w14:paraId="72EFDB68" w14:textId="5E0F3109" w:rsidR="006A0AE8" w:rsidRDefault="00060D7B" w:rsidP="006A0AE8">
      <w:pPr>
        <w:rPr>
          <w:rFonts w:ascii="Times New Roman"/>
          <w:b/>
          <w:bCs/>
          <w:i/>
          <w:iCs/>
          <w:sz w:val="22"/>
          <w:szCs w:val="24"/>
        </w:rPr>
      </w:pPr>
      <w:r>
        <w:rPr>
          <w:noProof/>
        </w:rPr>
        <w:drawing>
          <wp:inline distT="0" distB="0" distL="0" distR="0" wp14:anchorId="46E3C1F9" wp14:editId="1331A424">
            <wp:extent cx="5731510" cy="4042781"/>
            <wp:effectExtent l="0" t="0" r="2540" b="0"/>
            <wp:docPr id="2026029510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E3A7A" w14:textId="77777777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</w:p>
    <w:p w14:paraId="295EEC81" w14:textId="77777777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</w:p>
    <w:p w14:paraId="3512CBEF" w14:textId="77777777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</w:p>
    <w:p w14:paraId="041FD218" w14:textId="77777777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</w:p>
    <w:p w14:paraId="06070F0B" w14:textId="77777777" w:rsidR="006A0AE8" w:rsidRDefault="006A0AE8" w:rsidP="006A0AE8">
      <w:pPr>
        <w:rPr>
          <w:rFonts w:ascii="Times New Roman"/>
          <w:b/>
          <w:bCs/>
          <w:i/>
          <w:iCs/>
          <w:sz w:val="22"/>
          <w:szCs w:val="24"/>
        </w:rPr>
      </w:pPr>
    </w:p>
    <w:p w14:paraId="45BEFCD4" w14:textId="77777777" w:rsidR="006A0AE8" w:rsidRDefault="006A0AE8" w:rsidP="006A0AE8">
      <w:pPr>
        <w:rPr>
          <w:b/>
          <w:bCs/>
          <w:i/>
          <w:iCs/>
          <w:sz w:val="22"/>
          <w:szCs w:val="24"/>
        </w:rPr>
      </w:pPr>
    </w:p>
    <w:p w14:paraId="4594B441" w14:textId="77777777" w:rsidR="00C760ED" w:rsidRDefault="00C760ED" w:rsidP="006A0AE8">
      <w:pPr>
        <w:rPr>
          <w:b/>
          <w:bCs/>
          <w:i/>
          <w:iCs/>
          <w:sz w:val="22"/>
          <w:szCs w:val="24"/>
        </w:rPr>
      </w:pPr>
    </w:p>
    <w:p w14:paraId="30C88273" w14:textId="77777777" w:rsidR="006A0AE8" w:rsidRPr="006A0AE8" w:rsidRDefault="006A0AE8" w:rsidP="006A0AE8">
      <w:pPr>
        <w:rPr>
          <w:rFonts w:ascii="Times New Roman"/>
          <w:b/>
          <w:bCs/>
          <w:i/>
          <w:iCs/>
          <w:sz w:val="22"/>
        </w:rPr>
      </w:pPr>
      <w:r w:rsidRPr="006A0AE8">
        <w:rPr>
          <w:rFonts w:ascii="Times New Roman"/>
          <w:b/>
          <w:bCs/>
          <w:i/>
          <w:iCs/>
          <w:sz w:val="22"/>
        </w:rPr>
        <w:lastRenderedPageBreak/>
        <w:t>Supplementary Figure 4. Swimmer plot of individual overall survival after allogeneic HSCT by DIPSS risk group at transplantation. Each horizontal bar represents one patient; bar length indicates time from HSCT to death or last follow-up. Bars are ordered by follow-up duration within each DIPSS risk group. End-of-bar symbols indicate death (×) or censoring (→).</w:t>
      </w:r>
    </w:p>
    <w:p w14:paraId="49141F9B" w14:textId="5471753C" w:rsidR="006A0AE8" w:rsidRPr="006A0AE8" w:rsidRDefault="00060D7B">
      <w:r>
        <w:rPr>
          <w:noProof/>
        </w:rPr>
        <w:drawing>
          <wp:inline distT="0" distB="0" distL="0" distR="0" wp14:anchorId="019CBDEB" wp14:editId="55B17065">
            <wp:extent cx="5731510" cy="4967953"/>
            <wp:effectExtent l="0" t="0" r="2540" b="4445"/>
            <wp:docPr id="49147453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0AE8" w:rsidRPr="006A0AE8" w:rsidSect="006A0AE8">
      <w:pgSz w:w="11906" w:h="16838"/>
      <w:pgMar w:top="1699" w:right="1440" w:bottom="1440" w:left="144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BBB41" w14:textId="77777777" w:rsidR="00ED0E67" w:rsidRDefault="00ED0E67" w:rsidP="00C760ED">
      <w:pPr>
        <w:spacing w:after="0" w:line="240" w:lineRule="auto"/>
      </w:pPr>
      <w:r>
        <w:separator/>
      </w:r>
    </w:p>
  </w:endnote>
  <w:endnote w:type="continuationSeparator" w:id="0">
    <w:p w14:paraId="5B484F98" w14:textId="77777777" w:rsidR="00ED0E67" w:rsidRDefault="00ED0E67" w:rsidP="00C76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89B39" w14:textId="77777777" w:rsidR="00ED0E67" w:rsidRDefault="00ED0E67" w:rsidP="00C760ED">
      <w:pPr>
        <w:spacing w:after="0" w:line="240" w:lineRule="auto"/>
      </w:pPr>
      <w:r>
        <w:separator/>
      </w:r>
    </w:p>
  </w:footnote>
  <w:footnote w:type="continuationSeparator" w:id="0">
    <w:p w14:paraId="1929D37A" w14:textId="77777777" w:rsidR="00ED0E67" w:rsidRDefault="00ED0E67" w:rsidP="00C760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AE8"/>
    <w:rsid w:val="00060D7B"/>
    <w:rsid w:val="00164B89"/>
    <w:rsid w:val="00213C2F"/>
    <w:rsid w:val="00367B8C"/>
    <w:rsid w:val="0042787F"/>
    <w:rsid w:val="004B461D"/>
    <w:rsid w:val="005155D5"/>
    <w:rsid w:val="00523845"/>
    <w:rsid w:val="005E400E"/>
    <w:rsid w:val="006A0AE8"/>
    <w:rsid w:val="00765F8D"/>
    <w:rsid w:val="007E68EF"/>
    <w:rsid w:val="00866C63"/>
    <w:rsid w:val="008A32FB"/>
    <w:rsid w:val="008A57AD"/>
    <w:rsid w:val="00BE1303"/>
    <w:rsid w:val="00BE1814"/>
    <w:rsid w:val="00C760ED"/>
    <w:rsid w:val="00DF36C4"/>
    <w:rsid w:val="00E43D31"/>
    <w:rsid w:val="00ED0E67"/>
    <w:rsid w:val="00F0337A"/>
    <w:rsid w:val="00F84E93"/>
    <w:rsid w:val="00FF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296A0"/>
  <w15:chartTrackingRefBased/>
  <w15:docId w15:val="{BDFE394B-F4FD-42A9-A78D-01AD3D29A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AE8"/>
    <w:pPr>
      <w:widowControl w:val="0"/>
      <w:wordWrap w:val="0"/>
      <w:autoSpaceDE w:val="0"/>
      <w:autoSpaceDN w:val="0"/>
      <w:spacing w:line="480" w:lineRule="auto"/>
      <w:jc w:val="both"/>
    </w:pPr>
    <w:rPr>
      <w:rFonts w:asciiTheme="minorHAnsi" w:hAnsi="Times New Roman"/>
      <w:sz w:val="20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6A0AE8"/>
    <w:pPr>
      <w:keepNext/>
      <w:keepLines/>
      <w:spacing w:before="280" w:after="80" w:line="240" w:lineRule="auto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A0AE8"/>
    <w:pPr>
      <w:keepNext/>
      <w:keepLines/>
      <w:spacing w:before="160" w:after="80" w:line="240" w:lineRule="auto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A0AE8"/>
    <w:pPr>
      <w:keepNext/>
      <w:keepLines/>
      <w:spacing w:before="160" w:after="80" w:line="240" w:lineRule="auto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A0AE8"/>
    <w:pPr>
      <w:keepNext/>
      <w:keepLines/>
      <w:spacing w:before="80" w:after="40" w:line="240" w:lineRule="auto"/>
      <w:jc w:val="left"/>
      <w:outlineLvl w:val="3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A0AE8"/>
    <w:pPr>
      <w:keepNext/>
      <w:keepLines/>
      <w:spacing w:before="80" w:after="40" w:line="240" w:lineRule="auto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A0AE8"/>
    <w:pPr>
      <w:keepNext/>
      <w:keepLines/>
      <w:spacing w:before="80" w:after="40" w:line="240" w:lineRule="auto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A0AE8"/>
    <w:pPr>
      <w:keepNext/>
      <w:keepLines/>
      <w:spacing w:before="80" w:after="40" w:line="240" w:lineRule="auto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A0AE8"/>
    <w:pPr>
      <w:keepNext/>
      <w:keepLines/>
      <w:spacing w:before="80" w:after="40" w:line="240" w:lineRule="auto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A0AE8"/>
    <w:pPr>
      <w:keepNext/>
      <w:keepLines/>
      <w:spacing w:before="80" w:after="40" w:line="240" w:lineRule="auto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6A0AE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6A0AE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6A0AE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6A0A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6A0A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6A0A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6A0A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6A0A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6A0AE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6A0AE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제목 Char"/>
    <w:basedOn w:val="a0"/>
    <w:link w:val="a3"/>
    <w:uiPriority w:val="10"/>
    <w:rsid w:val="006A0A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A0AE8"/>
    <w:pPr>
      <w:numPr>
        <w:ilvl w:val="1"/>
      </w:numPr>
      <w:spacing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Char0">
    <w:name w:val="부제 Char"/>
    <w:basedOn w:val="a0"/>
    <w:link w:val="a4"/>
    <w:uiPriority w:val="11"/>
    <w:rsid w:val="006A0AE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A0AE8"/>
    <w:pPr>
      <w:spacing w:before="160" w:line="240" w:lineRule="auto"/>
      <w:jc w:val="center"/>
    </w:pPr>
    <w:rPr>
      <w:rFonts w:asciiTheme="minorEastAsia" w:hAnsiTheme="minorHAnsi"/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Char1">
    <w:name w:val="인용 Char"/>
    <w:basedOn w:val="a0"/>
    <w:link w:val="a5"/>
    <w:uiPriority w:val="29"/>
    <w:rsid w:val="006A0AE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A0AE8"/>
    <w:pPr>
      <w:spacing w:line="240" w:lineRule="auto"/>
      <w:ind w:left="720"/>
      <w:contextualSpacing/>
      <w:jc w:val="left"/>
    </w:pPr>
    <w:rPr>
      <w:rFonts w:asciiTheme="minorEastAsia" w:hAnsiTheme="minorHAnsi"/>
      <w:sz w:val="22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6A0AE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A0A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EastAsia" w:hAnsiTheme="minorHAnsi"/>
      <w:i/>
      <w:iCs/>
      <w:color w:val="0F4761" w:themeColor="accent1" w:themeShade="BF"/>
      <w:sz w:val="22"/>
      <w:szCs w:val="24"/>
      <w14:ligatures w14:val="standardContextual"/>
    </w:rPr>
  </w:style>
  <w:style w:type="character" w:customStyle="1" w:styleId="Char2">
    <w:name w:val="강한 인용 Char"/>
    <w:basedOn w:val="a0"/>
    <w:link w:val="a8"/>
    <w:uiPriority w:val="30"/>
    <w:rsid w:val="006A0AE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A0AE8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rsid w:val="006A0AE8"/>
    <w:pPr>
      <w:spacing w:after="0"/>
      <w:jc w:val="both"/>
    </w:pPr>
    <w:rPr>
      <w:rFonts w:asciiTheme="minorHAnsi"/>
      <w:sz w:val="2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line number"/>
    <w:basedOn w:val="a0"/>
    <w:uiPriority w:val="99"/>
    <w:semiHidden/>
    <w:unhideWhenUsed/>
    <w:rsid w:val="006A0AE8"/>
  </w:style>
  <w:style w:type="paragraph" w:styleId="ac">
    <w:name w:val="header"/>
    <w:basedOn w:val="a"/>
    <w:link w:val="Char3"/>
    <w:uiPriority w:val="99"/>
    <w:unhideWhenUsed/>
    <w:rsid w:val="00C760ED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c"/>
    <w:uiPriority w:val="99"/>
    <w:rsid w:val="00C760ED"/>
    <w:rPr>
      <w:rFonts w:asciiTheme="minorHAnsi" w:hAnsi="Times New Roman"/>
      <w:sz w:val="20"/>
      <w:szCs w:val="22"/>
      <w14:ligatures w14:val="none"/>
    </w:rPr>
  </w:style>
  <w:style w:type="paragraph" w:styleId="ad">
    <w:name w:val="footer"/>
    <w:basedOn w:val="a"/>
    <w:link w:val="Char4"/>
    <w:uiPriority w:val="99"/>
    <w:unhideWhenUsed/>
    <w:rsid w:val="00C760ED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d"/>
    <w:uiPriority w:val="99"/>
    <w:rsid w:val="00C760ED"/>
    <w:rPr>
      <w:rFonts w:asciiTheme="minorHAnsi" w:hAnsi="Times New Roman"/>
      <w:sz w:val="2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292</Words>
  <Characters>1668</Characters>
  <Application>Microsoft Office Word</Application>
  <DocSecurity>0</DocSecurity>
  <Lines>13</Lines>
  <Paragraphs>3</Paragraphs>
  <ScaleCrop>false</ScaleCrop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Dae-Ho Choi</dc:creator>
  <cp:keywords/>
  <dc:description/>
  <cp:lastModifiedBy>Dae-Ho Choi</cp:lastModifiedBy>
  <cp:revision>10</cp:revision>
  <dcterms:created xsi:type="dcterms:W3CDTF">2026-02-25T14:50:00Z</dcterms:created>
  <dcterms:modified xsi:type="dcterms:W3CDTF">2026-03-05T10:59:00Z</dcterms:modified>
</cp:coreProperties>
</file>