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3DD9" w14:textId="77777777" w:rsidR="00F07ACB" w:rsidRPr="00C95DD1" w:rsidRDefault="00F07ACB" w:rsidP="00F07ACB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C95DD1">
        <w:rPr>
          <w:rFonts w:ascii="Arial" w:hAnsi="Arial" w:cs="Arial"/>
          <w:noProof/>
        </w:rPr>
        <w:drawing>
          <wp:inline distT="0" distB="0" distL="0" distR="0" wp14:anchorId="18CD82CD" wp14:editId="1F1FB28A">
            <wp:extent cx="4606290" cy="2636520"/>
            <wp:effectExtent l="57150" t="0" r="60960" b="10668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B2CAB43" w14:textId="77777777" w:rsidR="00F07ACB" w:rsidRPr="00C95DD1" w:rsidRDefault="00F07ACB" w:rsidP="00F07ACB">
      <w:pPr>
        <w:spacing w:after="120" w:line="240" w:lineRule="auto"/>
        <w:jc w:val="both"/>
        <w:rPr>
          <w:rFonts w:ascii="Arial" w:hAnsi="Arial" w:cs="Arial"/>
        </w:rPr>
      </w:pPr>
      <w:r w:rsidRPr="00C95DD1">
        <w:rPr>
          <w:rFonts w:ascii="Arial" w:hAnsi="Arial" w:cs="Arial"/>
          <w:b/>
          <w:bCs/>
        </w:rPr>
        <w:t xml:space="preserve"> Graph 1.</w:t>
      </w:r>
      <w:r w:rsidRPr="00C95DD1">
        <w:rPr>
          <w:rFonts w:ascii="Arial" w:hAnsi="Arial" w:cs="Arial"/>
        </w:rPr>
        <w:t xml:space="preserve"> Seasonal range in days by year, Prilep 1951-2024 spring-summer, NHMS, Skopje.</w:t>
      </w:r>
    </w:p>
    <w:p w14:paraId="3BB305E0" w14:textId="77777777" w:rsidR="00F07ACB" w:rsidRPr="00C95DD1" w:rsidRDefault="00F07ACB" w:rsidP="00F07ACB">
      <w:pPr>
        <w:rPr>
          <w:rStyle w:val="Hyperlink"/>
          <w:rFonts w:ascii="Arial" w:hAnsi="Arial" w:cs="Arial"/>
        </w:rPr>
      </w:pPr>
      <w:r w:rsidRPr="00C95DD1">
        <w:rPr>
          <w:rFonts w:ascii="Arial" w:hAnsi="Arial" w:cs="Arial"/>
        </w:rPr>
        <w:fldChar w:fldCharType="begin"/>
      </w:r>
      <w:r w:rsidRPr="00C95DD1">
        <w:rPr>
          <w:rFonts w:ascii="Arial" w:hAnsi="Arial" w:cs="Arial"/>
        </w:rPr>
        <w:instrText xml:space="preserve"> HYPERLINK "https://translate.google.com/history" </w:instrText>
      </w:r>
      <w:r w:rsidRPr="00C95DD1">
        <w:rPr>
          <w:rFonts w:ascii="Arial" w:hAnsi="Arial" w:cs="Arial"/>
        </w:rPr>
      </w:r>
      <w:r w:rsidRPr="00C95DD1">
        <w:rPr>
          <w:rFonts w:ascii="Arial" w:hAnsi="Arial" w:cs="Arial"/>
        </w:rPr>
        <w:fldChar w:fldCharType="separate"/>
      </w:r>
    </w:p>
    <w:p w14:paraId="5DF548BA" w14:textId="77777777" w:rsidR="00F07ACB" w:rsidRPr="00C95DD1" w:rsidRDefault="00F07ACB" w:rsidP="00F07ACB">
      <w:pPr>
        <w:jc w:val="center"/>
        <w:rPr>
          <w:rFonts w:ascii="Arial" w:hAnsi="Arial" w:cs="Arial"/>
        </w:rPr>
      </w:pPr>
      <w:r w:rsidRPr="00C95DD1">
        <w:rPr>
          <w:rFonts w:ascii="Arial" w:hAnsi="Arial" w:cs="Arial"/>
        </w:rPr>
        <w:fldChar w:fldCharType="end"/>
      </w:r>
      <w:r w:rsidRPr="00C95DD1">
        <w:rPr>
          <w:rFonts w:ascii="Arial" w:hAnsi="Arial" w:cs="Arial"/>
          <w:noProof/>
        </w:rPr>
        <w:drawing>
          <wp:inline distT="0" distB="0" distL="0" distR="0" wp14:anchorId="1E11173A" wp14:editId="10B4BD4D">
            <wp:extent cx="4629150" cy="2804160"/>
            <wp:effectExtent l="57150" t="0" r="57150" b="11049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5F3E60F" w14:textId="77777777" w:rsidR="00F07ACB" w:rsidRDefault="00F07ACB" w:rsidP="00F07ACB">
      <w:pPr>
        <w:rPr>
          <w:rFonts w:ascii="Arial" w:hAnsi="Arial" w:cs="Arial"/>
        </w:rPr>
      </w:pPr>
      <w:r w:rsidRPr="00C95DD1">
        <w:rPr>
          <w:rFonts w:ascii="Arial" w:hAnsi="Arial" w:cs="Arial"/>
          <w:b/>
          <w:bCs/>
        </w:rPr>
        <w:t>Graph 2.</w:t>
      </w:r>
      <w:r w:rsidRPr="00C95DD1">
        <w:rPr>
          <w:rFonts w:ascii="Arial" w:hAnsi="Arial" w:cs="Arial"/>
        </w:rPr>
        <w:t xml:space="preserve"> Seasonal range in days by year, Prilep 1951-2024 autumn-winter, NHMS, Skopje.</w:t>
      </w:r>
    </w:p>
    <w:p w14:paraId="55767237" w14:textId="77777777" w:rsidR="00F07ACB" w:rsidRDefault="00F07ACB" w:rsidP="00F07ACB">
      <w:pPr>
        <w:rPr>
          <w:rFonts w:ascii="Arial" w:hAnsi="Arial" w:cs="Arial"/>
        </w:rPr>
      </w:pPr>
    </w:p>
    <w:p w14:paraId="2FB38C94" w14:textId="77777777" w:rsidR="00F07ACB" w:rsidRDefault="00F07ACB" w:rsidP="00F07ACB">
      <w:pPr>
        <w:rPr>
          <w:rFonts w:ascii="Arial" w:hAnsi="Arial" w:cs="Arial"/>
        </w:rPr>
      </w:pPr>
    </w:p>
    <w:p w14:paraId="20A9BE11" w14:textId="77777777" w:rsidR="00F07ACB" w:rsidRDefault="00F07ACB" w:rsidP="00F07ACB">
      <w:pPr>
        <w:rPr>
          <w:rFonts w:ascii="Arial" w:hAnsi="Arial" w:cs="Arial"/>
        </w:rPr>
      </w:pPr>
    </w:p>
    <w:p w14:paraId="70CBAD54" w14:textId="77777777" w:rsidR="00F07ACB" w:rsidRDefault="00F07ACB" w:rsidP="00F07ACB">
      <w:pPr>
        <w:rPr>
          <w:rFonts w:ascii="Arial" w:hAnsi="Arial" w:cs="Arial"/>
        </w:rPr>
      </w:pPr>
    </w:p>
    <w:p w14:paraId="42306E05" w14:textId="77777777" w:rsidR="00F07ACB" w:rsidRDefault="00F07ACB" w:rsidP="00F07ACB">
      <w:pPr>
        <w:rPr>
          <w:rFonts w:ascii="Arial" w:hAnsi="Arial" w:cs="Arial"/>
        </w:rPr>
      </w:pPr>
    </w:p>
    <w:p w14:paraId="404DC317" w14:textId="77777777" w:rsidR="00F07ACB" w:rsidRDefault="00F07ACB" w:rsidP="00F07ACB">
      <w:pPr>
        <w:rPr>
          <w:rFonts w:ascii="Arial" w:hAnsi="Arial" w:cs="Arial"/>
        </w:rPr>
      </w:pPr>
    </w:p>
    <w:p w14:paraId="3D6FB0CB" w14:textId="77777777" w:rsidR="00F07ACB" w:rsidRPr="00C95DD1" w:rsidRDefault="00F07ACB" w:rsidP="00F07ACB">
      <w:pPr>
        <w:rPr>
          <w:rFonts w:ascii="Arial" w:hAnsi="Arial" w:cs="Arial"/>
        </w:rPr>
      </w:pPr>
    </w:p>
    <w:p w14:paraId="1B0BBF46" w14:textId="77777777" w:rsidR="00F07ACB" w:rsidRPr="00C95DD1" w:rsidRDefault="00F07ACB" w:rsidP="00F07ACB">
      <w:pPr>
        <w:jc w:val="center"/>
        <w:rPr>
          <w:rFonts w:ascii="Arial" w:hAnsi="Arial" w:cs="Arial"/>
        </w:rPr>
      </w:pPr>
      <w:r w:rsidRPr="00C95DD1">
        <w:rPr>
          <w:rFonts w:ascii="Arial" w:hAnsi="Arial" w:cs="Arial"/>
          <w:noProof/>
        </w:rPr>
        <w:drawing>
          <wp:inline distT="0" distB="0" distL="0" distR="0" wp14:anchorId="51B22682" wp14:editId="3A7C1A00">
            <wp:extent cx="5695950" cy="2270760"/>
            <wp:effectExtent l="57150" t="0" r="57150" b="11049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CB5B374" w14:textId="77777777" w:rsidR="00F07ACB" w:rsidRPr="00C95DD1" w:rsidRDefault="00F07ACB" w:rsidP="00F07ACB">
      <w:pPr>
        <w:spacing w:line="240" w:lineRule="auto"/>
        <w:jc w:val="both"/>
        <w:rPr>
          <w:rFonts w:ascii="Arial" w:hAnsi="Arial" w:cs="Arial"/>
        </w:rPr>
      </w:pPr>
      <w:r w:rsidRPr="00C95DD1">
        <w:rPr>
          <w:rFonts w:ascii="Arial" w:hAnsi="Arial" w:cs="Arial"/>
          <w:b/>
          <w:bCs/>
        </w:rPr>
        <w:t>Graph 3.</w:t>
      </w:r>
      <w:r w:rsidRPr="00C95DD1">
        <w:rPr>
          <w:rFonts w:ascii="Arial" w:hAnsi="Arial" w:cs="Arial"/>
        </w:rPr>
        <w:t xml:space="preserve"> Five-year deviations between Spring and Autumn and between Summer and Winter for the period 1951–2025 at the Prilep MMS.</w:t>
      </w:r>
    </w:p>
    <w:p w14:paraId="05E0DD9F" w14:textId="77777777" w:rsidR="009542D6" w:rsidRDefault="009542D6"/>
    <w:sectPr w:rsidR="009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CB"/>
    <w:rsid w:val="00264C10"/>
    <w:rsid w:val="00470242"/>
    <w:rsid w:val="005E3F92"/>
    <w:rsid w:val="00726E03"/>
    <w:rsid w:val="009542D6"/>
    <w:rsid w:val="00C8679A"/>
    <w:rsid w:val="00F0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0EAC"/>
  <w15:chartTrackingRefBased/>
  <w15:docId w15:val="{BFF9CDEA-04CB-41D4-8331-C7160249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AC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A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A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A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A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A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A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A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A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A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A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ACB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ACB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A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7A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:/Users/Lidija/Desktop/patuvanja/fashion/Prilep%201951_24%20Statistik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:/Users/Lidija/Desktop/patuvanja/fashion/Prilep%201951_24%20Statistik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:/Users/Lidija/Desktop/patuvanja/fashion/tabela%20sem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738407699039086E-2"/>
          <c:y val="5.6030183727034118E-2"/>
          <c:w val="0.88812270341207644"/>
          <c:h val="0.79523549139690852"/>
        </c:manualLayout>
      </c:layout>
      <c:lineChart>
        <c:grouping val="standar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Spring</c:v>
                </c:pt>
              </c:strCache>
            </c:strRef>
          </c:tx>
          <c:marker>
            <c:symbol val="none"/>
          </c:marker>
          <c:cat>
            <c:numRef>
              <c:f>Sheet1!$A$3:$A$77</c:f>
              <c:numCache>
                <c:formatCode>General</c:formatCode>
                <c:ptCount val="75"/>
                <c:pt idx="0">
                  <c:v>1951</c:v>
                </c:pt>
                <c:pt idx="1">
                  <c:v>1952</c:v>
                </c:pt>
                <c:pt idx="2">
                  <c:v>1953</c:v>
                </c:pt>
                <c:pt idx="3">
                  <c:v>1954</c:v>
                </c:pt>
                <c:pt idx="4">
                  <c:v>1955</c:v>
                </c:pt>
                <c:pt idx="5">
                  <c:v>1956</c:v>
                </c:pt>
                <c:pt idx="6">
                  <c:v>1957</c:v>
                </c:pt>
                <c:pt idx="7">
                  <c:v>1958</c:v>
                </c:pt>
                <c:pt idx="8">
                  <c:v>1959</c:v>
                </c:pt>
                <c:pt idx="9">
                  <c:v>1960</c:v>
                </c:pt>
                <c:pt idx="10">
                  <c:v>1961</c:v>
                </c:pt>
                <c:pt idx="11">
                  <c:v>1962</c:v>
                </c:pt>
                <c:pt idx="12">
                  <c:v>1963</c:v>
                </c:pt>
                <c:pt idx="13">
                  <c:v>1964</c:v>
                </c:pt>
                <c:pt idx="14">
                  <c:v>1965</c:v>
                </c:pt>
                <c:pt idx="15">
                  <c:v>1966</c:v>
                </c:pt>
                <c:pt idx="16">
                  <c:v>1967</c:v>
                </c:pt>
                <c:pt idx="17">
                  <c:v>1968</c:v>
                </c:pt>
                <c:pt idx="18">
                  <c:v>1969</c:v>
                </c:pt>
                <c:pt idx="19">
                  <c:v>1970</c:v>
                </c:pt>
                <c:pt idx="20">
                  <c:v>1971</c:v>
                </c:pt>
                <c:pt idx="21">
                  <c:v>1972</c:v>
                </c:pt>
                <c:pt idx="22">
                  <c:v>1973</c:v>
                </c:pt>
                <c:pt idx="23">
                  <c:v>1974</c:v>
                </c:pt>
                <c:pt idx="24">
                  <c:v>1975</c:v>
                </c:pt>
                <c:pt idx="25">
                  <c:v>1976</c:v>
                </c:pt>
                <c:pt idx="26">
                  <c:v>1977</c:v>
                </c:pt>
                <c:pt idx="27">
                  <c:v>1978</c:v>
                </c:pt>
                <c:pt idx="28">
                  <c:v>1979</c:v>
                </c:pt>
                <c:pt idx="29">
                  <c:v>1980</c:v>
                </c:pt>
                <c:pt idx="30">
                  <c:v>1981</c:v>
                </c:pt>
                <c:pt idx="31">
                  <c:v>1982</c:v>
                </c:pt>
                <c:pt idx="32">
                  <c:v>1983</c:v>
                </c:pt>
                <c:pt idx="33">
                  <c:v>1984</c:v>
                </c:pt>
                <c:pt idx="34">
                  <c:v>1985</c:v>
                </c:pt>
                <c:pt idx="35">
                  <c:v>1986</c:v>
                </c:pt>
                <c:pt idx="36">
                  <c:v>1987</c:v>
                </c:pt>
                <c:pt idx="37">
                  <c:v>1988</c:v>
                </c:pt>
                <c:pt idx="38">
                  <c:v>1989</c:v>
                </c:pt>
                <c:pt idx="39">
                  <c:v>1990</c:v>
                </c:pt>
                <c:pt idx="40">
                  <c:v>1991</c:v>
                </c:pt>
                <c:pt idx="41">
                  <c:v>1992</c:v>
                </c:pt>
                <c:pt idx="42">
                  <c:v>1993</c:v>
                </c:pt>
                <c:pt idx="43">
                  <c:v>1994</c:v>
                </c:pt>
                <c:pt idx="44">
                  <c:v>1995</c:v>
                </c:pt>
                <c:pt idx="45">
                  <c:v>1996</c:v>
                </c:pt>
                <c:pt idx="46">
                  <c:v>1997</c:v>
                </c:pt>
                <c:pt idx="47">
                  <c:v>1998</c:v>
                </c:pt>
                <c:pt idx="48">
                  <c:v>1999</c:v>
                </c:pt>
                <c:pt idx="49">
                  <c:v>2000</c:v>
                </c:pt>
                <c:pt idx="50">
                  <c:v>2001</c:v>
                </c:pt>
                <c:pt idx="51">
                  <c:v>2002</c:v>
                </c:pt>
                <c:pt idx="52">
                  <c:v>2003</c:v>
                </c:pt>
                <c:pt idx="53">
                  <c:v>2004</c:v>
                </c:pt>
                <c:pt idx="54">
                  <c:v>2005</c:v>
                </c:pt>
                <c:pt idx="55">
                  <c:v>2006</c:v>
                </c:pt>
                <c:pt idx="56">
                  <c:v>2007</c:v>
                </c:pt>
                <c:pt idx="57">
                  <c:v>2008</c:v>
                </c:pt>
                <c:pt idx="58">
                  <c:v>2009</c:v>
                </c:pt>
                <c:pt idx="59">
                  <c:v>2010</c:v>
                </c:pt>
                <c:pt idx="60">
                  <c:v>2011</c:v>
                </c:pt>
                <c:pt idx="61">
                  <c:v>2012</c:v>
                </c:pt>
                <c:pt idx="62">
                  <c:v>2013</c:v>
                </c:pt>
                <c:pt idx="63">
                  <c:v>2014</c:v>
                </c:pt>
                <c:pt idx="64">
                  <c:v>2015</c:v>
                </c:pt>
                <c:pt idx="65">
                  <c:v>2016</c:v>
                </c:pt>
                <c:pt idx="66">
                  <c:v>2017</c:v>
                </c:pt>
                <c:pt idx="67">
                  <c:v>2018</c:v>
                </c:pt>
                <c:pt idx="68">
                  <c:v>2019</c:v>
                </c:pt>
                <c:pt idx="69">
                  <c:v>2020</c:v>
                </c:pt>
                <c:pt idx="70">
                  <c:v>2021</c:v>
                </c:pt>
                <c:pt idx="71">
                  <c:v>2022</c:v>
                </c:pt>
                <c:pt idx="72">
                  <c:v>2023</c:v>
                </c:pt>
                <c:pt idx="73">
                  <c:v>2024</c:v>
                </c:pt>
                <c:pt idx="74">
                  <c:v>2025</c:v>
                </c:pt>
              </c:numCache>
            </c:numRef>
          </c:cat>
          <c:val>
            <c:numRef>
              <c:f>Sheet1!$S$3:$S$77</c:f>
              <c:numCache>
                <c:formatCode>General</c:formatCode>
                <c:ptCount val="75"/>
                <c:pt idx="0">
                  <c:v>175.5</c:v>
                </c:pt>
                <c:pt idx="1">
                  <c:v>188.73000000000002</c:v>
                </c:pt>
                <c:pt idx="2">
                  <c:v>203.57999999999998</c:v>
                </c:pt>
                <c:pt idx="3">
                  <c:v>156.78</c:v>
                </c:pt>
                <c:pt idx="4">
                  <c:v>208.26</c:v>
                </c:pt>
                <c:pt idx="5">
                  <c:v>139.80000000000001</c:v>
                </c:pt>
                <c:pt idx="6">
                  <c:v>196.56</c:v>
                </c:pt>
                <c:pt idx="7">
                  <c:v>100.61999999999999</c:v>
                </c:pt>
                <c:pt idx="8">
                  <c:v>294.83999999999969</c:v>
                </c:pt>
                <c:pt idx="9">
                  <c:v>165.43</c:v>
                </c:pt>
                <c:pt idx="10">
                  <c:v>135.72</c:v>
                </c:pt>
                <c:pt idx="11">
                  <c:v>180.17999999999998</c:v>
                </c:pt>
                <c:pt idx="12">
                  <c:v>168.48000000000027</c:v>
                </c:pt>
                <c:pt idx="13">
                  <c:v>158.44</c:v>
                </c:pt>
                <c:pt idx="14">
                  <c:v>180.17999999999998</c:v>
                </c:pt>
                <c:pt idx="15">
                  <c:v>147.41999999999999</c:v>
                </c:pt>
                <c:pt idx="16">
                  <c:v>182.51999999999998</c:v>
                </c:pt>
                <c:pt idx="17">
                  <c:v>214.36</c:v>
                </c:pt>
                <c:pt idx="18">
                  <c:v>119.33999999999999</c:v>
                </c:pt>
                <c:pt idx="19">
                  <c:v>182.51999999999998</c:v>
                </c:pt>
                <c:pt idx="20">
                  <c:v>187.2</c:v>
                </c:pt>
                <c:pt idx="21">
                  <c:v>172.42000000000004</c:v>
                </c:pt>
                <c:pt idx="22">
                  <c:v>131.04</c:v>
                </c:pt>
                <c:pt idx="23">
                  <c:v>226.98000000000027</c:v>
                </c:pt>
                <c:pt idx="24">
                  <c:v>175.5</c:v>
                </c:pt>
                <c:pt idx="25">
                  <c:v>216.69</c:v>
                </c:pt>
                <c:pt idx="26">
                  <c:v>191.88000000000127</c:v>
                </c:pt>
                <c:pt idx="27">
                  <c:v>231.66</c:v>
                </c:pt>
                <c:pt idx="28">
                  <c:v>201.23999999999998</c:v>
                </c:pt>
                <c:pt idx="29">
                  <c:v>158.44</c:v>
                </c:pt>
                <c:pt idx="30">
                  <c:v>201.23999999999998</c:v>
                </c:pt>
                <c:pt idx="31">
                  <c:v>177.83999999999997</c:v>
                </c:pt>
                <c:pt idx="32">
                  <c:v>128.69999999999999</c:v>
                </c:pt>
                <c:pt idx="33">
                  <c:v>202.70999999999998</c:v>
                </c:pt>
                <c:pt idx="34">
                  <c:v>203.57999999999998</c:v>
                </c:pt>
                <c:pt idx="35">
                  <c:v>252.71999999999952</c:v>
                </c:pt>
                <c:pt idx="36">
                  <c:v>170.82000000000087</c:v>
                </c:pt>
                <c:pt idx="37">
                  <c:v>144.46</c:v>
                </c:pt>
                <c:pt idx="38">
                  <c:v>243.36</c:v>
                </c:pt>
                <c:pt idx="39">
                  <c:v>184.86</c:v>
                </c:pt>
                <c:pt idx="40">
                  <c:v>201.23999999999998</c:v>
                </c:pt>
                <c:pt idx="41">
                  <c:v>163.1</c:v>
                </c:pt>
                <c:pt idx="42">
                  <c:v>161.46</c:v>
                </c:pt>
                <c:pt idx="43">
                  <c:v>147.41999999999999</c:v>
                </c:pt>
                <c:pt idx="44">
                  <c:v>156.78</c:v>
                </c:pt>
                <c:pt idx="45">
                  <c:v>118.83</c:v>
                </c:pt>
                <c:pt idx="46">
                  <c:v>119.33999999999999</c:v>
                </c:pt>
                <c:pt idx="47">
                  <c:v>142.73999999999998</c:v>
                </c:pt>
                <c:pt idx="48">
                  <c:v>142.73999999999998</c:v>
                </c:pt>
                <c:pt idx="49">
                  <c:v>170.09</c:v>
                </c:pt>
                <c:pt idx="50">
                  <c:v>212.94</c:v>
                </c:pt>
                <c:pt idx="51">
                  <c:v>245.7</c:v>
                </c:pt>
                <c:pt idx="52">
                  <c:v>105.3</c:v>
                </c:pt>
                <c:pt idx="53">
                  <c:v>200.38000000000127</c:v>
                </c:pt>
                <c:pt idx="54">
                  <c:v>212.94</c:v>
                </c:pt>
                <c:pt idx="55">
                  <c:v>126.35999999999999</c:v>
                </c:pt>
                <c:pt idx="56">
                  <c:v>131.04</c:v>
                </c:pt>
                <c:pt idx="57">
                  <c:v>200.38000000000127</c:v>
                </c:pt>
                <c:pt idx="58">
                  <c:v>105.3</c:v>
                </c:pt>
                <c:pt idx="59">
                  <c:v>189.54</c:v>
                </c:pt>
                <c:pt idx="60">
                  <c:v>198.9</c:v>
                </c:pt>
                <c:pt idx="61">
                  <c:v>188.73000000000002</c:v>
                </c:pt>
                <c:pt idx="62">
                  <c:v>191.88000000000127</c:v>
                </c:pt>
                <c:pt idx="63">
                  <c:v>196.56</c:v>
                </c:pt>
                <c:pt idx="64">
                  <c:v>124.02</c:v>
                </c:pt>
                <c:pt idx="65">
                  <c:v>281.92999999999893</c:v>
                </c:pt>
                <c:pt idx="66">
                  <c:v>219.96</c:v>
                </c:pt>
                <c:pt idx="67">
                  <c:v>154.44</c:v>
                </c:pt>
                <c:pt idx="68">
                  <c:v>217.61999999999998</c:v>
                </c:pt>
                <c:pt idx="69">
                  <c:v>184.07</c:v>
                </c:pt>
                <c:pt idx="70">
                  <c:v>196.56</c:v>
                </c:pt>
                <c:pt idx="71">
                  <c:v>159.12</c:v>
                </c:pt>
                <c:pt idx="72">
                  <c:v>161.46</c:v>
                </c:pt>
                <c:pt idx="73">
                  <c:v>228.34</c:v>
                </c:pt>
                <c:pt idx="74">
                  <c:v>203.57999999999998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882-472D-A33C-F767DADEDB27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Summer</c:v>
                </c:pt>
              </c:strCache>
            </c:strRef>
          </c:tx>
          <c:marker>
            <c:symbol val="square"/>
            <c:size val="4"/>
          </c:marker>
          <c:cat>
            <c:numRef>
              <c:f>Sheet1!$A$3:$A$77</c:f>
              <c:numCache>
                <c:formatCode>General</c:formatCode>
                <c:ptCount val="75"/>
                <c:pt idx="0">
                  <c:v>1951</c:v>
                </c:pt>
                <c:pt idx="1">
                  <c:v>1952</c:v>
                </c:pt>
                <c:pt idx="2">
                  <c:v>1953</c:v>
                </c:pt>
                <c:pt idx="3">
                  <c:v>1954</c:v>
                </c:pt>
                <c:pt idx="4">
                  <c:v>1955</c:v>
                </c:pt>
                <c:pt idx="5">
                  <c:v>1956</c:v>
                </c:pt>
                <c:pt idx="6">
                  <c:v>1957</c:v>
                </c:pt>
                <c:pt idx="7">
                  <c:v>1958</c:v>
                </c:pt>
                <c:pt idx="8">
                  <c:v>1959</c:v>
                </c:pt>
                <c:pt idx="9">
                  <c:v>1960</c:v>
                </c:pt>
                <c:pt idx="10">
                  <c:v>1961</c:v>
                </c:pt>
                <c:pt idx="11">
                  <c:v>1962</c:v>
                </c:pt>
                <c:pt idx="12">
                  <c:v>1963</c:v>
                </c:pt>
                <c:pt idx="13">
                  <c:v>1964</c:v>
                </c:pt>
                <c:pt idx="14">
                  <c:v>1965</c:v>
                </c:pt>
                <c:pt idx="15">
                  <c:v>1966</c:v>
                </c:pt>
                <c:pt idx="16">
                  <c:v>1967</c:v>
                </c:pt>
                <c:pt idx="17">
                  <c:v>1968</c:v>
                </c:pt>
                <c:pt idx="18">
                  <c:v>1969</c:v>
                </c:pt>
                <c:pt idx="19">
                  <c:v>1970</c:v>
                </c:pt>
                <c:pt idx="20">
                  <c:v>1971</c:v>
                </c:pt>
                <c:pt idx="21">
                  <c:v>1972</c:v>
                </c:pt>
                <c:pt idx="22">
                  <c:v>1973</c:v>
                </c:pt>
                <c:pt idx="23">
                  <c:v>1974</c:v>
                </c:pt>
                <c:pt idx="24">
                  <c:v>1975</c:v>
                </c:pt>
                <c:pt idx="25">
                  <c:v>1976</c:v>
                </c:pt>
                <c:pt idx="26">
                  <c:v>1977</c:v>
                </c:pt>
                <c:pt idx="27">
                  <c:v>1978</c:v>
                </c:pt>
                <c:pt idx="28">
                  <c:v>1979</c:v>
                </c:pt>
                <c:pt idx="29">
                  <c:v>1980</c:v>
                </c:pt>
                <c:pt idx="30">
                  <c:v>1981</c:v>
                </c:pt>
                <c:pt idx="31">
                  <c:v>1982</c:v>
                </c:pt>
                <c:pt idx="32">
                  <c:v>1983</c:v>
                </c:pt>
                <c:pt idx="33">
                  <c:v>1984</c:v>
                </c:pt>
                <c:pt idx="34">
                  <c:v>1985</c:v>
                </c:pt>
                <c:pt idx="35">
                  <c:v>1986</c:v>
                </c:pt>
                <c:pt idx="36">
                  <c:v>1987</c:v>
                </c:pt>
                <c:pt idx="37">
                  <c:v>1988</c:v>
                </c:pt>
                <c:pt idx="38">
                  <c:v>1989</c:v>
                </c:pt>
                <c:pt idx="39">
                  <c:v>1990</c:v>
                </c:pt>
                <c:pt idx="40">
                  <c:v>1991</c:v>
                </c:pt>
                <c:pt idx="41">
                  <c:v>1992</c:v>
                </c:pt>
                <c:pt idx="42">
                  <c:v>1993</c:v>
                </c:pt>
                <c:pt idx="43">
                  <c:v>1994</c:v>
                </c:pt>
                <c:pt idx="44">
                  <c:v>1995</c:v>
                </c:pt>
                <c:pt idx="45">
                  <c:v>1996</c:v>
                </c:pt>
                <c:pt idx="46">
                  <c:v>1997</c:v>
                </c:pt>
                <c:pt idx="47">
                  <c:v>1998</c:v>
                </c:pt>
                <c:pt idx="48">
                  <c:v>1999</c:v>
                </c:pt>
                <c:pt idx="49">
                  <c:v>2000</c:v>
                </c:pt>
                <c:pt idx="50">
                  <c:v>2001</c:v>
                </c:pt>
                <c:pt idx="51">
                  <c:v>2002</c:v>
                </c:pt>
                <c:pt idx="52">
                  <c:v>2003</c:v>
                </c:pt>
                <c:pt idx="53">
                  <c:v>2004</c:v>
                </c:pt>
                <c:pt idx="54">
                  <c:v>2005</c:v>
                </c:pt>
                <c:pt idx="55">
                  <c:v>2006</c:v>
                </c:pt>
                <c:pt idx="56">
                  <c:v>2007</c:v>
                </c:pt>
                <c:pt idx="57">
                  <c:v>2008</c:v>
                </c:pt>
                <c:pt idx="58">
                  <c:v>2009</c:v>
                </c:pt>
                <c:pt idx="59">
                  <c:v>2010</c:v>
                </c:pt>
                <c:pt idx="60">
                  <c:v>2011</c:v>
                </c:pt>
                <c:pt idx="61">
                  <c:v>2012</c:v>
                </c:pt>
                <c:pt idx="62">
                  <c:v>2013</c:v>
                </c:pt>
                <c:pt idx="63">
                  <c:v>2014</c:v>
                </c:pt>
                <c:pt idx="64">
                  <c:v>2015</c:v>
                </c:pt>
                <c:pt idx="65">
                  <c:v>2016</c:v>
                </c:pt>
                <c:pt idx="66">
                  <c:v>2017</c:v>
                </c:pt>
                <c:pt idx="67">
                  <c:v>2018</c:v>
                </c:pt>
                <c:pt idx="68">
                  <c:v>2019</c:v>
                </c:pt>
                <c:pt idx="69">
                  <c:v>2020</c:v>
                </c:pt>
                <c:pt idx="70">
                  <c:v>2021</c:v>
                </c:pt>
                <c:pt idx="71">
                  <c:v>2022</c:v>
                </c:pt>
                <c:pt idx="72">
                  <c:v>2023</c:v>
                </c:pt>
                <c:pt idx="73">
                  <c:v>2024</c:v>
                </c:pt>
                <c:pt idx="74">
                  <c:v>2025</c:v>
                </c:pt>
              </c:numCache>
            </c:numRef>
          </c:cat>
          <c:val>
            <c:numRef>
              <c:f>Sheet1!$T$3:$T$77</c:f>
              <c:numCache>
                <c:formatCode>General</c:formatCode>
                <c:ptCount val="75"/>
                <c:pt idx="0">
                  <c:v>271.44</c:v>
                </c:pt>
                <c:pt idx="1">
                  <c:v>233</c:v>
                </c:pt>
                <c:pt idx="2">
                  <c:v>241.01999999999998</c:v>
                </c:pt>
                <c:pt idx="3">
                  <c:v>250.38000000000127</c:v>
                </c:pt>
                <c:pt idx="4">
                  <c:v>175.5</c:v>
                </c:pt>
                <c:pt idx="5">
                  <c:v>230.67000000000002</c:v>
                </c:pt>
                <c:pt idx="6">
                  <c:v>273.77999999999969</c:v>
                </c:pt>
                <c:pt idx="7">
                  <c:v>269.09999999999923</c:v>
                </c:pt>
                <c:pt idx="8">
                  <c:v>121.67999999999998</c:v>
                </c:pt>
                <c:pt idx="9">
                  <c:v>216.69</c:v>
                </c:pt>
                <c:pt idx="10">
                  <c:v>276.12</c:v>
                </c:pt>
                <c:pt idx="11">
                  <c:v>231.66</c:v>
                </c:pt>
                <c:pt idx="12">
                  <c:v>219.96</c:v>
                </c:pt>
                <c:pt idx="13">
                  <c:v>253.97</c:v>
                </c:pt>
                <c:pt idx="14">
                  <c:v>156.78</c:v>
                </c:pt>
                <c:pt idx="15">
                  <c:v>241.01999999999998</c:v>
                </c:pt>
                <c:pt idx="16">
                  <c:v>187.2</c:v>
                </c:pt>
                <c:pt idx="17">
                  <c:v>209.70000000000002</c:v>
                </c:pt>
                <c:pt idx="18">
                  <c:v>308.88</c:v>
                </c:pt>
                <c:pt idx="19">
                  <c:v>243.36</c:v>
                </c:pt>
                <c:pt idx="20">
                  <c:v>201.23999999999998</c:v>
                </c:pt>
                <c:pt idx="21">
                  <c:v>165.43</c:v>
                </c:pt>
                <c:pt idx="22">
                  <c:v>236.33999999999997</c:v>
                </c:pt>
                <c:pt idx="23">
                  <c:v>205.92000000000004</c:v>
                </c:pt>
                <c:pt idx="24">
                  <c:v>262.08</c:v>
                </c:pt>
                <c:pt idx="25">
                  <c:v>111.84</c:v>
                </c:pt>
                <c:pt idx="26">
                  <c:v>245.7</c:v>
                </c:pt>
                <c:pt idx="27">
                  <c:v>196.56</c:v>
                </c:pt>
                <c:pt idx="28">
                  <c:v>236.33999999999997</c:v>
                </c:pt>
                <c:pt idx="29">
                  <c:v>221.35000000000107</c:v>
                </c:pt>
                <c:pt idx="30">
                  <c:v>191.88000000000127</c:v>
                </c:pt>
                <c:pt idx="31">
                  <c:v>243.36</c:v>
                </c:pt>
                <c:pt idx="32">
                  <c:v>264.41999999999899</c:v>
                </c:pt>
                <c:pt idx="33">
                  <c:v>188.73000000000002</c:v>
                </c:pt>
                <c:pt idx="34">
                  <c:v>168.48000000000027</c:v>
                </c:pt>
                <c:pt idx="35">
                  <c:v>163.79999999999998</c:v>
                </c:pt>
                <c:pt idx="36">
                  <c:v>266.76</c:v>
                </c:pt>
                <c:pt idx="37">
                  <c:v>242.32000000000087</c:v>
                </c:pt>
                <c:pt idx="38">
                  <c:v>212.94</c:v>
                </c:pt>
                <c:pt idx="39">
                  <c:v>243.36</c:v>
                </c:pt>
                <c:pt idx="40">
                  <c:v>177.83999999999997</c:v>
                </c:pt>
                <c:pt idx="41">
                  <c:v>263.28999999999894</c:v>
                </c:pt>
                <c:pt idx="42">
                  <c:v>287.82</c:v>
                </c:pt>
                <c:pt idx="43">
                  <c:v>315.89999999999969</c:v>
                </c:pt>
                <c:pt idx="44">
                  <c:v>189.54</c:v>
                </c:pt>
                <c:pt idx="45">
                  <c:v>221.35000000000107</c:v>
                </c:pt>
                <c:pt idx="46">
                  <c:v>226.98000000000027</c:v>
                </c:pt>
                <c:pt idx="47">
                  <c:v>248.04</c:v>
                </c:pt>
                <c:pt idx="48">
                  <c:v>292.5</c:v>
                </c:pt>
                <c:pt idx="49">
                  <c:v>214.36</c:v>
                </c:pt>
                <c:pt idx="50">
                  <c:v>219.96</c:v>
                </c:pt>
                <c:pt idx="51">
                  <c:v>180.17999999999998</c:v>
                </c:pt>
                <c:pt idx="52">
                  <c:v>196.56</c:v>
                </c:pt>
                <c:pt idx="53">
                  <c:v>151.45000000000007</c:v>
                </c:pt>
                <c:pt idx="54">
                  <c:v>210.6</c:v>
                </c:pt>
                <c:pt idx="55">
                  <c:v>290.15999999999997</c:v>
                </c:pt>
                <c:pt idx="56">
                  <c:v>276.12</c:v>
                </c:pt>
                <c:pt idx="57">
                  <c:v>258.63</c:v>
                </c:pt>
                <c:pt idx="58">
                  <c:v>306.53999999999894</c:v>
                </c:pt>
                <c:pt idx="59">
                  <c:v>219.96</c:v>
                </c:pt>
                <c:pt idx="60">
                  <c:v>238.67999999999998</c:v>
                </c:pt>
                <c:pt idx="61">
                  <c:v>286.59000000000003</c:v>
                </c:pt>
                <c:pt idx="62">
                  <c:v>212.94</c:v>
                </c:pt>
                <c:pt idx="63">
                  <c:v>255.05999999999997</c:v>
                </c:pt>
                <c:pt idx="64">
                  <c:v>269.09999999999923</c:v>
                </c:pt>
                <c:pt idx="65">
                  <c:v>295.91000000000003</c:v>
                </c:pt>
                <c:pt idx="66">
                  <c:v>215.27999999999992</c:v>
                </c:pt>
                <c:pt idx="67">
                  <c:v>264.41999999999899</c:v>
                </c:pt>
                <c:pt idx="68">
                  <c:v>245.7</c:v>
                </c:pt>
                <c:pt idx="69">
                  <c:v>219.02</c:v>
                </c:pt>
                <c:pt idx="70">
                  <c:v>236.33999999999997</c:v>
                </c:pt>
                <c:pt idx="71">
                  <c:v>257.39999999999969</c:v>
                </c:pt>
                <c:pt idx="72">
                  <c:v>252.71999999999952</c:v>
                </c:pt>
                <c:pt idx="73">
                  <c:v>242.32000000000087</c:v>
                </c:pt>
                <c:pt idx="74">
                  <c:v>257.39999999999969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882-472D-A33C-F767DADEDB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0769152"/>
        <c:axId val="120775040"/>
      </c:lineChart>
      <c:catAx>
        <c:axId val="120769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0775040"/>
        <c:crosses val="autoZero"/>
        <c:auto val="1"/>
        <c:lblAlgn val="ctr"/>
        <c:lblOffset val="100"/>
        <c:noMultiLvlLbl val="0"/>
      </c:catAx>
      <c:valAx>
        <c:axId val="120775040"/>
        <c:scaling>
          <c:orientation val="minMax"/>
          <c:max val="35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en-US" b="1"/>
                  <a:t>Days(</a:t>
                </a:r>
                <a:r>
                  <a:rPr lang="en-US" sz="1000" b="1" i="0" u="none" strike="noStrike" baseline="0">
                    <a:effectLst/>
                  </a:rPr>
                  <a:t>‰</a:t>
                </a:r>
                <a:r>
                  <a:rPr lang="en-US" b="1"/>
                  <a:t>)</a:t>
                </a:r>
              </a:p>
            </c:rich>
          </c:tx>
          <c:layout>
            <c:manualLayout>
              <c:xMode val="edge"/>
              <c:yMode val="edge"/>
              <c:x val="0.10317669474989102"/>
              <c:y val="4.8915323352821914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20769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7424316858351873"/>
          <c:y val="0.62808474807701054"/>
          <c:w val="0.45726406648148571"/>
          <c:h val="0.11604311744269009"/>
        </c:manualLayout>
      </c:layout>
      <c:overlay val="0"/>
    </c:legend>
    <c:plotVisOnly val="1"/>
    <c:dispBlanksAs val="gap"/>
    <c:showDLblsOverMax val="0"/>
  </c:chart>
  <c:spPr>
    <a:effectLst>
      <a:outerShdw blurRad="50800" dist="50800" dir="5400000" algn="ctr" rotWithShape="0">
        <a:srgbClr val="0070C0"/>
      </a:outerShdw>
    </a:effectLst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327629321925304E-2"/>
          <c:y val="5.1400554097404488E-2"/>
          <c:w val="0.8900896935127206"/>
          <c:h val="0.79523549139690852"/>
        </c:manualLayout>
      </c:layout>
      <c:lineChart>
        <c:grouping val="standard"/>
        <c:varyColors val="0"/>
        <c:ser>
          <c:idx val="0"/>
          <c:order val="0"/>
          <c:tx>
            <c:strRef>
              <c:f>Sheet1!$E$2</c:f>
              <c:strCache>
                <c:ptCount val="1"/>
                <c:pt idx="0">
                  <c:v>Autumn</c:v>
                </c:pt>
              </c:strCache>
            </c:strRef>
          </c:tx>
          <c:marker>
            <c:symbol val="none"/>
          </c:marker>
          <c:cat>
            <c:numRef>
              <c:f>Sheet1!$D$3:$D$76</c:f>
              <c:numCache>
                <c:formatCode>General</c:formatCode>
                <c:ptCount val="74"/>
                <c:pt idx="0">
                  <c:v>1951</c:v>
                </c:pt>
                <c:pt idx="1">
                  <c:v>1952</c:v>
                </c:pt>
                <c:pt idx="2">
                  <c:v>1953</c:v>
                </c:pt>
                <c:pt idx="3">
                  <c:v>1954</c:v>
                </c:pt>
                <c:pt idx="4">
                  <c:v>1955</c:v>
                </c:pt>
                <c:pt idx="5">
                  <c:v>1956</c:v>
                </c:pt>
                <c:pt idx="6">
                  <c:v>1957</c:v>
                </c:pt>
                <c:pt idx="7">
                  <c:v>1958</c:v>
                </c:pt>
                <c:pt idx="8">
                  <c:v>1959</c:v>
                </c:pt>
                <c:pt idx="9">
                  <c:v>1960</c:v>
                </c:pt>
                <c:pt idx="10">
                  <c:v>1961</c:v>
                </c:pt>
                <c:pt idx="11">
                  <c:v>1962</c:v>
                </c:pt>
                <c:pt idx="12">
                  <c:v>1963</c:v>
                </c:pt>
                <c:pt idx="13">
                  <c:v>1964</c:v>
                </c:pt>
                <c:pt idx="14">
                  <c:v>1965</c:v>
                </c:pt>
                <c:pt idx="15">
                  <c:v>1966</c:v>
                </c:pt>
                <c:pt idx="16">
                  <c:v>1967</c:v>
                </c:pt>
                <c:pt idx="17">
                  <c:v>1968</c:v>
                </c:pt>
                <c:pt idx="18">
                  <c:v>1969</c:v>
                </c:pt>
                <c:pt idx="19">
                  <c:v>1970</c:v>
                </c:pt>
                <c:pt idx="20">
                  <c:v>1971</c:v>
                </c:pt>
                <c:pt idx="21">
                  <c:v>1972</c:v>
                </c:pt>
                <c:pt idx="22">
                  <c:v>1973</c:v>
                </c:pt>
                <c:pt idx="23">
                  <c:v>1974</c:v>
                </c:pt>
                <c:pt idx="24">
                  <c:v>1975</c:v>
                </c:pt>
                <c:pt idx="25">
                  <c:v>1976</c:v>
                </c:pt>
                <c:pt idx="26">
                  <c:v>1977</c:v>
                </c:pt>
                <c:pt idx="27">
                  <c:v>1978</c:v>
                </c:pt>
                <c:pt idx="28">
                  <c:v>1979</c:v>
                </c:pt>
                <c:pt idx="29">
                  <c:v>1980</c:v>
                </c:pt>
                <c:pt idx="30">
                  <c:v>1981</c:v>
                </c:pt>
                <c:pt idx="31">
                  <c:v>1982</c:v>
                </c:pt>
                <c:pt idx="32">
                  <c:v>1983</c:v>
                </c:pt>
                <c:pt idx="33">
                  <c:v>1984</c:v>
                </c:pt>
                <c:pt idx="34">
                  <c:v>1985</c:v>
                </c:pt>
                <c:pt idx="35">
                  <c:v>1986</c:v>
                </c:pt>
                <c:pt idx="36">
                  <c:v>1987</c:v>
                </c:pt>
                <c:pt idx="37">
                  <c:v>1988</c:v>
                </c:pt>
                <c:pt idx="38">
                  <c:v>1989</c:v>
                </c:pt>
                <c:pt idx="39">
                  <c:v>1990</c:v>
                </c:pt>
                <c:pt idx="40">
                  <c:v>1991</c:v>
                </c:pt>
                <c:pt idx="41">
                  <c:v>1992</c:v>
                </c:pt>
                <c:pt idx="42">
                  <c:v>1993</c:v>
                </c:pt>
                <c:pt idx="43">
                  <c:v>1994</c:v>
                </c:pt>
                <c:pt idx="44">
                  <c:v>1995</c:v>
                </c:pt>
                <c:pt idx="45">
                  <c:v>1996</c:v>
                </c:pt>
                <c:pt idx="46">
                  <c:v>1997</c:v>
                </c:pt>
                <c:pt idx="47">
                  <c:v>1998</c:v>
                </c:pt>
                <c:pt idx="48">
                  <c:v>1999</c:v>
                </c:pt>
                <c:pt idx="49">
                  <c:v>2000</c:v>
                </c:pt>
                <c:pt idx="50">
                  <c:v>2001</c:v>
                </c:pt>
                <c:pt idx="51">
                  <c:v>2002</c:v>
                </c:pt>
                <c:pt idx="52">
                  <c:v>2003</c:v>
                </c:pt>
                <c:pt idx="53">
                  <c:v>2004</c:v>
                </c:pt>
                <c:pt idx="54">
                  <c:v>2005</c:v>
                </c:pt>
                <c:pt idx="55">
                  <c:v>2006</c:v>
                </c:pt>
                <c:pt idx="56">
                  <c:v>2007</c:v>
                </c:pt>
                <c:pt idx="57">
                  <c:v>2008</c:v>
                </c:pt>
                <c:pt idx="58">
                  <c:v>2009</c:v>
                </c:pt>
                <c:pt idx="59">
                  <c:v>2010</c:v>
                </c:pt>
                <c:pt idx="60">
                  <c:v>2011</c:v>
                </c:pt>
                <c:pt idx="61">
                  <c:v>2012</c:v>
                </c:pt>
                <c:pt idx="62">
                  <c:v>2013</c:v>
                </c:pt>
                <c:pt idx="63">
                  <c:v>2014</c:v>
                </c:pt>
                <c:pt idx="64">
                  <c:v>2015</c:v>
                </c:pt>
                <c:pt idx="65">
                  <c:v>2016</c:v>
                </c:pt>
                <c:pt idx="66">
                  <c:v>2017</c:v>
                </c:pt>
                <c:pt idx="67">
                  <c:v>2018</c:v>
                </c:pt>
                <c:pt idx="68">
                  <c:v>2019</c:v>
                </c:pt>
                <c:pt idx="69">
                  <c:v>2020</c:v>
                </c:pt>
                <c:pt idx="70">
                  <c:v>2021</c:v>
                </c:pt>
                <c:pt idx="71">
                  <c:v>2022</c:v>
                </c:pt>
                <c:pt idx="72">
                  <c:v>2023</c:v>
                </c:pt>
                <c:pt idx="73">
                  <c:v>2024</c:v>
                </c:pt>
              </c:numCache>
            </c:numRef>
          </c:cat>
          <c:val>
            <c:numRef>
              <c:f>Sheet1!$V$3:$V$76</c:f>
              <c:numCache>
                <c:formatCode>General</c:formatCode>
                <c:ptCount val="74"/>
                <c:pt idx="0">
                  <c:v>161.46</c:v>
                </c:pt>
                <c:pt idx="1">
                  <c:v>174.75</c:v>
                </c:pt>
                <c:pt idx="2">
                  <c:v>102.96000000000002</c:v>
                </c:pt>
                <c:pt idx="3">
                  <c:v>126.35999999999999</c:v>
                </c:pt>
                <c:pt idx="4">
                  <c:v>177.83999999999997</c:v>
                </c:pt>
                <c:pt idx="5">
                  <c:v>146.79</c:v>
                </c:pt>
                <c:pt idx="6">
                  <c:v>124.02</c:v>
                </c:pt>
                <c:pt idx="7">
                  <c:v>198.9</c:v>
                </c:pt>
                <c:pt idx="8">
                  <c:v>194.22</c:v>
                </c:pt>
                <c:pt idx="9">
                  <c:v>251.64</c:v>
                </c:pt>
                <c:pt idx="10">
                  <c:v>133.38000000000127</c:v>
                </c:pt>
                <c:pt idx="11">
                  <c:v>163.79999999999998</c:v>
                </c:pt>
                <c:pt idx="12">
                  <c:v>161.46</c:v>
                </c:pt>
                <c:pt idx="13">
                  <c:v>177.08</c:v>
                </c:pt>
                <c:pt idx="14">
                  <c:v>210.6</c:v>
                </c:pt>
                <c:pt idx="15">
                  <c:v>152.1</c:v>
                </c:pt>
                <c:pt idx="16">
                  <c:v>161.46</c:v>
                </c:pt>
                <c:pt idx="17">
                  <c:v>135.13999999999999</c:v>
                </c:pt>
                <c:pt idx="18">
                  <c:v>154.44</c:v>
                </c:pt>
                <c:pt idx="19">
                  <c:v>173.16</c:v>
                </c:pt>
                <c:pt idx="20">
                  <c:v>98.28</c:v>
                </c:pt>
                <c:pt idx="21">
                  <c:v>142.13</c:v>
                </c:pt>
                <c:pt idx="22">
                  <c:v>168.48000000000027</c:v>
                </c:pt>
                <c:pt idx="23">
                  <c:v>180.17999999999998</c:v>
                </c:pt>
                <c:pt idx="24">
                  <c:v>117</c:v>
                </c:pt>
                <c:pt idx="25">
                  <c:v>223.68</c:v>
                </c:pt>
                <c:pt idx="26">
                  <c:v>163.79999999999998</c:v>
                </c:pt>
                <c:pt idx="27">
                  <c:v>133.38000000000127</c:v>
                </c:pt>
                <c:pt idx="28">
                  <c:v>205.92000000000004</c:v>
                </c:pt>
                <c:pt idx="29">
                  <c:v>156.10999999999999</c:v>
                </c:pt>
                <c:pt idx="30">
                  <c:v>175.5</c:v>
                </c:pt>
                <c:pt idx="31">
                  <c:v>86.58</c:v>
                </c:pt>
                <c:pt idx="32">
                  <c:v>161.46</c:v>
                </c:pt>
                <c:pt idx="33">
                  <c:v>167.76</c:v>
                </c:pt>
                <c:pt idx="34">
                  <c:v>229.32000000000087</c:v>
                </c:pt>
                <c:pt idx="35">
                  <c:v>140.4</c:v>
                </c:pt>
                <c:pt idx="36">
                  <c:v>70.2</c:v>
                </c:pt>
                <c:pt idx="37">
                  <c:v>102.52000000000001</c:v>
                </c:pt>
                <c:pt idx="38">
                  <c:v>112.32</c:v>
                </c:pt>
                <c:pt idx="39">
                  <c:v>187.2</c:v>
                </c:pt>
                <c:pt idx="40">
                  <c:v>145.07999999999998</c:v>
                </c:pt>
                <c:pt idx="41">
                  <c:v>156.10999999999999</c:v>
                </c:pt>
                <c:pt idx="42">
                  <c:v>109.97999999999999</c:v>
                </c:pt>
                <c:pt idx="43">
                  <c:v>124.02</c:v>
                </c:pt>
                <c:pt idx="44">
                  <c:v>156.78</c:v>
                </c:pt>
                <c:pt idx="45">
                  <c:v>191.06</c:v>
                </c:pt>
                <c:pt idx="46">
                  <c:v>93.6</c:v>
                </c:pt>
                <c:pt idx="47">
                  <c:v>93.6</c:v>
                </c:pt>
                <c:pt idx="48">
                  <c:v>121.67999999999998</c:v>
                </c:pt>
                <c:pt idx="49">
                  <c:v>198.05</c:v>
                </c:pt>
                <c:pt idx="50">
                  <c:v>152.1</c:v>
                </c:pt>
                <c:pt idx="51">
                  <c:v>161.46</c:v>
                </c:pt>
                <c:pt idx="52">
                  <c:v>152.1</c:v>
                </c:pt>
                <c:pt idx="53">
                  <c:v>165.43</c:v>
                </c:pt>
                <c:pt idx="54">
                  <c:v>140.4</c:v>
                </c:pt>
                <c:pt idx="55">
                  <c:v>100.61999999999999</c:v>
                </c:pt>
                <c:pt idx="56">
                  <c:v>161.46</c:v>
                </c:pt>
                <c:pt idx="57">
                  <c:v>198.05</c:v>
                </c:pt>
                <c:pt idx="58">
                  <c:v>187.2</c:v>
                </c:pt>
                <c:pt idx="59">
                  <c:v>210.6</c:v>
                </c:pt>
                <c:pt idx="60">
                  <c:v>107.63999999999999</c:v>
                </c:pt>
                <c:pt idx="61">
                  <c:v>130.48000000000027</c:v>
                </c:pt>
                <c:pt idx="62">
                  <c:v>168.48000000000027</c:v>
                </c:pt>
                <c:pt idx="63">
                  <c:v>138.06</c:v>
                </c:pt>
                <c:pt idx="64">
                  <c:v>166.14</c:v>
                </c:pt>
                <c:pt idx="65">
                  <c:v>149.12</c:v>
                </c:pt>
                <c:pt idx="66">
                  <c:v>205.92000000000004</c:v>
                </c:pt>
                <c:pt idx="67">
                  <c:v>154.44</c:v>
                </c:pt>
                <c:pt idx="68">
                  <c:v>170.82000000000087</c:v>
                </c:pt>
                <c:pt idx="69">
                  <c:v>128.15</c:v>
                </c:pt>
                <c:pt idx="70">
                  <c:v>168.48000000000027</c:v>
                </c:pt>
                <c:pt idx="71">
                  <c:v>161.46</c:v>
                </c:pt>
                <c:pt idx="72">
                  <c:v>145.07999999999998</c:v>
                </c:pt>
                <c:pt idx="73">
                  <c:v>179.41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617-46C0-9739-7742003B31F3}"/>
            </c:ext>
          </c:extLst>
        </c:ser>
        <c:ser>
          <c:idx val="1"/>
          <c:order val="1"/>
          <c:tx>
            <c:strRef>
              <c:f>Sheet1!$F$2</c:f>
              <c:strCache>
                <c:ptCount val="1"/>
                <c:pt idx="0">
                  <c:v>Winter</c:v>
                </c:pt>
              </c:strCache>
            </c:strRef>
          </c:tx>
          <c:marker>
            <c:symbol val="square"/>
            <c:size val="4"/>
          </c:marker>
          <c:cat>
            <c:numRef>
              <c:f>Sheet1!$V$3:$V$76</c:f>
              <c:numCache>
                <c:formatCode>General</c:formatCode>
                <c:ptCount val="74"/>
                <c:pt idx="0">
                  <c:v>161.46</c:v>
                </c:pt>
                <c:pt idx="1">
                  <c:v>174.75</c:v>
                </c:pt>
                <c:pt idx="2">
                  <c:v>102.96000000000002</c:v>
                </c:pt>
                <c:pt idx="3">
                  <c:v>126.35999999999999</c:v>
                </c:pt>
                <c:pt idx="4">
                  <c:v>177.83999999999997</c:v>
                </c:pt>
                <c:pt idx="5">
                  <c:v>146.79</c:v>
                </c:pt>
                <c:pt idx="6">
                  <c:v>124.02</c:v>
                </c:pt>
                <c:pt idx="7">
                  <c:v>198.9</c:v>
                </c:pt>
                <c:pt idx="8">
                  <c:v>194.22</c:v>
                </c:pt>
                <c:pt idx="9">
                  <c:v>251.64</c:v>
                </c:pt>
                <c:pt idx="10">
                  <c:v>133.38000000000127</c:v>
                </c:pt>
                <c:pt idx="11">
                  <c:v>163.79999999999998</c:v>
                </c:pt>
                <c:pt idx="12">
                  <c:v>161.46</c:v>
                </c:pt>
                <c:pt idx="13">
                  <c:v>177.08</c:v>
                </c:pt>
                <c:pt idx="14">
                  <c:v>210.6</c:v>
                </c:pt>
                <c:pt idx="15">
                  <c:v>152.1</c:v>
                </c:pt>
                <c:pt idx="16">
                  <c:v>161.46</c:v>
                </c:pt>
                <c:pt idx="17">
                  <c:v>135.13999999999999</c:v>
                </c:pt>
                <c:pt idx="18">
                  <c:v>154.44</c:v>
                </c:pt>
                <c:pt idx="19">
                  <c:v>173.16</c:v>
                </c:pt>
                <c:pt idx="20">
                  <c:v>98.28</c:v>
                </c:pt>
                <c:pt idx="21">
                  <c:v>142.13</c:v>
                </c:pt>
                <c:pt idx="22">
                  <c:v>168.48000000000027</c:v>
                </c:pt>
                <c:pt idx="23">
                  <c:v>180.17999999999998</c:v>
                </c:pt>
                <c:pt idx="24">
                  <c:v>117</c:v>
                </c:pt>
                <c:pt idx="25">
                  <c:v>223.68</c:v>
                </c:pt>
                <c:pt idx="26">
                  <c:v>163.79999999999998</c:v>
                </c:pt>
                <c:pt idx="27">
                  <c:v>133.38000000000127</c:v>
                </c:pt>
                <c:pt idx="28">
                  <c:v>205.92000000000004</c:v>
                </c:pt>
                <c:pt idx="29">
                  <c:v>156.10999999999999</c:v>
                </c:pt>
                <c:pt idx="30">
                  <c:v>175.5</c:v>
                </c:pt>
                <c:pt idx="31">
                  <c:v>86.58</c:v>
                </c:pt>
                <c:pt idx="32">
                  <c:v>161.46</c:v>
                </c:pt>
                <c:pt idx="33">
                  <c:v>167.76</c:v>
                </c:pt>
                <c:pt idx="34">
                  <c:v>229.32000000000087</c:v>
                </c:pt>
                <c:pt idx="35">
                  <c:v>140.4</c:v>
                </c:pt>
                <c:pt idx="36">
                  <c:v>70.2</c:v>
                </c:pt>
                <c:pt idx="37">
                  <c:v>102.52000000000001</c:v>
                </c:pt>
                <c:pt idx="38">
                  <c:v>112.32</c:v>
                </c:pt>
                <c:pt idx="39">
                  <c:v>187.2</c:v>
                </c:pt>
                <c:pt idx="40">
                  <c:v>145.07999999999998</c:v>
                </c:pt>
                <c:pt idx="41">
                  <c:v>156.10999999999999</c:v>
                </c:pt>
                <c:pt idx="42">
                  <c:v>109.97999999999999</c:v>
                </c:pt>
                <c:pt idx="43">
                  <c:v>124.02</c:v>
                </c:pt>
                <c:pt idx="44">
                  <c:v>156.78</c:v>
                </c:pt>
                <c:pt idx="45">
                  <c:v>191.06</c:v>
                </c:pt>
                <c:pt idx="46">
                  <c:v>93.6</c:v>
                </c:pt>
                <c:pt idx="47">
                  <c:v>93.6</c:v>
                </c:pt>
                <c:pt idx="48">
                  <c:v>121.67999999999998</c:v>
                </c:pt>
                <c:pt idx="49">
                  <c:v>198.05</c:v>
                </c:pt>
                <c:pt idx="50">
                  <c:v>152.1</c:v>
                </c:pt>
                <c:pt idx="51">
                  <c:v>161.46</c:v>
                </c:pt>
                <c:pt idx="52">
                  <c:v>152.1</c:v>
                </c:pt>
                <c:pt idx="53">
                  <c:v>165.43</c:v>
                </c:pt>
                <c:pt idx="54">
                  <c:v>140.4</c:v>
                </c:pt>
                <c:pt idx="55">
                  <c:v>100.61999999999999</c:v>
                </c:pt>
                <c:pt idx="56">
                  <c:v>161.46</c:v>
                </c:pt>
                <c:pt idx="57">
                  <c:v>198.05</c:v>
                </c:pt>
                <c:pt idx="58">
                  <c:v>187.2</c:v>
                </c:pt>
                <c:pt idx="59">
                  <c:v>210.6</c:v>
                </c:pt>
                <c:pt idx="60">
                  <c:v>107.63999999999999</c:v>
                </c:pt>
                <c:pt idx="61">
                  <c:v>130.48000000000027</c:v>
                </c:pt>
                <c:pt idx="62">
                  <c:v>168.48000000000027</c:v>
                </c:pt>
                <c:pt idx="63">
                  <c:v>138.06</c:v>
                </c:pt>
                <c:pt idx="64">
                  <c:v>166.14</c:v>
                </c:pt>
                <c:pt idx="65">
                  <c:v>149.12</c:v>
                </c:pt>
                <c:pt idx="66">
                  <c:v>205.92000000000004</c:v>
                </c:pt>
                <c:pt idx="67">
                  <c:v>154.44</c:v>
                </c:pt>
                <c:pt idx="68">
                  <c:v>170.82000000000087</c:v>
                </c:pt>
                <c:pt idx="69">
                  <c:v>128.15</c:v>
                </c:pt>
                <c:pt idx="70">
                  <c:v>168.48000000000027</c:v>
                </c:pt>
                <c:pt idx="71">
                  <c:v>161.46</c:v>
                </c:pt>
                <c:pt idx="72">
                  <c:v>145.07999999999998</c:v>
                </c:pt>
                <c:pt idx="73">
                  <c:v>179.41</c:v>
                </c:pt>
              </c:numCache>
            </c:numRef>
          </c:cat>
          <c:val>
            <c:numRef>
              <c:f>Sheet1!$W$3:$W$76</c:f>
              <c:numCache>
                <c:formatCode>General</c:formatCode>
                <c:ptCount val="74"/>
                <c:pt idx="0">
                  <c:v>273.77999999999969</c:v>
                </c:pt>
                <c:pt idx="1">
                  <c:v>260.96000000000004</c:v>
                </c:pt>
                <c:pt idx="2">
                  <c:v>320.58</c:v>
                </c:pt>
                <c:pt idx="3">
                  <c:v>292.5</c:v>
                </c:pt>
                <c:pt idx="4">
                  <c:v>346.32</c:v>
                </c:pt>
                <c:pt idx="5">
                  <c:v>267.95</c:v>
                </c:pt>
                <c:pt idx="6">
                  <c:v>290.15999999999997</c:v>
                </c:pt>
                <c:pt idx="7">
                  <c:v>236.33999999999997</c:v>
                </c:pt>
                <c:pt idx="8">
                  <c:v>292.5</c:v>
                </c:pt>
                <c:pt idx="9">
                  <c:v>226.01000000000002</c:v>
                </c:pt>
                <c:pt idx="10">
                  <c:v>308.88</c:v>
                </c:pt>
                <c:pt idx="11">
                  <c:v>301.85999999999996</c:v>
                </c:pt>
                <c:pt idx="12">
                  <c:v>271.44</c:v>
                </c:pt>
                <c:pt idx="13">
                  <c:v>284.26</c:v>
                </c:pt>
                <c:pt idx="14">
                  <c:v>313.56</c:v>
                </c:pt>
                <c:pt idx="15">
                  <c:v>266.76</c:v>
                </c:pt>
                <c:pt idx="16">
                  <c:v>299.52</c:v>
                </c:pt>
                <c:pt idx="17">
                  <c:v>349.5</c:v>
                </c:pt>
                <c:pt idx="18">
                  <c:v>269.09999999999923</c:v>
                </c:pt>
                <c:pt idx="19">
                  <c:v>283.14000000000038</c:v>
                </c:pt>
                <c:pt idx="20">
                  <c:v>351</c:v>
                </c:pt>
                <c:pt idx="21">
                  <c:v>396.1</c:v>
                </c:pt>
                <c:pt idx="22">
                  <c:v>276.12</c:v>
                </c:pt>
                <c:pt idx="23">
                  <c:v>266.76</c:v>
                </c:pt>
                <c:pt idx="24">
                  <c:v>304.2</c:v>
                </c:pt>
                <c:pt idx="25">
                  <c:v>274.94</c:v>
                </c:pt>
                <c:pt idx="26">
                  <c:v>208.26</c:v>
                </c:pt>
                <c:pt idx="27">
                  <c:v>320.58</c:v>
                </c:pt>
                <c:pt idx="28">
                  <c:v>290.15999999999997</c:v>
                </c:pt>
                <c:pt idx="29">
                  <c:v>284.26</c:v>
                </c:pt>
                <c:pt idx="30">
                  <c:v>343.97999999999894</c:v>
                </c:pt>
                <c:pt idx="31">
                  <c:v>315.89999999999969</c:v>
                </c:pt>
                <c:pt idx="32">
                  <c:v>329.94</c:v>
                </c:pt>
                <c:pt idx="33">
                  <c:v>288.91999999999899</c:v>
                </c:pt>
                <c:pt idx="34">
                  <c:v>238.67999999999998</c:v>
                </c:pt>
                <c:pt idx="35">
                  <c:v>299.52</c:v>
                </c:pt>
                <c:pt idx="36">
                  <c:v>367.38</c:v>
                </c:pt>
                <c:pt idx="37">
                  <c:v>316.88</c:v>
                </c:pt>
                <c:pt idx="38">
                  <c:v>292.5</c:v>
                </c:pt>
                <c:pt idx="39">
                  <c:v>255.05999999999997</c:v>
                </c:pt>
                <c:pt idx="40">
                  <c:v>341.64000000000038</c:v>
                </c:pt>
                <c:pt idx="41">
                  <c:v>258.63</c:v>
                </c:pt>
                <c:pt idx="42">
                  <c:v>297.18</c:v>
                </c:pt>
                <c:pt idx="43">
                  <c:v>301.85999999999996</c:v>
                </c:pt>
                <c:pt idx="44">
                  <c:v>390.78</c:v>
                </c:pt>
                <c:pt idx="45">
                  <c:v>340.18</c:v>
                </c:pt>
                <c:pt idx="46">
                  <c:v>372.06</c:v>
                </c:pt>
                <c:pt idx="47">
                  <c:v>311.21999999999969</c:v>
                </c:pt>
                <c:pt idx="48">
                  <c:v>283.14000000000038</c:v>
                </c:pt>
                <c:pt idx="49">
                  <c:v>237.66</c:v>
                </c:pt>
                <c:pt idx="50">
                  <c:v>245.7</c:v>
                </c:pt>
                <c:pt idx="51">
                  <c:v>402.47999999999894</c:v>
                </c:pt>
                <c:pt idx="52">
                  <c:v>355.67999999999995</c:v>
                </c:pt>
                <c:pt idx="53">
                  <c:v>298.24</c:v>
                </c:pt>
                <c:pt idx="54">
                  <c:v>297.18</c:v>
                </c:pt>
                <c:pt idx="55">
                  <c:v>313.56</c:v>
                </c:pt>
                <c:pt idx="56">
                  <c:v>252.71999999999952</c:v>
                </c:pt>
                <c:pt idx="57">
                  <c:v>258.63</c:v>
                </c:pt>
                <c:pt idx="58">
                  <c:v>236.33999999999997</c:v>
                </c:pt>
                <c:pt idx="59">
                  <c:v>243.36</c:v>
                </c:pt>
                <c:pt idx="60">
                  <c:v>294.83999999999969</c:v>
                </c:pt>
                <c:pt idx="61">
                  <c:v>260.96000000000004</c:v>
                </c:pt>
                <c:pt idx="62">
                  <c:v>257.39999999999969</c:v>
                </c:pt>
                <c:pt idx="63">
                  <c:v>327.59999999999923</c:v>
                </c:pt>
                <c:pt idx="64">
                  <c:v>168.48000000000027</c:v>
                </c:pt>
                <c:pt idx="65">
                  <c:v>270.28000000000003</c:v>
                </c:pt>
                <c:pt idx="66">
                  <c:v>238.67999999999998</c:v>
                </c:pt>
                <c:pt idx="67">
                  <c:v>226.98000000000027</c:v>
                </c:pt>
                <c:pt idx="68">
                  <c:v>294.83999999999969</c:v>
                </c:pt>
                <c:pt idx="69">
                  <c:v>298.24</c:v>
                </c:pt>
                <c:pt idx="70">
                  <c:v>245.7</c:v>
                </c:pt>
                <c:pt idx="71">
                  <c:v>322.91999999999899</c:v>
                </c:pt>
                <c:pt idx="72">
                  <c:v>184.86</c:v>
                </c:pt>
                <c:pt idx="73">
                  <c:v>230.67000000000002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617-46C0-9739-7742003B31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3471360"/>
        <c:axId val="123472896"/>
      </c:lineChart>
      <c:catAx>
        <c:axId val="123471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23472896"/>
        <c:crosses val="autoZero"/>
        <c:auto val="1"/>
        <c:lblAlgn val="ctr"/>
        <c:lblOffset val="100"/>
        <c:noMultiLvlLbl val="0"/>
      </c:catAx>
      <c:valAx>
        <c:axId val="12347289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en-US" sz="1000" b="1">
                    <a:latin typeface="Arial" panose="020B0604020202020204" pitchFamily="34" charset="0"/>
                    <a:cs typeface="Arial" panose="020B0604020202020204" pitchFamily="34" charset="0"/>
                  </a:rPr>
                  <a:t>Days(</a:t>
                </a:r>
                <a:r>
                  <a:rPr lang="en-US" sz="1000" b="1" i="0" u="none" strike="noStrike" baseline="0"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‰</a:t>
                </a:r>
                <a:r>
                  <a:rPr lang="en-US" sz="1000" b="1">
                    <a:latin typeface="Arial" panose="020B0604020202020204" pitchFamily="34" charset="0"/>
                    <a:cs typeface="Arial" panose="020B0604020202020204" pitchFamily="34" charset="0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9.7270557229728619E-2"/>
              <c:y val="6.024834531553120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23471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5166002397848545"/>
          <c:y val="0.73444525276731765"/>
          <c:w val="0.59632172091248248"/>
          <c:h val="0.11761561394499602"/>
        </c:manualLayout>
      </c:layout>
      <c:overlay val="0"/>
      <c:txPr>
        <a:bodyPr/>
        <a:lstStyle/>
        <a:p>
          <a:pPr>
            <a:defRPr>
              <a:latin typeface="Arial" panose="020B060402020202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effectLst>
      <a:outerShdw blurRad="50800" dist="50800" dir="5400000" algn="ctr" rotWithShape="0">
        <a:srgbClr val="0070C0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539727988547169"/>
          <c:y val="3.0474505293579892E-2"/>
          <c:w val="0.84503957314814249"/>
          <c:h val="0.55268827351638206"/>
        </c:manualLayout>
      </c:layout>
      <c:lineChart>
        <c:grouping val="standard"/>
        <c:varyColors val="0"/>
        <c:ser>
          <c:idx val="0"/>
          <c:order val="0"/>
          <c:tx>
            <c:strRef>
              <c:f>Sheet3!$D$15</c:f>
              <c:strCache>
                <c:ptCount val="1"/>
                <c:pt idx="0">
                  <c:v>spring/autumn</c:v>
                </c:pt>
              </c:strCache>
            </c:strRef>
          </c:tx>
          <c:marker>
            <c:symbol val="none"/>
          </c:marker>
          <c:cat>
            <c:strRef>
              <c:f>Sheet3!$C$16:$C$30</c:f>
              <c:strCache>
                <c:ptCount val="15"/>
                <c:pt idx="0">
                  <c:v>1951/55</c:v>
                </c:pt>
                <c:pt idx="1">
                  <c:v>1956/60</c:v>
                </c:pt>
                <c:pt idx="2">
                  <c:v>1961/65</c:v>
                </c:pt>
                <c:pt idx="3">
                  <c:v>1966/70</c:v>
                </c:pt>
                <c:pt idx="4">
                  <c:v>1971/75</c:v>
                </c:pt>
                <c:pt idx="5">
                  <c:v>1076/80</c:v>
                </c:pt>
                <c:pt idx="6">
                  <c:v>1981/85</c:v>
                </c:pt>
                <c:pt idx="7">
                  <c:v>1986/90</c:v>
                </c:pt>
                <c:pt idx="8">
                  <c:v>1991/95</c:v>
                </c:pt>
                <c:pt idx="9">
                  <c:v>1996/2000</c:v>
                </c:pt>
                <c:pt idx="10">
                  <c:v>2001/05</c:v>
                </c:pt>
                <c:pt idx="11">
                  <c:v>2006/10</c:v>
                </c:pt>
                <c:pt idx="12">
                  <c:v>2011/15</c:v>
                </c:pt>
                <c:pt idx="13">
                  <c:v>2016/20</c:v>
                </c:pt>
                <c:pt idx="14">
                  <c:v>2021/25</c:v>
                </c:pt>
              </c:strCache>
            </c:strRef>
          </c:cat>
          <c:val>
            <c:numRef>
              <c:f>Sheet3!$D$16:$D$30</c:f>
              <c:numCache>
                <c:formatCode>General</c:formatCode>
                <c:ptCount val="15"/>
                <c:pt idx="0">
                  <c:v>44</c:v>
                </c:pt>
                <c:pt idx="1">
                  <c:v>4</c:v>
                </c:pt>
                <c:pt idx="2">
                  <c:v>5</c:v>
                </c:pt>
                <c:pt idx="3">
                  <c:v>16</c:v>
                </c:pt>
                <c:pt idx="4">
                  <c:v>44</c:v>
                </c:pt>
                <c:pt idx="5">
                  <c:v>27</c:v>
                </c:pt>
                <c:pt idx="6">
                  <c:v>22</c:v>
                </c:pt>
                <c:pt idx="7">
                  <c:v>90</c:v>
                </c:pt>
                <c:pt idx="8">
                  <c:v>32</c:v>
                </c:pt>
                <c:pt idx="9">
                  <c:v>1</c:v>
                </c:pt>
                <c:pt idx="10">
                  <c:v>48</c:v>
                </c:pt>
                <c:pt idx="11">
                  <c:v>25</c:v>
                </c:pt>
                <c:pt idx="12">
                  <c:v>45</c:v>
                </c:pt>
                <c:pt idx="13">
                  <c:v>56</c:v>
                </c:pt>
                <c:pt idx="14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700-4905-8538-D6DC1F7151D9}"/>
            </c:ext>
          </c:extLst>
        </c:ser>
        <c:ser>
          <c:idx val="1"/>
          <c:order val="1"/>
          <c:tx>
            <c:strRef>
              <c:f>Sheet3!$E$15</c:f>
              <c:strCache>
                <c:ptCount val="1"/>
                <c:pt idx="0">
                  <c:v>summer/winter</c:v>
                </c:pt>
              </c:strCache>
            </c:strRef>
          </c:tx>
          <c:marker>
            <c:symbol val="square"/>
            <c:size val="4"/>
            <c:spPr>
              <a:solidFill>
                <a:srgbClr val="FF0000"/>
              </a:solidFill>
            </c:spPr>
          </c:marker>
          <c:cat>
            <c:strRef>
              <c:f>Sheet3!$C$16:$C$30</c:f>
              <c:strCache>
                <c:ptCount val="15"/>
                <c:pt idx="0">
                  <c:v>1951/55</c:v>
                </c:pt>
                <c:pt idx="1">
                  <c:v>1956/60</c:v>
                </c:pt>
                <c:pt idx="2">
                  <c:v>1961/65</c:v>
                </c:pt>
                <c:pt idx="3">
                  <c:v>1966/70</c:v>
                </c:pt>
                <c:pt idx="4">
                  <c:v>1971/75</c:v>
                </c:pt>
                <c:pt idx="5">
                  <c:v>1076/80</c:v>
                </c:pt>
                <c:pt idx="6">
                  <c:v>1981/85</c:v>
                </c:pt>
                <c:pt idx="7">
                  <c:v>1986/90</c:v>
                </c:pt>
                <c:pt idx="8">
                  <c:v>1991/95</c:v>
                </c:pt>
                <c:pt idx="9">
                  <c:v>1996/2000</c:v>
                </c:pt>
                <c:pt idx="10">
                  <c:v>2001/05</c:v>
                </c:pt>
                <c:pt idx="11">
                  <c:v>2006/10</c:v>
                </c:pt>
                <c:pt idx="12">
                  <c:v>2011/15</c:v>
                </c:pt>
                <c:pt idx="13">
                  <c:v>2016/20</c:v>
                </c:pt>
                <c:pt idx="14">
                  <c:v>2021/25</c:v>
                </c:pt>
              </c:strCache>
            </c:strRef>
          </c:cat>
          <c:val>
            <c:numRef>
              <c:f>Sheet3!$E$16:$E$30</c:f>
              <c:numCache>
                <c:formatCode>General</c:formatCode>
                <c:ptCount val="15"/>
                <c:pt idx="0">
                  <c:v>74</c:v>
                </c:pt>
                <c:pt idx="1">
                  <c:v>47</c:v>
                </c:pt>
                <c:pt idx="2">
                  <c:v>80</c:v>
                </c:pt>
                <c:pt idx="3">
                  <c:v>65</c:v>
                </c:pt>
                <c:pt idx="4">
                  <c:v>123</c:v>
                </c:pt>
                <c:pt idx="5">
                  <c:v>86</c:v>
                </c:pt>
                <c:pt idx="6">
                  <c:v>107</c:v>
                </c:pt>
                <c:pt idx="7">
                  <c:v>94</c:v>
                </c:pt>
                <c:pt idx="8">
                  <c:v>82</c:v>
                </c:pt>
                <c:pt idx="9">
                  <c:v>82</c:v>
                </c:pt>
                <c:pt idx="10">
                  <c:v>149</c:v>
                </c:pt>
                <c:pt idx="11">
                  <c:v>11</c:v>
                </c:pt>
                <c:pt idx="12">
                  <c:v>11</c:v>
                </c:pt>
                <c:pt idx="13">
                  <c:v>20</c:v>
                </c:pt>
                <c:pt idx="1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700-4905-8538-D6DC1F7151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3518976"/>
        <c:axId val="123520896"/>
      </c:lineChart>
      <c:catAx>
        <c:axId val="123518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3520896"/>
        <c:crosses val="autoZero"/>
        <c:auto val="1"/>
        <c:lblAlgn val="ctr"/>
        <c:lblOffset val="100"/>
        <c:noMultiLvlLbl val="0"/>
      </c:catAx>
      <c:valAx>
        <c:axId val="12352089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 sz="1100" b="1" i="0" u="none" strike="noStrike" baseline="0">
                    <a:effectLst/>
                  </a:rPr>
                  <a:t>‰</a:t>
                </a:r>
                <a:endParaRPr lang="en-US" sz="1100" b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3.0425054334271565E-2"/>
              <c:y val="0.3250328821256913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23518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764013057363433"/>
          <c:y val="7.0122582991732824E-2"/>
          <c:w val="0.24235986942637974"/>
          <c:h val="0.18060337963372555"/>
        </c:manualLayout>
      </c:layout>
      <c:overlay val="0"/>
      <c:txPr>
        <a:bodyPr/>
        <a:lstStyle/>
        <a:p>
          <a:pPr>
            <a:defRPr>
              <a:latin typeface="Arial" panose="020B060402020202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effectLst>
      <a:outerShdw blurRad="50800" dist="50800" dir="5400000" algn="ctr" rotWithShape="0">
        <a:srgbClr val="0070C0"/>
      </a:outerShdw>
    </a:effectLst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2026-05-15T13:57:00Z</dcterms:created>
  <dcterms:modified xsi:type="dcterms:W3CDTF">2026-05-15T13:58:00Z</dcterms:modified>
</cp:coreProperties>
</file>