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FE1C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Appendix</w:t>
      </w:r>
    </w:p>
    <w:p w14:paraId="7F5556F9" w14:textId="678DB8EE" w:rsidR="00C47108" w:rsidRPr="0072392A" w:rsidRDefault="00C47108" w:rsidP="00C47108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 xml:space="preserve">Table </w:t>
      </w:r>
      <w:r w:rsidR="007A3C5A" w:rsidRPr="0072392A">
        <w:rPr>
          <w:rFonts w:ascii="Arial" w:hAnsi="Arial" w:cs="Arial"/>
          <w:sz w:val="24"/>
          <w:szCs w:val="24"/>
        </w:rPr>
        <w:t>S</w:t>
      </w:r>
      <w:r w:rsidR="00B51FED">
        <w:rPr>
          <w:rFonts w:ascii="Arial" w:hAnsi="Arial" w:cs="Arial"/>
          <w:sz w:val="24"/>
          <w:szCs w:val="24"/>
        </w:rPr>
        <w:t>1</w:t>
      </w:r>
      <w:r w:rsidRPr="0072392A">
        <w:rPr>
          <w:rFonts w:ascii="Arial" w:hAnsi="Arial" w:cs="Arial"/>
          <w:sz w:val="24"/>
          <w:szCs w:val="24"/>
        </w:rPr>
        <w:t>. Unadjusted Cox proportional hazards models for all-cause mortality</w:t>
      </w:r>
    </w:p>
    <w:tbl>
      <w:tblPr>
        <w:tblW w:w="5395" w:type="pct"/>
        <w:jc w:val="center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420" w:firstRow="1" w:lastRow="0" w:firstColumn="0" w:lastColumn="0" w:noHBand="0" w:noVBand="1"/>
      </w:tblPr>
      <w:tblGrid>
        <w:gridCol w:w="2056"/>
        <w:gridCol w:w="4772"/>
        <w:gridCol w:w="1979"/>
        <w:gridCol w:w="1260"/>
      </w:tblGrid>
      <w:tr w:rsidR="00C47108" w:rsidRPr="0072392A" w14:paraId="2C4080F2" w14:textId="77777777" w:rsidTr="00DA1C56">
        <w:trPr>
          <w:trHeight w:val="281"/>
          <w:tblHeader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93FC" w14:textId="77777777" w:rsidR="00C47108" w:rsidRPr="0072392A" w:rsidRDefault="00C47108" w:rsidP="00DA1C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Characteristic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D1E3" w14:textId="77777777" w:rsidR="00C47108" w:rsidRPr="0072392A" w:rsidRDefault="00C47108" w:rsidP="00DA1C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B2CD" w14:textId="77777777" w:rsidR="00C47108" w:rsidRPr="0072392A" w:rsidRDefault="00C47108" w:rsidP="00DA1C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HR (95% CI)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4B4D" w14:textId="77777777" w:rsidR="00C47108" w:rsidRPr="0072392A" w:rsidRDefault="00C47108" w:rsidP="00DA1C5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</w:tr>
      <w:tr w:rsidR="00C47108" w:rsidRPr="0072392A" w14:paraId="71954DDA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F91B1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Age group (years)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4FB9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0–14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4E0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A7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05D4AB94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A8B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E674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15–44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CC7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1.31 (1.14, 1.52)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B73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F8E63D9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70F6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C21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45–54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117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1.94 (1.68, 2.24)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F5C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DF4C28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8194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ED7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55–64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10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2.78 (2.41, 3.19)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48A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0BE3E0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93C9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437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65–74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DD9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4.04 (3.52, 4.65)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780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0C067869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3C75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362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75+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AA3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8.09 (7.04, 9.30)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EC9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5FEB0A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0AEA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B63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5B1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0.78 (0.66, 0.93)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50D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</w:tr>
      <w:tr w:rsidR="00C47108" w:rsidRPr="0072392A" w14:paraId="3002FAD1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FC38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Sex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D79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Female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C79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9093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352A8B8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DF1E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6EC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E528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1.15 (1.14, 1.17)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0D7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A1D8A43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8A8D2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Race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4FC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White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C78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98D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0E26228A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E1D2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5CA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American Indian/Alaska Native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596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1.09 (1.01, 1.17)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78C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0.025</w:t>
            </w:r>
          </w:p>
        </w:tc>
      </w:tr>
      <w:tr w:rsidR="00C47108" w:rsidRPr="0072392A" w14:paraId="2EF2DF17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7B1DE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722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Asian or Pacific Islander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409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1.02 (0.99, 1.04)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0B4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0.213</w:t>
            </w:r>
          </w:p>
        </w:tc>
      </w:tr>
      <w:tr w:rsidR="00C47108" w:rsidRPr="0072392A" w14:paraId="5C5FBA1E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3A9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866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Black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1E53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1.00 (0.98, 1.03)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AFD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0.705</w:t>
            </w:r>
          </w:p>
        </w:tc>
      </w:tr>
      <w:tr w:rsidR="00C47108" w:rsidRPr="0072392A" w14:paraId="168B59EB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FEE4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638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A8D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0.28 (0.25, 0.30)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BFD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16EF7F7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403D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Rurality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50D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Counties in metropolitan areas ge 1 million pop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8F3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6CFC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44380CD2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885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26C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Counties in metropolitan areas of 250,000 to 1 million pop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15F3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1.02 (1.01, 1.04)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4A7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</w:tr>
      <w:tr w:rsidR="00C47108" w:rsidRPr="0072392A" w14:paraId="137710A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B579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ACF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Counties in metropolitan areas of lt 250 thousand pop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2B1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1.14 (1.12, 1.17)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41E3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404AF989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6C4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B8C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Nonmetropolitan counties adjacent to a metropolitan area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AEF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1.20 (1.17, 1.22)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5A4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BA55387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C8E6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E80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Nonmetropolitan counties not adjacent to a metropolitan area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875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1.27 (1.23, 1.31)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F78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45BE40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5F8C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614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92F25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0.74 (0.58, 0.94)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816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0.016</w:t>
            </w:r>
          </w:p>
        </w:tc>
      </w:tr>
      <w:tr w:rsidR="00C47108" w:rsidRPr="0072392A" w14:paraId="1486DA20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9C1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Median household income (quartile)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0DB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Q1 (Lowest)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1C8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124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0F964E78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ABE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AD0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Q2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541D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1.02 (1.01, 1.04)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631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</w:tr>
      <w:tr w:rsidR="00C47108" w:rsidRPr="0072392A" w14:paraId="0EBE2192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F989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DA92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Q3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1ED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0.98 (0.96, 1.00)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25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</w:tr>
      <w:tr w:rsidR="00C47108" w:rsidRPr="0072392A" w14:paraId="4E6A549F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9F2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86F1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Q4 (Highest)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899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0.91 (0.89, 0.92)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381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410DF806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2D41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Chemotherapy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FA1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Unknown/No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332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57D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00C4A94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0D00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8775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978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0.85 (0.84, 0.86)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D60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424A5E88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A6A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Radiation/Surgery sequence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E035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Any radiation (any timing)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E358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074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542958F1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5269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592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83F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2.67 (0.38, 18.98)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51C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0.327</w:t>
            </w:r>
          </w:p>
        </w:tc>
      </w:tr>
      <w:tr w:rsidR="00C47108" w:rsidRPr="0072392A" w14:paraId="0149E978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EABE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B690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B12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2.81 (2.59, 3.05)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19BF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E515D96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48A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Time to treatment initiation (days)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1BD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0–14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052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28D3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3AA878D2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02A11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C19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15–30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A70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0.90 (0.88, 0.92)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78B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75BA51E3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F6CA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8FC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&gt;30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A56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0.67 (0.66, 0.69)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686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CDBE80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6CF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66F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Unknown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FC0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1.17 (1.15, 1.18)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4F2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11F55B6D" w14:textId="77777777" w:rsidTr="00DA1C56">
        <w:trPr>
          <w:trHeight w:val="281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4D35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t>Diagnosis period(Year)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C84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Pre-COVID-19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972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659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14DC9C33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2AF5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9C1F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Post-COVID-19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3B73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1.04 (1.03, 1.06)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7F1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3C17D20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10F1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9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Hematologic malignancy subtype (AYA site recode)</w:t>
            </w: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D8E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 Acute lymphoblastic leukemia (Ref)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A67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Ref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75A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108" w:rsidRPr="0072392A" w14:paraId="4EBB1786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1416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533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1.2.1 Acute promyelocytic leukemia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1C91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1.03 (0.93, 1.14)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FB2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0.603</w:t>
            </w:r>
          </w:p>
        </w:tc>
      </w:tr>
      <w:tr w:rsidR="00C47108" w:rsidRPr="0072392A" w14:paraId="31C2D44F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572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6D7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1.2.2 Other acute myeloid leukemia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BF6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4.90 (4.69, 5.12)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982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E32514C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AC0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328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1.3 Chronic myeloid leukemia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07B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1.21 (1.15, 1.28)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DB2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09B05DD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A56E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381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1.4 Chronic lymphocytic leukemia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917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0.68 (0.65, 0.71)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6A4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1DA432D9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B2BD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D32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1.5 Polycythemia vera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63F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0.44 (0.41, 0.47)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DA5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501C11A4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F7B7C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16E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1.6 Essential thrombocythemia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0B2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0.43 (0.40, 0.46)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234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13AF99A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98EB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4F2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1.7 Primary myelofibrosis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841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1.41 (1.30, 1.52)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93A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09AF496B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743E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6099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1.8 Myelodysplastic syndrome (MDS)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5A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2.64 (2.53, 2.76)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35C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5AA66E8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3D9A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80B7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1.9.1 Hairy cell leukemia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E23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0.42 (0.36, 0.49)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603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58D0255C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ABF1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323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1.9.2 Other lymphocytic/lymphoblastic leukemias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3A8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1.27 (1.16, 1.38)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138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75C7BBF6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3109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EE5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1.9.3 Other myeloid leukemias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BC27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3.27 (2.96, 3.61)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46D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5CC2C84E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B10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CFE6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1.9.4 Leukemias of mixed phenotype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9D9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2.12 (1.77, 2.53)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69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FA2BEAF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39F8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BAC9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1.9.5 Mast cell diseases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2FD5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0.72 (0.58, 0.89)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F3A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</w:tr>
      <w:tr w:rsidR="00C47108" w:rsidRPr="0072392A" w14:paraId="4DEF5E3F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0CD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DEE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1.9.6 Other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457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2.03 (1.92, 2.14)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E89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CE9E774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F6BDA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89A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2.1.1 Lymphoblastic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7E1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1.39 (1.25, 1.54)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41E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0772C48F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3C8F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17B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2.1.2 Burkitt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775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1.24 (1.12, 1.38)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BAC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17D50A2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480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7F6B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2.1.3 Diffuse large B-cell (DLBCL)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0E0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1.65 (1.58, 1.72)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FA7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437EC9C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4EAA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5943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2.1.4 Primary mediastinal large B-cell excluded from DLBCL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E91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0.26 (0.20, 0.35)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C82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50F298B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08F71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D75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2.1.5 Anaplastic T- and null-cell excluding NK/T-cell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FFC3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1.25 (1.18, 1.32)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CAAB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691AB3C7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9044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0413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2.1.6 Follicular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2C3E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0.57 (0.54, 0.60)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73F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1234962E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CC75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8550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2.1.7 NK/T-cell (excluded from anaplastic T-cell)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1B9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2.21 (1.89, 2.58)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2FC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73CFCC55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19F0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BAA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2.1.8 MALT (mucosa-associated lymphoid tissue)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A171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0.53 (0.50, 0.56)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D4AD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59FD99E2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D0C5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BBAA8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2.1.9 Other non-Hodgkin lymphoma NOS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49581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1.15 (1.09, 1.21)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81A8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12F031B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56D4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FA2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2.2.1 Hodgkin NLP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97CA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0.15 (0.12, 0.20)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5F2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704F702A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F588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62A4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2.2.2 Hodgkin classic - other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2D9A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0.47 (0.44, 0.50)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21794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3737B0D8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EE9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45D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2.3 Myeloma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BD532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1.37 (1.31, 1.43)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EDBE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72E3DFD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2C9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08FF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2.4 Cutaneous lymphomas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19BE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0.54 (0.44, 0.65)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78A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4E45BF4C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CE9E7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1855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2.5 Other B- and T-cell lymphomas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77C7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1.12 (1.03, 1.22)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F3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</w:tr>
      <w:tr w:rsidR="00C47108" w:rsidRPr="0072392A" w14:paraId="69B73462" w14:textId="77777777" w:rsidTr="00DA1C56">
        <w:trPr>
          <w:trHeight w:val="562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89E33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F15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2.6.1 Histiocytic and dendritic cell neoplasms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057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0.40 (0.33, 0.48)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CFD6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C47108" w:rsidRPr="0072392A" w14:paraId="20DCBEB9" w14:textId="77777777" w:rsidTr="00DA1C56">
        <w:trPr>
          <w:trHeight w:val="540"/>
          <w:jc w:val="center"/>
        </w:trPr>
        <w:tc>
          <w:tcPr>
            <w:tcW w:w="102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862B" w14:textId="77777777" w:rsidR="00C47108" w:rsidRPr="0072392A" w:rsidRDefault="00C47108" w:rsidP="00DA1C5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EF0C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2.6.2 Lymphoma NOS</w:t>
            </w:r>
          </w:p>
        </w:tc>
        <w:tc>
          <w:tcPr>
            <w:tcW w:w="98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6783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1.50 (1.41, 1.60)</w:t>
            </w:r>
          </w:p>
        </w:tc>
        <w:tc>
          <w:tcPr>
            <w:tcW w:w="6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709B9" w14:textId="77777777" w:rsidR="00C47108" w:rsidRPr="0072392A" w:rsidRDefault="00C47108" w:rsidP="00DA1C56">
            <w:pPr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</w:tbl>
    <w:p w14:paraId="4F8D81BE" w14:textId="77777777" w:rsidR="00C47108" w:rsidRPr="0072392A" w:rsidRDefault="00C47108" w:rsidP="00C47108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Abbreviations: HR, hazard ratio; CI, confidence interval. Reference categories are indicated as (Ref).</w:t>
      </w:r>
    </w:p>
    <w:p w14:paraId="02B73B41" w14:textId="77777777" w:rsidR="00C47108" w:rsidRPr="0072392A" w:rsidRDefault="00C47108" w:rsidP="00C47108">
      <w:pPr>
        <w:rPr>
          <w:rFonts w:ascii="Arial" w:hAnsi="Arial" w:cs="Arial"/>
          <w:sz w:val="24"/>
          <w:szCs w:val="24"/>
        </w:rPr>
      </w:pPr>
    </w:p>
    <w:p w14:paraId="4A68EF4D" w14:textId="77777777" w:rsidR="00C47108" w:rsidRPr="0072392A" w:rsidRDefault="00C47108" w:rsidP="00C47108">
      <w:pPr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p w14:paraId="54596B4A" w14:textId="77777777" w:rsidR="00C47108" w:rsidRPr="00C47108" w:rsidRDefault="00C47108" w:rsidP="00C47108">
      <w:pPr>
        <w:rPr>
          <w:rFonts w:ascii="Arial" w:hAnsi="Arial" w:cs="Arial"/>
          <w:sz w:val="24"/>
          <w:szCs w:val="24"/>
        </w:rPr>
      </w:pPr>
    </w:p>
    <w:p w14:paraId="0B452FB8" w14:textId="77777777" w:rsidR="00C47108" w:rsidRPr="0072392A" w:rsidRDefault="00C47108" w:rsidP="008A2A03">
      <w:pPr>
        <w:rPr>
          <w:rFonts w:ascii="Arial" w:hAnsi="Arial" w:cs="Arial"/>
          <w:sz w:val="24"/>
          <w:szCs w:val="24"/>
        </w:rPr>
      </w:pPr>
    </w:p>
    <w:p w14:paraId="339B5C4C" w14:textId="77777777" w:rsidR="008A2A03" w:rsidRPr="0072392A" w:rsidRDefault="008A2A03" w:rsidP="008A2A03">
      <w:pPr>
        <w:spacing w:line="240" w:lineRule="auto"/>
        <w:rPr>
          <w:rFonts w:ascii="Arial" w:hAnsi="Arial" w:cs="Arial"/>
          <w:sz w:val="24"/>
          <w:szCs w:val="24"/>
        </w:rPr>
      </w:pPr>
    </w:p>
    <w:p w14:paraId="0C8F7741" w14:textId="77777777" w:rsidR="00C47108" w:rsidRPr="0072392A" w:rsidRDefault="00C47108" w:rsidP="008A2A03">
      <w:pPr>
        <w:spacing w:line="240" w:lineRule="auto"/>
        <w:rPr>
          <w:rFonts w:ascii="Arial" w:hAnsi="Arial" w:cs="Arial"/>
          <w:sz w:val="24"/>
          <w:szCs w:val="24"/>
        </w:rPr>
      </w:pPr>
    </w:p>
    <w:p w14:paraId="47F4FB48" w14:textId="77777777" w:rsidR="009527A8" w:rsidRPr="0072392A" w:rsidRDefault="009527A8" w:rsidP="008A2A03">
      <w:pPr>
        <w:spacing w:line="240" w:lineRule="auto"/>
        <w:rPr>
          <w:rFonts w:ascii="Arial" w:hAnsi="Arial" w:cs="Arial"/>
          <w:sz w:val="24"/>
          <w:szCs w:val="24"/>
        </w:rPr>
      </w:pPr>
    </w:p>
    <w:p w14:paraId="6A30A121" w14:textId="359CEBFC" w:rsidR="008A2A03" w:rsidRPr="0072392A" w:rsidRDefault="008A2A03" w:rsidP="008A2A03">
      <w:pPr>
        <w:spacing w:line="240" w:lineRule="auto"/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Table S</w:t>
      </w:r>
      <w:r w:rsidR="00B51FED">
        <w:rPr>
          <w:rFonts w:ascii="Arial" w:hAnsi="Arial" w:cs="Arial"/>
          <w:sz w:val="24"/>
          <w:szCs w:val="24"/>
        </w:rPr>
        <w:t>2</w:t>
      </w:r>
      <w:r w:rsidRPr="0072392A">
        <w:rPr>
          <w:rFonts w:ascii="Arial" w:hAnsi="Arial" w:cs="Arial"/>
          <w:sz w:val="24"/>
          <w:szCs w:val="24"/>
        </w:rPr>
        <w:t>. Global log-rank tests for overall survival across baseline characteristics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A2A03" w:rsidRPr="0072392A" w14:paraId="63AF25B9" w14:textId="77777777" w:rsidTr="0048702E">
        <w:tc>
          <w:tcPr>
            <w:tcW w:w="2160" w:type="dxa"/>
          </w:tcPr>
          <w:p w14:paraId="66A260C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Characteristics</w:t>
            </w:r>
          </w:p>
        </w:tc>
        <w:tc>
          <w:tcPr>
            <w:tcW w:w="2160" w:type="dxa"/>
          </w:tcPr>
          <w:p w14:paraId="7E68954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Log-rank χ²</w:t>
            </w:r>
          </w:p>
        </w:tc>
        <w:tc>
          <w:tcPr>
            <w:tcW w:w="2160" w:type="dxa"/>
          </w:tcPr>
          <w:p w14:paraId="0D349C58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df</w:t>
            </w:r>
          </w:p>
        </w:tc>
        <w:tc>
          <w:tcPr>
            <w:tcW w:w="2160" w:type="dxa"/>
          </w:tcPr>
          <w:p w14:paraId="365E88B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</w:tr>
      <w:tr w:rsidR="008A2A03" w:rsidRPr="0072392A" w14:paraId="688A1C7A" w14:textId="77777777" w:rsidTr="0048702E">
        <w:tc>
          <w:tcPr>
            <w:tcW w:w="2160" w:type="dxa"/>
          </w:tcPr>
          <w:p w14:paraId="51471D39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Diagnosis period(year)</w:t>
            </w:r>
          </w:p>
        </w:tc>
        <w:tc>
          <w:tcPr>
            <w:tcW w:w="2160" w:type="dxa"/>
          </w:tcPr>
          <w:p w14:paraId="3038E69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31.80</w:t>
            </w:r>
          </w:p>
        </w:tc>
        <w:tc>
          <w:tcPr>
            <w:tcW w:w="2160" w:type="dxa"/>
          </w:tcPr>
          <w:p w14:paraId="11F29190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21C6F3F7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7A32CE45" w14:textId="77777777" w:rsidTr="0048702E">
        <w:tc>
          <w:tcPr>
            <w:tcW w:w="2160" w:type="dxa"/>
          </w:tcPr>
          <w:p w14:paraId="157354AE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Age group at diagnosis(years</w:t>
            </w:r>
          </w:p>
        </w:tc>
        <w:tc>
          <w:tcPr>
            <w:tcW w:w="2160" w:type="dxa"/>
          </w:tcPr>
          <w:p w14:paraId="04846152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33,219.03</w:t>
            </w:r>
          </w:p>
        </w:tc>
        <w:tc>
          <w:tcPr>
            <w:tcW w:w="2160" w:type="dxa"/>
          </w:tcPr>
          <w:p w14:paraId="65962C8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14:paraId="4D380C0B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6C55A442" w14:textId="77777777" w:rsidTr="0048702E">
        <w:tc>
          <w:tcPr>
            <w:tcW w:w="2160" w:type="dxa"/>
          </w:tcPr>
          <w:p w14:paraId="0A2029D3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Sex</w:t>
            </w:r>
          </w:p>
        </w:tc>
        <w:tc>
          <w:tcPr>
            <w:tcW w:w="2160" w:type="dxa"/>
          </w:tcPr>
          <w:p w14:paraId="0EF147C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474.73</w:t>
            </w:r>
          </w:p>
        </w:tc>
        <w:tc>
          <w:tcPr>
            <w:tcW w:w="2160" w:type="dxa"/>
          </w:tcPr>
          <w:p w14:paraId="595AE1F3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0E9B068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2796DF80" w14:textId="77777777" w:rsidTr="0048702E">
        <w:tc>
          <w:tcPr>
            <w:tcW w:w="2160" w:type="dxa"/>
          </w:tcPr>
          <w:p w14:paraId="2C8B5B8F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Race/ethnicity</w:t>
            </w:r>
          </w:p>
        </w:tc>
        <w:tc>
          <w:tcPr>
            <w:tcW w:w="2160" w:type="dxa"/>
          </w:tcPr>
          <w:p w14:paraId="79443FDB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911.13</w:t>
            </w:r>
          </w:p>
        </w:tc>
        <w:tc>
          <w:tcPr>
            <w:tcW w:w="2160" w:type="dxa"/>
          </w:tcPr>
          <w:p w14:paraId="4A52BCA1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631B40EE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5E6F1B54" w14:textId="77777777" w:rsidTr="0048702E">
        <w:tc>
          <w:tcPr>
            <w:tcW w:w="2160" w:type="dxa"/>
          </w:tcPr>
          <w:p w14:paraId="620900B3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Rurality</w:t>
            </w:r>
          </w:p>
        </w:tc>
        <w:tc>
          <w:tcPr>
            <w:tcW w:w="2160" w:type="dxa"/>
          </w:tcPr>
          <w:p w14:paraId="0E6CACA5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511.23</w:t>
            </w:r>
          </w:p>
        </w:tc>
        <w:tc>
          <w:tcPr>
            <w:tcW w:w="2160" w:type="dxa"/>
          </w:tcPr>
          <w:p w14:paraId="7A27F2B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6996EF81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64561AA5" w14:textId="77777777" w:rsidTr="0048702E">
        <w:tc>
          <w:tcPr>
            <w:tcW w:w="2160" w:type="dxa"/>
          </w:tcPr>
          <w:p w14:paraId="67783BD5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Median household income (quartile)</w:t>
            </w:r>
          </w:p>
        </w:tc>
        <w:tc>
          <w:tcPr>
            <w:tcW w:w="2160" w:type="dxa"/>
          </w:tcPr>
          <w:p w14:paraId="0A9C3DD0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197.43</w:t>
            </w:r>
          </w:p>
        </w:tc>
        <w:tc>
          <w:tcPr>
            <w:tcW w:w="2160" w:type="dxa"/>
          </w:tcPr>
          <w:p w14:paraId="26FC0977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2E03D6D9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0441C1C5" w14:textId="77777777" w:rsidTr="0048702E">
        <w:tc>
          <w:tcPr>
            <w:tcW w:w="2160" w:type="dxa"/>
          </w:tcPr>
          <w:p w14:paraId="564927A6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Hematologic malignancy subtype</w:t>
            </w:r>
          </w:p>
        </w:tc>
        <w:tc>
          <w:tcPr>
            <w:tcW w:w="2160" w:type="dxa"/>
          </w:tcPr>
          <w:p w14:paraId="4F82E0DF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50,044.00</w:t>
            </w:r>
          </w:p>
        </w:tc>
        <w:tc>
          <w:tcPr>
            <w:tcW w:w="2160" w:type="dxa"/>
          </w:tcPr>
          <w:p w14:paraId="6AF9B57C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14:paraId="08B43429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18E1EE38" w14:textId="77777777" w:rsidTr="0048702E">
        <w:tc>
          <w:tcPr>
            <w:tcW w:w="2160" w:type="dxa"/>
          </w:tcPr>
          <w:p w14:paraId="69B350DF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Chemotherapy</w:t>
            </w:r>
          </w:p>
        </w:tc>
        <w:tc>
          <w:tcPr>
            <w:tcW w:w="2160" w:type="dxa"/>
          </w:tcPr>
          <w:p w14:paraId="1F325E98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582.24</w:t>
            </w:r>
          </w:p>
        </w:tc>
        <w:tc>
          <w:tcPr>
            <w:tcW w:w="2160" w:type="dxa"/>
          </w:tcPr>
          <w:p w14:paraId="6A63B00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0D65E3D4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4943A31D" w14:textId="77777777" w:rsidTr="0048702E">
        <w:tc>
          <w:tcPr>
            <w:tcW w:w="2160" w:type="dxa"/>
          </w:tcPr>
          <w:p w14:paraId="2E7CA8A5" w14:textId="62709F24" w:rsidR="008A2A03" w:rsidRPr="0072392A" w:rsidRDefault="00357EF9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Radiation/Surgery sequence</w:t>
            </w:r>
            <w:r w:rsidR="008A2A03" w:rsidRPr="007239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7F5E94A9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689.63</w:t>
            </w:r>
          </w:p>
        </w:tc>
        <w:tc>
          <w:tcPr>
            <w:tcW w:w="2160" w:type="dxa"/>
          </w:tcPr>
          <w:p w14:paraId="6A7A059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6636395D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8A2A03" w:rsidRPr="0072392A" w14:paraId="2D1EF691" w14:textId="77777777" w:rsidTr="0048702E">
        <w:tc>
          <w:tcPr>
            <w:tcW w:w="2160" w:type="dxa"/>
          </w:tcPr>
          <w:p w14:paraId="42D572D1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Time to treatment initiation</w:t>
            </w:r>
          </w:p>
        </w:tc>
        <w:tc>
          <w:tcPr>
            <w:tcW w:w="2160" w:type="dxa"/>
          </w:tcPr>
          <w:p w14:paraId="11A28941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3,479.97</w:t>
            </w:r>
          </w:p>
        </w:tc>
        <w:tc>
          <w:tcPr>
            <w:tcW w:w="2160" w:type="dxa"/>
          </w:tcPr>
          <w:p w14:paraId="23784779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85AC406" w14:textId="77777777" w:rsidR="008A2A03" w:rsidRPr="0072392A" w:rsidRDefault="008A2A03" w:rsidP="0048702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</w:tbl>
    <w:p w14:paraId="19DF21F6" w14:textId="77777777" w:rsidR="00AF29D4" w:rsidRPr="0072392A" w:rsidRDefault="00AF29D4" w:rsidP="008A2A03">
      <w:pPr>
        <w:pStyle w:val="Heading1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2C60184" w14:textId="77777777" w:rsidR="00AF29D4" w:rsidRPr="0072392A" w:rsidRDefault="00AF29D4" w:rsidP="00AF29D4">
      <w:pPr>
        <w:rPr>
          <w:rFonts w:ascii="Arial" w:hAnsi="Arial" w:cs="Arial"/>
          <w:sz w:val="24"/>
          <w:szCs w:val="24"/>
        </w:rPr>
      </w:pPr>
    </w:p>
    <w:p w14:paraId="615D3CC8" w14:textId="77777777" w:rsidR="00AF29D4" w:rsidRPr="0072392A" w:rsidRDefault="00AF29D4" w:rsidP="00AF29D4">
      <w:pPr>
        <w:rPr>
          <w:rFonts w:ascii="Arial" w:hAnsi="Arial" w:cs="Arial"/>
          <w:sz w:val="24"/>
          <w:szCs w:val="24"/>
        </w:rPr>
      </w:pPr>
    </w:p>
    <w:p w14:paraId="650B9047" w14:textId="77777777" w:rsidR="00AF29D4" w:rsidRPr="0072392A" w:rsidRDefault="00AF29D4" w:rsidP="00AF29D4">
      <w:pPr>
        <w:rPr>
          <w:rFonts w:ascii="Arial" w:hAnsi="Arial" w:cs="Arial"/>
          <w:sz w:val="24"/>
          <w:szCs w:val="24"/>
        </w:rPr>
      </w:pPr>
    </w:p>
    <w:p w14:paraId="195AF304" w14:textId="77777777" w:rsidR="009527A8" w:rsidRPr="0072392A" w:rsidRDefault="009527A8" w:rsidP="00AF29D4">
      <w:pPr>
        <w:rPr>
          <w:rFonts w:ascii="Arial" w:hAnsi="Arial" w:cs="Arial"/>
          <w:sz w:val="24"/>
          <w:szCs w:val="24"/>
        </w:rPr>
      </w:pPr>
    </w:p>
    <w:p w14:paraId="17E5F118" w14:textId="44F3857C" w:rsidR="008A2A03" w:rsidRPr="0072392A" w:rsidRDefault="008A2A03" w:rsidP="008A2A03">
      <w:pPr>
        <w:pStyle w:val="Heading1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2392A">
        <w:rPr>
          <w:rFonts w:ascii="Arial" w:hAnsi="Arial" w:cs="Arial"/>
          <w:color w:val="000000" w:themeColor="text1"/>
          <w:sz w:val="24"/>
          <w:szCs w:val="24"/>
        </w:rPr>
        <w:lastRenderedPageBreak/>
        <w:t>Table S</w:t>
      </w:r>
      <w:r w:rsidR="00B51FED">
        <w:rPr>
          <w:rFonts w:ascii="Arial" w:hAnsi="Arial" w:cs="Arial"/>
          <w:color w:val="000000" w:themeColor="text1"/>
          <w:sz w:val="24"/>
          <w:szCs w:val="24"/>
        </w:rPr>
        <w:t>3</w:t>
      </w:r>
      <w:r w:rsidRPr="0072392A">
        <w:rPr>
          <w:rFonts w:ascii="Arial" w:hAnsi="Arial" w:cs="Arial"/>
          <w:color w:val="000000" w:themeColor="text1"/>
          <w:sz w:val="24"/>
          <w:szCs w:val="24"/>
        </w:rPr>
        <w:t>. Interaction effects between time to treatment initiation and baseline characteristics on overall survival</w:t>
      </w:r>
    </w:p>
    <w:tbl>
      <w:tblPr>
        <w:tblW w:w="9632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20" w:firstRow="1" w:lastRow="0" w:firstColumn="0" w:lastColumn="0" w:noHBand="0" w:noVBand="1"/>
      </w:tblPr>
      <w:tblGrid>
        <w:gridCol w:w="3419"/>
        <w:gridCol w:w="2135"/>
        <w:gridCol w:w="1536"/>
        <w:gridCol w:w="2542"/>
      </w:tblGrid>
      <w:tr w:rsidR="008A2A03" w:rsidRPr="0072392A" w14:paraId="557771FC" w14:textId="77777777" w:rsidTr="0048702E">
        <w:trPr>
          <w:trHeight w:val="486"/>
          <w:tblHeader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E614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  <w:t>Effect modifier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8E98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  <w:t>Interaction HR range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2453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  <w:t>95% CI range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6C74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  <w:t>Global interaction p-value</w:t>
            </w:r>
          </w:p>
        </w:tc>
      </w:tr>
      <w:tr w:rsidR="008A2A03" w:rsidRPr="0072392A" w14:paraId="60B773EF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B433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Age group at diagnosis(years)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F8B3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0.40–1.69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9B47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0.22–3.45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F218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8A2A03" w:rsidRPr="0072392A" w14:paraId="722F9E17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8345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Diagnosis period(Year)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DA09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1.16–1.33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81BA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1.11–1.39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C371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8A2A03" w:rsidRPr="0072392A" w14:paraId="54402567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C29B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Hematologic malignancy type (AYA site recode)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7D84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0.23–1.50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F62F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0.13–2.11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62FC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8A2A03" w:rsidRPr="0072392A" w14:paraId="6DE7361C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C1AD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Median household income (quartile)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DAD8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0.95–1.05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177DE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0.90–1.11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72F6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0.111</w:t>
            </w:r>
          </w:p>
        </w:tc>
      </w:tr>
      <w:tr w:rsidR="008A2A03" w:rsidRPr="0072392A" w14:paraId="4A7DDA2C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BBD8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Race/ethnicity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280F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0.88–1.00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9215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0.70–1.31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3DFCF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0.705</w:t>
            </w:r>
          </w:p>
        </w:tc>
      </w:tr>
      <w:tr w:rsidR="008A2A03" w:rsidRPr="0072392A" w14:paraId="36E0D69E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A459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Rurality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8C66B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0.98–1.08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D9C6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0.90–1.17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7825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0.116</w:t>
            </w:r>
          </w:p>
        </w:tc>
      </w:tr>
      <w:tr w:rsidR="008A2A03" w:rsidRPr="0072392A" w14:paraId="667874EF" w14:textId="77777777" w:rsidTr="0048702E">
        <w:trPr>
          <w:trHeight w:val="486"/>
          <w:jc w:val="center"/>
        </w:trPr>
        <w:tc>
          <w:tcPr>
            <w:tcW w:w="34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6478F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22D3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1.04–1.09</w:t>
            </w:r>
          </w:p>
        </w:tc>
        <w:tc>
          <w:tcPr>
            <w:tcW w:w="15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C561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0.99–1.13</w:t>
            </w:r>
          </w:p>
        </w:tc>
        <w:tc>
          <w:tcPr>
            <w:tcW w:w="25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8F414" w14:textId="77777777" w:rsidR="008A2A03" w:rsidRPr="0072392A" w:rsidRDefault="008A2A03" w:rsidP="004870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Arial" w:eastAsia="Helvetica" w:hAnsi="Arial" w:cs="Arial"/>
                <w:color w:val="000000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color w:val="000000"/>
                <w:sz w:val="24"/>
                <w:szCs w:val="24"/>
              </w:rPr>
              <w:t>&lt;0.001</w:t>
            </w:r>
          </w:p>
        </w:tc>
      </w:tr>
    </w:tbl>
    <w:p w14:paraId="362AF494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Abbreviations: HR, hazard ratio; CI, confidence interval; TTT, time to treatment initiation. Interaction effects were assessed using likelihood ratio tests.</w:t>
      </w:r>
    </w:p>
    <w:p w14:paraId="28F59FFE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*Radiation/surgery sequence was dropped from this analysis because it was mostly unknown</w:t>
      </w:r>
    </w:p>
    <w:p w14:paraId="72079F06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t>† Chemotherapy was excluded because it is a post-baseline mediator and could introduce overadjustment or collider bias.</w:t>
      </w:r>
    </w:p>
    <w:p w14:paraId="7E7C405C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39E7F6D1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4BE2A407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44444869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6D43808B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1AF62DF3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46809CE0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6A8650FA" w14:textId="77777777" w:rsidR="00C47108" w:rsidRPr="0072392A" w:rsidRDefault="00C47108" w:rsidP="008A2A03">
      <w:pPr>
        <w:rPr>
          <w:rFonts w:ascii="Arial" w:hAnsi="Arial" w:cs="Arial"/>
          <w:sz w:val="24"/>
          <w:szCs w:val="24"/>
        </w:rPr>
      </w:pPr>
    </w:p>
    <w:p w14:paraId="3E82545A" w14:textId="463E458D" w:rsidR="008A2A03" w:rsidRPr="0072392A" w:rsidRDefault="008A2A03" w:rsidP="008A2A03">
      <w:pPr>
        <w:rPr>
          <w:rFonts w:ascii="Arial" w:hAnsi="Arial" w:cs="Arial"/>
          <w:color w:val="000000" w:themeColor="text1"/>
          <w:sz w:val="24"/>
          <w:szCs w:val="24"/>
        </w:rPr>
      </w:pPr>
      <w:r w:rsidRPr="0072392A">
        <w:rPr>
          <w:rFonts w:ascii="Arial" w:hAnsi="Arial" w:cs="Arial"/>
          <w:color w:val="000000" w:themeColor="text1"/>
          <w:sz w:val="24"/>
          <w:szCs w:val="24"/>
        </w:rPr>
        <w:lastRenderedPageBreak/>
        <w:t>Table S</w:t>
      </w:r>
      <w:r w:rsidR="00B51FED">
        <w:rPr>
          <w:rFonts w:ascii="Arial" w:hAnsi="Arial" w:cs="Arial"/>
          <w:color w:val="000000" w:themeColor="text1"/>
          <w:sz w:val="24"/>
          <w:szCs w:val="24"/>
        </w:rPr>
        <w:t>4</w:t>
      </w:r>
      <w:r w:rsidRPr="0072392A">
        <w:rPr>
          <w:rFonts w:ascii="Arial" w:hAnsi="Arial" w:cs="Arial"/>
          <w:color w:val="000000" w:themeColor="text1"/>
          <w:sz w:val="24"/>
          <w:szCs w:val="24"/>
        </w:rPr>
        <w:t>. Interaction effects between diagnosis period and baseline characteristics on overall survival</w:t>
      </w:r>
    </w:p>
    <w:tbl>
      <w:tblPr>
        <w:tblW w:w="1017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66"/>
        <w:gridCol w:w="2095"/>
        <w:gridCol w:w="1462"/>
        <w:gridCol w:w="3447"/>
      </w:tblGrid>
      <w:tr w:rsidR="008A2A03" w:rsidRPr="0072392A" w14:paraId="4E35A5B4" w14:textId="77777777" w:rsidTr="0048702E">
        <w:trPr>
          <w:tblHeader/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C5DB" w14:textId="77777777" w:rsidR="008A2A03" w:rsidRPr="0072392A" w:rsidRDefault="008A2A03" w:rsidP="0048702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eastAsia="Helvetica" w:hAnsi="Arial" w:cs="Arial"/>
                <w:b/>
                <w:color w:val="000000"/>
                <w:sz w:val="24"/>
                <w:szCs w:val="24"/>
              </w:rPr>
              <w:t>Effect modifier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2F22" w14:textId="77777777" w:rsidR="008A2A03" w:rsidRPr="0072392A" w:rsidRDefault="008A2A03" w:rsidP="0048702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Interaction HR range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1D9E" w14:textId="77777777" w:rsidR="008A2A03" w:rsidRPr="0072392A" w:rsidRDefault="008A2A03" w:rsidP="0048702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95% CI range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1051" w14:textId="77777777" w:rsidR="008A2A03" w:rsidRPr="0072392A" w:rsidRDefault="008A2A03" w:rsidP="0048702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Global interaction p-value</w:t>
            </w:r>
          </w:p>
        </w:tc>
      </w:tr>
      <w:tr w:rsidR="008A2A03" w:rsidRPr="0072392A" w14:paraId="2B803832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BFA8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Age group at diagnosis(years)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84FE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0.65–1.00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F2F1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0.49–1.42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EC55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A2A03" w:rsidRPr="0072392A" w14:paraId="21D58E5C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9C4B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EA0D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0.97–0.97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B17E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0.94–1.00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EE2B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0.022</w:t>
            </w:r>
          </w:p>
        </w:tc>
      </w:tr>
      <w:tr w:rsidR="008A2A03" w:rsidRPr="0072392A" w14:paraId="3E18790E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35BE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Race/ethnicity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7718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0.92–1.10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889F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0.79–1.32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F862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0.275</w:t>
            </w:r>
          </w:p>
        </w:tc>
      </w:tr>
      <w:tr w:rsidR="008A2A03" w:rsidRPr="0072392A" w14:paraId="6D37880B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E36E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Rurality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9C888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0.61–1.00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ECD84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0.35–1.06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1F10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0.263</w:t>
            </w:r>
          </w:p>
        </w:tc>
      </w:tr>
      <w:tr w:rsidR="008A2A03" w:rsidRPr="0072392A" w14:paraId="4EF75EE0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0908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Median household income (quartile)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351F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0.99–1.06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CF76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0.95–1.10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BC9B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A2A03" w:rsidRPr="0072392A" w14:paraId="5777E725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85AE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eastAsiaTheme="majorEastAsia" w:hAnsi="Arial" w:cs="Arial"/>
                <w:color w:val="000000" w:themeColor="text1"/>
                <w:sz w:val="24"/>
                <w:szCs w:val="24"/>
              </w:rPr>
              <w:t>Hematologic malignancy type (AYA site</w:t>
            </w: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recode</w:t>
            </w:r>
            <w:r w:rsidRPr="0072392A">
              <w:rPr>
                <w:rFonts w:ascii="Arial" w:eastAsiaTheme="majorEastAsia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1092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0.59–1.55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78E5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0.34–1.97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E173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A2A03" w:rsidRPr="0072392A" w14:paraId="18CD95A5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65A3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Chemotherapy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E6F9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7A03F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0.85–0.89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56CB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8A2A03" w:rsidRPr="0072392A" w14:paraId="6E7CCB44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A400" w14:textId="33942AA5" w:rsidR="008A2A03" w:rsidRPr="0072392A" w:rsidRDefault="00357EF9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sz w:val="24"/>
                <w:szCs w:val="24"/>
              </w:rPr>
              <w:t>Radiation/Surgery sequence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4B4B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7E65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1.10–1.60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8D62A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8A2A03" w:rsidRPr="0072392A" w14:paraId="22B772E7" w14:textId="77777777" w:rsidTr="0048702E">
        <w:trPr>
          <w:jc w:val="center"/>
        </w:trPr>
        <w:tc>
          <w:tcPr>
            <w:tcW w:w="31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F0E1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Time to treatment initiation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C746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0.81–1.07</w:t>
            </w:r>
          </w:p>
        </w:tc>
        <w:tc>
          <w:tcPr>
            <w:tcW w:w="14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929C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0.78–1.10</w:t>
            </w:r>
          </w:p>
        </w:tc>
        <w:tc>
          <w:tcPr>
            <w:tcW w:w="34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3DC5" w14:textId="77777777" w:rsidR="008A2A03" w:rsidRPr="0072392A" w:rsidRDefault="008A2A03" w:rsidP="0048702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392A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72BFD491" w14:textId="77777777" w:rsidR="008A2A03" w:rsidRPr="0072392A" w:rsidRDefault="008A2A03" w:rsidP="008A2A03">
      <w:pPr>
        <w:rPr>
          <w:rFonts w:ascii="Arial" w:hAnsi="Arial" w:cs="Arial"/>
          <w:color w:val="000000" w:themeColor="text1"/>
          <w:sz w:val="24"/>
          <w:szCs w:val="24"/>
        </w:rPr>
      </w:pPr>
      <w:r w:rsidRPr="0072392A">
        <w:rPr>
          <w:rFonts w:ascii="Arial" w:hAnsi="Arial" w:cs="Arial"/>
          <w:color w:val="000000" w:themeColor="text1"/>
          <w:sz w:val="24"/>
          <w:szCs w:val="24"/>
        </w:rPr>
        <w:t>Abbreviations: HR, hazard ratio; CI, confidence interval.</w:t>
      </w:r>
    </w:p>
    <w:p w14:paraId="444AB7E9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017E3B71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62BB10B3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52A560A7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32BB6E52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76D21BE8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1E69C563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3D7C9B24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431163A6" w14:textId="77777777" w:rsidR="009527A8" w:rsidRPr="0072392A" w:rsidRDefault="009527A8" w:rsidP="008A2A03">
      <w:pPr>
        <w:rPr>
          <w:rFonts w:ascii="Arial" w:hAnsi="Arial" w:cs="Arial"/>
          <w:sz w:val="24"/>
          <w:szCs w:val="24"/>
        </w:rPr>
      </w:pPr>
    </w:p>
    <w:p w14:paraId="00A96562" w14:textId="6D251F90" w:rsidR="007A3C5A" w:rsidRPr="0072392A" w:rsidRDefault="007A3C5A" w:rsidP="007A3C5A">
      <w:pPr>
        <w:pStyle w:val="BodyText"/>
        <w:spacing w:before="80"/>
        <w:ind w:right="1576"/>
      </w:pPr>
      <w:r w:rsidRPr="0072392A">
        <w:lastRenderedPageBreak/>
        <w:t>Figure</w:t>
      </w:r>
      <w:r w:rsidRPr="0072392A">
        <w:rPr>
          <w:spacing w:val="-3"/>
        </w:rPr>
        <w:t xml:space="preserve"> S</w:t>
      </w:r>
      <w:r w:rsidRPr="0072392A">
        <w:t>1.</w:t>
      </w:r>
      <w:r w:rsidRPr="0072392A">
        <w:rPr>
          <w:spacing w:val="-4"/>
        </w:rPr>
        <w:t xml:space="preserve"> </w:t>
      </w:r>
      <w:r w:rsidRPr="0072392A">
        <w:t>Kaplan–Meier</w:t>
      </w:r>
      <w:r w:rsidRPr="0072392A">
        <w:rPr>
          <w:spacing w:val="-4"/>
        </w:rPr>
        <w:t xml:space="preserve"> </w:t>
      </w:r>
      <w:r w:rsidRPr="0072392A">
        <w:t>Estimates</w:t>
      </w:r>
      <w:r w:rsidRPr="0072392A">
        <w:rPr>
          <w:spacing w:val="-4"/>
        </w:rPr>
        <w:t xml:space="preserve"> </w:t>
      </w:r>
      <w:r w:rsidRPr="0072392A">
        <w:t>of</w:t>
      </w:r>
      <w:r w:rsidRPr="0072392A">
        <w:rPr>
          <w:spacing w:val="-6"/>
        </w:rPr>
        <w:t xml:space="preserve"> </w:t>
      </w:r>
      <w:r w:rsidRPr="0072392A">
        <w:t>Overall</w:t>
      </w:r>
      <w:r w:rsidRPr="0072392A">
        <w:rPr>
          <w:spacing w:val="-3"/>
        </w:rPr>
        <w:t xml:space="preserve"> </w:t>
      </w:r>
      <w:r w:rsidRPr="0072392A">
        <w:t>survival</w:t>
      </w:r>
      <w:r w:rsidRPr="0072392A">
        <w:rPr>
          <w:spacing w:val="-3"/>
        </w:rPr>
        <w:t xml:space="preserve"> </w:t>
      </w:r>
      <w:r w:rsidRPr="0072392A">
        <w:t>by</w:t>
      </w:r>
      <w:r w:rsidRPr="0072392A">
        <w:rPr>
          <w:spacing w:val="-4"/>
        </w:rPr>
        <w:t xml:space="preserve"> </w:t>
      </w:r>
      <w:r w:rsidRPr="0072392A">
        <w:t>major</w:t>
      </w:r>
      <w:r w:rsidRPr="0072392A">
        <w:rPr>
          <w:spacing w:val="-4"/>
        </w:rPr>
        <w:t xml:space="preserve"> </w:t>
      </w:r>
      <w:r w:rsidRPr="0072392A">
        <w:t>hematologic</w:t>
      </w:r>
      <w:r w:rsidRPr="0072392A">
        <w:rPr>
          <w:spacing w:val="-4"/>
        </w:rPr>
        <w:t xml:space="preserve"> </w:t>
      </w:r>
      <w:r w:rsidRPr="0072392A">
        <w:t>malignancy subtype (2017–2022)</w:t>
      </w:r>
    </w:p>
    <w:p w14:paraId="7DA30949" w14:textId="77777777" w:rsidR="007A3C5A" w:rsidRPr="0072392A" w:rsidRDefault="007A3C5A" w:rsidP="007A3C5A">
      <w:pPr>
        <w:pStyle w:val="BodyText"/>
      </w:pPr>
      <w:r w:rsidRPr="0072392A">
        <w:rPr>
          <w:noProof/>
        </w:rPr>
        <w:drawing>
          <wp:anchor distT="0" distB="0" distL="0" distR="0" simplePos="0" relativeHeight="251659264" behindDoc="1" locked="0" layoutInCell="1" allowOverlap="1" wp14:anchorId="72A8278F" wp14:editId="38028FDC">
            <wp:simplePos x="0" y="0"/>
            <wp:positionH relativeFrom="page">
              <wp:posOffset>914400</wp:posOffset>
            </wp:positionH>
            <wp:positionV relativeFrom="paragraph">
              <wp:posOffset>176559</wp:posOffset>
            </wp:positionV>
            <wp:extent cx="6661483" cy="4572000"/>
            <wp:effectExtent l="0" t="0" r="0" b="0"/>
            <wp:wrapTopAndBottom/>
            <wp:docPr id="1" name="Image 1" descr="A graph of different colored line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graph of different colored lines  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483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4E430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0ACBE18C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55630804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0E5156F0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2A7E8704" w14:textId="77777777" w:rsidR="00AF29D4" w:rsidRPr="0072392A" w:rsidRDefault="00AF29D4" w:rsidP="008A2A03">
      <w:pPr>
        <w:rPr>
          <w:rFonts w:ascii="Arial" w:hAnsi="Arial" w:cs="Arial"/>
          <w:sz w:val="24"/>
          <w:szCs w:val="24"/>
        </w:rPr>
      </w:pPr>
    </w:p>
    <w:p w14:paraId="1269B80D" w14:textId="77777777" w:rsidR="00C47108" w:rsidRPr="0072392A" w:rsidRDefault="00C47108" w:rsidP="008A2A03">
      <w:pPr>
        <w:rPr>
          <w:rFonts w:ascii="Arial" w:hAnsi="Arial" w:cs="Arial"/>
          <w:sz w:val="24"/>
          <w:szCs w:val="24"/>
        </w:rPr>
      </w:pPr>
    </w:p>
    <w:p w14:paraId="56666C00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609EDA7B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66741A59" w14:textId="77777777" w:rsidR="007A3C5A" w:rsidRPr="0072392A" w:rsidRDefault="007A3C5A" w:rsidP="008A2A03">
      <w:pPr>
        <w:rPr>
          <w:rFonts w:ascii="Arial" w:hAnsi="Arial" w:cs="Arial"/>
          <w:sz w:val="24"/>
          <w:szCs w:val="24"/>
        </w:rPr>
      </w:pPr>
    </w:p>
    <w:p w14:paraId="1BA2D504" w14:textId="7DA6535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lastRenderedPageBreak/>
        <w:t>Figure S</w:t>
      </w:r>
      <w:r w:rsidR="007A3C5A" w:rsidRPr="0072392A">
        <w:rPr>
          <w:rFonts w:ascii="Arial" w:hAnsi="Arial" w:cs="Arial"/>
          <w:sz w:val="24"/>
          <w:szCs w:val="24"/>
        </w:rPr>
        <w:t>2</w:t>
      </w:r>
      <w:r w:rsidRPr="0072392A">
        <w:rPr>
          <w:rFonts w:ascii="Arial" w:hAnsi="Arial" w:cs="Arial"/>
          <w:sz w:val="24"/>
          <w:szCs w:val="24"/>
        </w:rPr>
        <w:t>. Kaplan–Meier Estimates of Overall Survival by Age Group at Diagnosis from 2017–2022</w:t>
      </w:r>
    </w:p>
    <w:p w14:paraId="50D2AA2F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3CD79B99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56F0B9" wp14:editId="165DAB12">
            <wp:extent cx="5943600" cy="4485640"/>
            <wp:effectExtent l="0" t="0" r="0" b="0"/>
            <wp:docPr id="1619380984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380984" name="Picture 1" descr="A graph of different colored lin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2435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606EE71C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19A4FF8E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69ECB104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384FDCC4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6AD51DC6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0CE41537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250EA231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3D710905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3473C8C7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58EA4A77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2F379EB5" w14:textId="5CE1BF69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sz w:val="24"/>
          <w:szCs w:val="24"/>
        </w:rPr>
        <w:lastRenderedPageBreak/>
        <w:t>Figure S</w:t>
      </w:r>
      <w:r w:rsidR="004C15AE" w:rsidRPr="0072392A">
        <w:rPr>
          <w:rFonts w:ascii="Arial" w:hAnsi="Arial" w:cs="Arial"/>
          <w:sz w:val="24"/>
          <w:szCs w:val="24"/>
        </w:rPr>
        <w:t>3</w:t>
      </w:r>
      <w:r w:rsidRPr="0072392A">
        <w:rPr>
          <w:rFonts w:ascii="Arial" w:hAnsi="Arial" w:cs="Arial"/>
          <w:sz w:val="24"/>
          <w:szCs w:val="24"/>
        </w:rPr>
        <w:t>. Assessment of the proportional hazard assumption using log–log survival plots.</w:t>
      </w:r>
    </w:p>
    <w:p w14:paraId="03D059AD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</w:p>
    <w:p w14:paraId="6B0D061B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6DB025DA" w14:textId="77777777" w:rsidR="008A2A03" w:rsidRPr="0072392A" w:rsidRDefault="008A2A03" w:rsidP="008A2A03">
      <w:pPr>
        <w:spacing w:after="0"/>
        <w:rPr>
          <w:rFonts w:ascii="Arial" w:hAnsi="Arial" w:cs="Arial"/>
          <w:sz w:val="24"/>
          <w:szCs w:val="24"/>
        </w:rPr>
      </w:pPr>
      <w:r w:rsidRPr="007239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789E6B" wp14:editId="0862304A">
            <wp:extent cx="6752492" cy="4864536"/>
            <wp:effectExtent l="0" t="0" r="4445" b="0"/>
            <wp:docPr id="461543369" name="Picture 1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43369" name="Picture 1" descr="A collage of graph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7869" cy="49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198E" w14:textId="77777777" w:rsidR="008A2A03" w:rsidRPr="0072392A" w:rsidRDefault="008A2A03" w:rsidP="008A2A03">
      <w:pPr>
        <w:pStyle w:val="ListParagraph"/>
        <w:rPr>
          <w:rFonts w:ascii="Arial" w:hAnsi="Arial" w:cs="Arial"/>
        </w:rPr>
      </w:pPr>
      <w:r w:rsidRPr="0072392A">
        <w:rPr>
          <w:rFonts w:ascii="Arial" w:hAnsi="Arial" w:cs="Arial"/>
        </w:rPr>
        <w:t>*Proportional hazard assumption not violated</w:t>
      </w:r>
    </w:p>
    <w:p w14:paraId="07460BB8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253C4EFD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15AEFBC8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74FDE026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4A8D105C" w14:textId="77777777" w:rsidR="008A2A03" w:rsidRPr="0072392A" w:rsidRDefault="008A2A03" w:rsidP="008A2A03">
      <w:pPr>
        <w:rPr>
          <w:rFonts w:ascii="Arial" w:hAnsi="Arial" w:cs="Arial"/>
          <w:sz w:val="24"/>
          <w:szCs w:val="24"/>
        </w:rPr>
      </w:pPr>
    </w:p>
    <w:p w14:paraId="0E00D935" w14:textId="77777777" w:rsidR="008A2A03" w:rsidRPr="0072392A" w:rsidRDefault="008A2A03">
      <w:pPr>
        <w:rPr>
          <w:rFonts w:ascii="Arial" w:hAnsi="Arial" w:cs="Arial"/>
          <w:sz w:val="24"/>
          <w:szCs w:val="24"/>
        </w:rPr>
      </w:pPr>
    </w:p>
    <w:sectPr w:rsidR="008A2A03" w:rsidRPr="0072392A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1DA7" w14:textId="77777777" w:rsidR="00530403" w:rsidRDefault="00530403" w:rsidP="00106649">
      <w:pPr>
        <w:spacing w:after="0" w:line="240" w:lineRule="auto"/>
      </w:pPr>
      <w:r>
        <w:separator/>
      </w:r>
    </w:p>
  </w:endnote>
  <w:endnote w:type="continuationSeparator" w:id="0">
    <w:p w14:paraId="441AC91B" w14:textId="77777777" w:rsidR="00530403" w:rsidRDefault="00530403" w:rsidP="0010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7328602"/>
      <w:docPartObj>
        <w:docPartGallery w:val="Page Numbers (Bottom of Page)"/>
        <w:docPartUnique/>
      </w:docPartObj>
    </w:sdtPr>
    <w:sdtContent>
      <w:p w14:paraId="51297715" w14:textId="71C141C7" w:rsidR="00106649" w:rsidRDefault="00106649" w:rsidP="005B2A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1AB3BFE" w14:textId="77777777" w:rsidR="00106649" w:rsidRDefault="00106649" w:rsidP="001066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41885311"/>
      <w:docPartObj>
        <w:docPartGallery w:val="Page Numbers (Bottom of Page)"/>
        <w:docPartUnique/>
      </w:docPartObj>
    </w:sdtPr>
    <w:sdtContent>
      <w:p w14:paraId="3F33B175" w14:textId="7EED43CF" w:rsidR="00106649" w:rsidRDefault="00106649" w:rsidP="005B2A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6E36A9" w14:textId="77777777" w:rsidR="00106649" w:rsidRDefault="00106649" w:rsidP="001066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8FA7" w14:textId="77777777" w:rsidR="00530403" w:rsidRDefault="00530403" w:rsidP="00106649">
      <w:pPr>
        <w:spacing w:after="0" w:line="240" w:lineRule="auto"/>
      </w:pPr>
      <w:r>
        <w:separator/>
      </w:r>
    </w:p>
  </w:footnote>
  <w:footnote w:type="continuationSeparator" w:id="0">
    <w:p w14:paraId="259A2699" w14:textId="77777777" w:rsidR="00530403" w:rsidRDefault="00530403" w:rsidP="00106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03"/>
    <w:rsid w:val="000E563C"/>
    <w:rsid w:val="00106649"/>
    <w:rsid w:val="00117594"/>
    <w:rsid w:val="0018258E"/>
    <w:rsid w:val="00193A8B"/>
    <w:rsid w:val="001D5193"/>
    <w:rsid w:val="00353605"/>
    <w:rsid w:val="00357EF9"/>
    <w:rsid w:val="00411DEF"/>
    <w:rsid w:val="004C15AE"/>
    <w:rsid w:val="00530403"/>
    <w:rsid w:val="006302DF"/>
    <w:rsid w:val="0070080A"/>
    <w:rsid w:val="0072392A"/>
    <w:rsid w:val="007A3C5A"/>
    <w:rsid w:val="008A2A03"/>
    <w:rsid w:val="00923C8B"/>
    <w:rsid w:val="009527A8"/>
    <w:rsid w:val="009B3DAE"/>
    <w:rsid w:val="00A521CD"/>
    <w:rsid w:val="00AE5A1B"/>
    <w:rsid w:val="00AF29D4"/>
    <w:rsid w:val="00B013A7"/>
    <w:rsid w:val="00B14997"/>
    <w:rsid w:val="00B35040"/>
    <w:rsid w:val="00B51FED"/>
    <w:rsid w:val="00C47108"/>
    <w:rsid w:val="00DE26FB"/>
    <w:rsid w:val="00DF2754"/>
    <w:rsid w:val="00E5085B"/>
    <w:rsid w:val="00EA01F5"/>
    <w:rsid w:val="00EC7D71"/>
    <w:rsid w:val="00F4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E597D"/>
  <w15:chartTrackingRefBased/>
  <w15:docId w15:val="{C72F935F-AFEA-3149-8F76-23B48878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A0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A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A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A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A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A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A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A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A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A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2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A0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2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A0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2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A03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2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A0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06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649"/>
    <w:rPr>
      <w:rFonts w:eastAsiaTheme="minorEastAsia"/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06649"/>
  </w:style>
  <w:style w:type="paragraph" w:styleId="BodyText">
    <w:name w:val="Body Text"/>
    <w:basedOn w:val="Normal"/>
    <w:link w:val="BodyTextChar"/>
    <w:uiPriority w:val="1"/>
    <w:qFormat/>
    <w:rsid w:val="007A3C5A"/>
    <w:pPr>
      <w:widowControl w:val="0"/>
      <w:autoSpaceDE w:val="0"/>
      <w:autoSpaceDN w:val="0"/>
      <w:spacing w:before="24"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A3C5A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882</Words>
  <Characters>5236</Characters>
  <Application>Microsoft Office Word</Application>
  <DocSecurity>0</DocSecurity>
  <Lines>476</Lines>
  <Paragraphs>382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Akwasi Akosah</dc:creator>
  <cp:keywords/>
  <dc:description/>
  <cp:lastModifiedBy>Akwasi Akosah</cp:lastModifiedBy>
  <cp:revision>13</cp:revision>
  <dcterms:created xsi:type="dcterms:W3CDTF">2026-01-02T03:33:00Z</dcterms:created>
  <dcterms:modified xsi:type="dcterms:W3CDTF">2026-03-05T06:17:00Z</dcterms:modified>
</cp:coreProperties>
</file>