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78" w:rsidRPr="00175F78" w:rsidRDefault="00175F78" w:rsidP="00175F78">
      <w:pPr>
        <w:pStyle w:val="Caption"/>
        <w:keepNext/>
        <w:spacing w:line="36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175F78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Pr="00175F78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175F78">
        <w:rPr>
          <w:rFonts w:ascii="Times New Roman" w:hAnsi="Times New Roman"/>
          <w:color w:val="auto"/>
          <w:sz w:val="24"/>
          <w:szCs w:val="24"/>
        </w:rPr>
        <w:instrText xml:space="preserve"> SEQ Table \* ARABIC </w:instrText>
      </w:r>
      <w:r w:rsidRPr="00175F78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175F78">
        <w:rPr>
          <w:rFonts w:ascii="Times New Roman" w:hAnsi="Times New Roman"/>
          <w:noProof/>
          <w:color w:val="auto"/>
          <w:sz w:val="24"/>
          <w:szCs w:val="24"/>
        </w:rPr>
        <w:t>1</w:t>
      </w:r>
      <w:r w:rsidRPr="00175F78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175F78">
        <w:rPr>
          <w:rFonts w:ascii="Times New Roman" w:hAnsi="Times New Roman"/>
          <w:color w:val="auto"/>
          <w:sz w:val="24"/>
          <w:szCs w:val="24"/>
        </w:rPr>
        <w:t>:</w:t>
      </w:r>
      <w:r w:rsidRPr="00175F78">
        <w:rPr>
          <w:rFonts w:ascii="Times New Roman" w:hAnsi="Times New Roman"/>
          <w:b w:val="0"/>
          <w:color w:val="auto"/>
          <w:sz w:val="24"/>
          <w:szCs w:val="24"/>
        </w:rPr>
        <w:t xml:space="preserve"> The risk factors with prevalence of Taeniid eggs in dogs in Bahir Dar and Gondar Cities, 2025/26</w:t>
      </w:r>
    </w:p>
    <w:tbl>
      <w:tblPr>
        <w:tblW w:w="9334" w:type="dxa"/>
        <w:tblInd w:w="93" w:type="dxa"/>
        <w:tblLook w:val="04A0" w:firstRow="1" w:lastRow="0" w:firstColumn="1" w:lastColumn="0" w:noHBand="0" w:noVBand="1"/>
      </w:tblPr>
      <w:tblGrid>
        <w:gridCol w:w="2140"/>
        <w:gridCol w:w="1694"/>
        <w:gridCol w:w="1620"/>
        <w:gridCol w:w="1740"/>
        <w:gridCol w:w="960"/>
        <w:gridCol w:w="1180"/>
      </w:tblGrid>
      <w:tr w:rsidR="00175F78" w:rsidRPr="00175F78" w:rsidTr="00175F78">
        <w:trPr>
          <w:trHeight w:val="413"/>
        </w:trPr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 of Examined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 positive (%)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χ2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175F78" w:rsidRPr="00175F78" w:rsidTr="00175F78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young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13(13.4)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Adult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74(34.1)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Old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38(34.5)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45(48.3)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80(24.2)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Breed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120(30.5)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cross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(16.6)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Clinical signs</w:t>
            </w: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 (23.6)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35(81.4)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Deworming History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 (31.4)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3(85.7)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0.005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Feeding habit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Free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64(48.1)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Semi-scavenging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39(31.7)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Owner fed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(13.1)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Roaming status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Free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 (51.6)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Confined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 (19.9)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Knowledge level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 (40.9)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 (10.3)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1(11.1)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Attitude level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 (37.5)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(14.5)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(18.2)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0.001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Practice level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 (30.7)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(14.7)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0.049</w:t>
            </w:r>
          </w:p>
        </w:tc>
      </w:tr>
      <w:tr w:rsidR="00175F78" w:rsidRPr="00175F78" w:rsidTr="008B02D5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Gondar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 (32)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5F78" w:rsidRPr="00175F78" w:rsidTr="008B02D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Bahir Dar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 (25)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F78" w:rsidRPr="00175F78" w:rsidRDefault="00175F78" w:rsidP="00175F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5F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</w:t>
            </w:r>
          </w:p>
        </w:tc>
      </w:tr>
    </w:tbl>
    <w:p w:rsidR="00175F78" w:rsidRPr="00175F78" w:rsidRDefault="00175F78" w:rsidP="00175F78"/>
    <w:p w:rsidR="00175F78" w:rsidRDefault="00175F78" w:rsidP="00F613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175F78" w:rsidRDefault="00175F78" w:rsidP="00F613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175F78" w:rsidRDefault="00175F78" w:rsidP="00F613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175F78" w:rsidRDefault="00175F78" w:rsidP="00F613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F613FC" w:rsidRPr="00175F78" w:rsidRDefault="00175F78" w:rsidP="00175F78">
      <w:pPr>
        <w:pStyle w:val="Caption"/>
        <w:keepNext/>
        <w:spacing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75F78">
        <w:rPr>
          <w:rFonts w:ascii="Times New Roman" w:hAnsi="Times New Roman"/>
          <w:color w:val="auto"/>
          <w:sz w:val="24"/>
          <w:szCs w:val="24"/>
        </w:rPr>
        <w:lastRenderedPageBreak/>
        <w:t xml:space="preserve">Table </w:t>
      </w:r>
      <w:r w:rsidRPr="00175F78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175F78">
        <w:rPr>
          <w:rFonts w:ascii="Times New Roman" w:hAnsi="Times New Roman"/>
          <w:color w:val="auto"/>
          <w:sz w:val="24"/>
          <w:szCs w:val="24"/>
        </w:rPr>
        <w:instrText xml:space="preserve"> SEQ Table \* ARABIC </w:instrText>
      </w:r>
      <w:r w:rsidRPr="00175F78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175F78">
        <w:rPr>
          <w:rFonts w:ascii="Times New Roman" w:hAnsi="Times New Roman"/>
          <w:noProof/>
          <w:color w:val="auto"/>
          <w:sz w:val="24"/>
          <w:szCs w:val="24"/>
        </w:rPr>
        <w:t>2</w:t>
      </w:r>
      <w:r w:rsidRPr="00175F78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175F7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613FC" w:rsidRPr="00175F78">
        <w:rPr>
          <w:rFonts w:ascii="Times New Roman" w:hAnsi="Times New Roman"/>
          <w:b w:val="0"/>
          <w:color w:val="auto"/>
          <w:sz w:val="24"/>
          <w:szCs w:val="24"/>
        </w:rPr>
        <w:t>: Multivariate logistic regression analysis of risk factor</w:t>
      </w:r>
      <w:bookmarkStart w:id="0" w:name="_GoBack"/>
      <w:r w:rsidR="00F613FC" w:rsidRPr="00175F78">
        <w:rPr>
          <w:rFonts w:ascii="Times New Roman" w:hAnsi="Times New Roman"/>
          <w:b w:val="0"/>
          <w:color w:val="auto"/>
          <w:sz w:val="24"/>
          <w:szCs w:val="24"/>
        </w:rPr>
        <w:t>s</w:t>
      </w:r>
      <w:bookmarkEnd w:id="0"/>
      <w:r w:rsidR="00F613FC" w:rsidRPr="00175F78">
        <w:rPr>
          <w:rFonts w:ascii="Times New Roman" w:hAnsi="Times New Roman"/>
          <w:b w:val="0"/>
          <w:color w:val="auto"/>
          <w:sz w:val="24"/>
          <w:szCs w:val="24"/>
        </w:rPr>
        <w:t xml:space="preserve"> for the occurrence of </w:t>
      </w:r>
      <w:proofErr w:type="spellStart"/>
      <w:r w:rsidR="00F613FC" w:rsidRPr="00175F78">
        <w:rPr>
          <w:rFonts w:ascii="Times New Roman" w:hAnsi="Times New Roman"/>
          <w:b w:val="0"/>
          <w:color w:val="auto"/>
          <w:sz w:val="24"/>
          <w:szCs w:val="24"/>
        </w:rPr>
        <w:t>Taeniida</w:t>
      </w:r>
      <w:proofErr w:type="spellEnd"/>
      <w:r w:rsidR="00F613FC" w:rsidRPr="00175F78">
        <w:rPr>
          <w:rFonts w:ascii="Times New Roman" w:hAnsi="Times New Roman"/>
          <w:b w:val="0"/>
          <w:color w:val="auto"/>
          <w:sz w:val="24"/>
          <w:szCs w:val="24"/>
        </w:rPr>
        <w:t xml:space="preserve"> eggs in dogs in Bahir Dar and Gondar, 2025/26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2140"/>
        <w:gridCol w:w="2560"/>
        <w:gridCol w:w="2060"/>
        <w:gridCol w:w="1740"/>
        <w:gridCol w:w="1860"/>
      </w:tblGrid>
      <w:tr w:rsidR="00F613FC" w:rsidRPr="008C7091" w:rsidTr="005E6FE3">
        <w:trPr>
          <w:trHeight w:val="330"/>
        </w:trPr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b/>
                <w:sz w:val="24"/>
                <w:szCs w:val="24"/>
              </w:rPr>
              <w:t>Variable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b/>
                <w:sz w:val="24"/>
                <w:szCs w:val="24"/>
              </w:rPr>
              <w:t>Level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b/>
                <w:sz w:val="24"/>
                <w:szCs w:val="24"/>
              </w:rPr>
              <w:t>Odds Ratio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b/>
                <w:sz w:val="24"/>
                <w:szCs w:val="24"/>
              </w:rPr>
              <w:t>95 %CI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b/>
                <w:sz w:val="24"/>
                <w:szCs w:val="24"/>
              </w:rPr>
              <w:t>P-Value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Age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 xml:space="preserve">young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Adult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2.03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0.92-4.44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0.076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Old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2.8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1.17 -6.63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0.024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Sex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Female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Male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0.43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0.23-0.79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0.007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Breed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Local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cross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1.09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0.24-5.03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0.91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Clinical signs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Present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Absent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25.9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9.88 -67.9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0.001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Deworming History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0.12 -2.7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0.49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Feeding habit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Free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Semi-scavenging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4.05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0.99-16.5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0.051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Owner fed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0.64-10.6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0.18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Roaming status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Free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Confined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0.01 -0.22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0.001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Knowledge level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Poor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Moderate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0.15-0.9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0.029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Good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0.06-5.63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0.65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Attitude level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Negative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Neutral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0.34-1.48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0.35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Positive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1.33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0.17-10.5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0.78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Practice level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Poor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Moderate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2.1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0.51-8.79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0.3</w:t>
            </w:r>
          </w:p>
        </w:tc>
      </w:tr>
      <w:tr w:rsidR="00F613FC" w:rsidRPr="008C7091" w:rsidTr="005E6FE3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City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Gondar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F613FC" w:rsidRPr="008C7091" w:rsidTr="005E6FE3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Bahir dar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0.37-1.13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8C7091">
              <w:rPr>
                <w:rFonts w:ascii="Times New Roman" w:hAnsi="Times New Roman" w:cs="Arial"/>
                <w:sz w:val="24"/>
                <w:szCs w:val="24"/>
              </w:rPr>
              <w:t>0.127</w:t>
            </w:r>
          </w:p>
        </w:tc>
      </w:tr>
      <w:tr w:rsidR="00F613FC" w:rsidRPr="008C7091" w:rsidTr="005E6FE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3FC" w:rsidRPr="008C7091" w:rsidRDefault="00F613FC" w:rsidP="004A36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C55770" w:rsidRDefault="00C55770" w:rsidP="004A36BC"/>
    <w:sectPr w:rsidR="00C5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FC"/>
    <w:rsid w:val="00175F78"/>
    <w:rsid w:val="004A36BC"/>
    <w:rsid w:val="00C55770"/>
    <w:rsid w:val="00F6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613FC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F613FC"/>
    <w:rPr>
      <w:rFonts w:ascii="Calibri" w:eastAsia="Calibri" w:hAnsi="Calibri" w:cs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175F7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613FC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F613FC"/>
    <w:rPr>
      <w:rFonts w:ascii="Calibri" w:eastAsia="Calibri" w:hAnsi="Calibri" w:cs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175F7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1AFA-FC7F-42CB-95D8-E9465AEA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2026-03-04T07:40:00Z</dcterms:created>
  <dcterms:modified xsi:type="dcterms:W3CDTF">2026-03-09T10:05:00Z</dcterms:modified>
</cp:coreProperties>
</file>