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01DB0" w14:textId="10E3241C" w:rsidR="00B54407" w:rsidRDefault="00DA1FCB">
      <w:pPr>
        <w:pStyle w:val="Heading1"/>
        <w:rPr>
          <w:rFonts w:ascii="Times New Roman" w:eastAsia="Arial" w:hAnsi="Times New Roman" w:cs="Times New Roman"/>
          <w:b w:val="0"/>
          <w:bCs/>
          <w:color w:val="000000"/>
          <w:sz w:val="24"/>
          <w:szCs w:val="24"/>
        </w:rPr>
      </w:pPr>
      <w:r w:rsidRPr="00DA1FC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Table 5. </w:t>
      </w:r>
      <w:r w:rsidRPr="00DA1FCB">
        <w:rPr>
          <w:rFonts w:ascii="Times New Roman" w:eastAsia="Arial" w:hAnsi="Times New Roman" w:cs="Times New Roman"/>
          <w:b w:val="0"/>
          <w:bCs/>
          <w:color w:val="000000"/>
          <w:sz w:val="24"/>
          <w:szCs w:val="24"/>
        </w:rPr>
        <w:t>Themes and Subthemes from Reflexive Thematic Analysis of Student Interviews (n = 8)</w:t>
      </w:r>
    </w:p>
    <w:p w14:paraId="53CD6BFE" w14:textId="77777777" w:rsidR="001277D6" w:rsidRPr="001277D6" w:rsidRDefault="001277D6" w:rsidP="001277D6"/>
    <w:tbl>
      <w:tblPr>
        <w:tblStyle w:val="a"/>
        <w:tblW w:w="13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8"/>
        <w:gridCol w:w="5310"/>
        <w:gridCol w:w="5321"/>
      </w:tblGrid>
      <w:tr w:rsidR="00B54407" w:rsidRPr="00DA1FCB" w14:paraId="677166A8" w14:textId="77777777" w:rsidTr="001277D6">
        <w:trPr>
          <w:trHeight w:val="267"/>
        </w:trPr>
        <w:tc>
          <w:tcPr>
            <w:tcW w:w="33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4FF056" w14:textId="77777777" w:rsidR="00B54407" w:rsidRPr="00DA1FCB" w:rsidRDefault="00000000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Theme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C3CF69" w14:textId="77777777" w:rsidR="00B54407" w:rsidRPr="00DA1FCB" w:rsidRDefault="00000000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Subtheme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F8C383" w14:textId="641E442D" w:rsidR="00B54407" w:rsidRPr="00DA1FCB" w:rsidRDefault="00DA1FCB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Illustrative Quotes</w:t>
            </w:r>
          </w:p>
        </w:tc>
      </w:tr>
      <w:tr w:rsidR="00B54407" w:rsidRPr="00DA1FCB" w14:paraId="7E26A0E5" w14:textId="77777777" w:rsidTr="001277D6">
        <w:trPr>
          <w:trHeight w:val="935"/>
        </w:trPr>
        <w:tc>
          <w:tcPr>
            <w:tcW w:w="3348" w:type="dxa"/>
            <w:tcBorders>
              <w:left w:val="nil"/>
              <w:bottom w:val="single" w:sz="4" w:space="0" w:color="000000"/>
              <w:right w:val="nil"/>
            </w:tcBorders>
          </w:tcPr>
          <w:p w14:paraId="047C34B8" w14:textId="56A24FA3" w:rsidR="00B54407" w:rsidRPr="00DA1FCB" w:rsidRDefault="00000000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Personal Impact of ACEs on Health and Well</w:t>
            </w:r>
            <w:r w:rsidR="00C542E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</w:t>
            </w: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being</w:t>
            </w:r>
          </w:p>
          <w:p w14:paraId="2BFF29B9" w14:textId="77777777" w:rsidR="00B54407" w:rsidRPr="00DA1FCB" w:rsidRDefault="00B54407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tcBorders>
              <w:left w:val="nil"/>
              <w:bottom w:val="single" w:sz="4" w:space="0" w:color="000000"/>
              <w:right w:val="nil"/>
            </w:tcBorders>
          </w:tcPr>
          <w:p w14:paraId="2A6C9DA8" w14:textId="2E3D53D3" w:rsidR="00B54407" w:rsidRPr="00DA1FCB" w:rsidRDefault="00000000" w:rsidP="00DA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Emotional and physical toll</w:t>
            </w:r>
            <w:r w:rsidR="00DA1FCB"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; i</w:t>
            </w: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ntergenerational effects</w:t>
            </w:r>
            <w:r w:rsidR="00DA1FCB"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; r</w:t>
            </w: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ecognition and reflection</w:t>
            </w:r>
          </w:p>
        </w:tc>
        <w:tc>
          <w:tcPr>
            <w:tcW w:w="5321" w:type="dxa"/>
            <w:tcBorders>
              <w:left w:val="nil"/>
              <w:bottom w:val="single" w:sz="4" w:space="0" w:color="000000"/>
              <w:right w:val="nil"/>
            </w:tcBorders>
          </w:tcPr>
          <w:p w14:paraId="20930280" w14:textId="69749A9B" w:rsidR="00802E33" w:rsidRPr="00DA1FCB" w:rsidRDefault="00802E33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“Trauma and stress can lead to chronic dysfunction and affect relationships.” 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(Medical </w:t>
            </w:r>
            <w:r w:rsidR="00113B24">
              <w:rPr>
                <w:rFonts w:ascii="Times New Roman" w:eastAsia="Arial" w:hAnsi="Times New Roman" w:cs="Times New Roman"/>
                <w:sz w:val="24"/>
                <w:szCs w:val="24"/>
              </w:rPr>
              <w:t>s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tudent, P3)</w:t>
            </w:r>
          </w:p>
          <w:p w14:paraId="26E87CD1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5B79046" w14:textId="2018EFC8" w:rsidR="00B54407" w:rsidRPr="00DA1FCB" w:rsidRDefault="00802E33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“If well-being wasn’t prioritized in childhood, it can compound burnout risk in healthcare.” 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(Medical </w:t>
            </w:r>
            <w:r w:rsidR="00113B24">
              <w:rPr>
                <w:rFonts w:ascii="Times New Roman" w:eastAsia="Arial" w:hAnsi="Times New Roman" w:cs="Times New Roman"/>
                <w:sz w:val="24"/>
                <w:szCs w:val="24"/>
              </w:rPr>
              <w:t>s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tudent, P5)</w:t>
            </w:r>
          </w:p>
        </w:tc>
      </w:tr>
      <w:tr w:rsidR="00B54407" w:rsidRPr="00DA1FCB" w14:paraId="58B7AD0F" w14:textId="77777777" w:rsidTr="001277D6">
        <w:trPr>
          <w:trHeight w:val="881"/>
        </w:trPr>
        <w:tc>
          <w:tcPr>
            <w:tcW w:w="3348" w:type="dxa"/>
            <w:tcBorders>
              <w:left w:val="nil"/>
              <w:bottom w:val="single" w:sz="4" w:space="0" w:color="000000"/>
              <w:right w:val="nil"/>
            </w:tcBorders>
          </w:tcPr>
          <w:p w14:paraId="2AF77EBC" w14:textId="77777777" w:rsidR="00B54407" w:rsidRPr="00DA1FCB" w:rsidRDefault="00000000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ACEs and Healthcare Education</w:t>
            </w:r>
          </w:p>
          <w:p w14:paraId="73C5AA6A" w14:textId="77777777" w:rsidR="00B54407" w:rsidRPr="00DA1FCB" w:rsidRDefault="00B54407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tcBorders>
              <w:left w:val="nil"/>
              <w:bottom w:val="single" w:sz="4" w:space="0" w:color="000000"/>
              <w:right w:val="nil"/>
            </w:tcBorders>
          </w:tcPr>
          <w:p w14:paraId="3939950A" w14:textId="451D716D" w:rsidR="00B54407" w:rsidRPr="00DA1FCB" w:rsidRDefault="00DA1FCB" w:rsidP="00DA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Lack of formal curriculum; calls for integration; concerns about implementation</w:t>
            </w:r>
          </w:p>
        </w:tc>
        <w:tc>
          <w:tcPr>
            <w:tcW w:w="5321" w:type="dxa"/>
            <w:tcBorders>
              <w:left w:val="nil"/>
              <w:bottom w:val="single" w:sz="4" w:space="0" w:color="000000"/>
              <w:right w:val="nil"/>
            </w:tcBorders>
          </w:tcPr>
          <w:p w14:paraId="45341F8C" w14:textId="3E883159" w:rsidR="00802E33" w:rsidRDefault="00802E33" w:rsidP="00802E33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“Knowing about ACEs helps you approach patients without fear or overconfidence.” 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(Medical </w:t>
            </w:r>
            <w:r w:rsidR="00113B24">
              <w:rPr>
                <w:rFonts w:ascii="Times New Roman" w:eastAsia="Arial" w:hAnsi="Times New Roman" w:cs="Times New Roman"/>
                <w:sz w:val="24"/>
                <w:szCs w:val="24"/>
              </w:rPr>
              <w:t>s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tudent, P7)</w:t>
            </w:r>
          </w:p>
          <w:p w14:paraId="04C6B632" w14:textId="77777777" w:rsidR="00DA1FCB" w:rsidRPr="00DA1FCB" w:rsidRDefault="00DA1FCB" w:rsidP="00802E33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C7A3E5F" w14:textId="0AD252A9" w:rsidR="00B54407" w:rsidRPr="00DA1FCB" w:rsidRDefault="00802E33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“I’d learned about ACEs but never seen the questionnaire.” 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(Medical </w:t>
            </w:r>
            <w:r w:rsidR="00113B24">
              <w:rPr>
                <w:rFonts w:ascii="Times New Roman" w:eastAsia="Arial" w:hAnsi="Times New Roman" w:cs="Times New Roman"/>
                <w:sz w:val="24"/>
                <w:szCs w:val="24"/>
              </w:rPr>
              <w:t>s</w:t>
            </w:r>
            <w:r w:rsidR="0030075F"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tudent, P1)</w:t>
            </w:r>
          </w:p>
        </w:tc>
      </w:tr>
      <w:tr w:rsidR="00B54407" w:rsidRPr="00DA1FCB" w14:paraId="1DFC0905" w14:textId="77777777" w:rsidTr="001277D6">
        <w:trPr>
          <w:trHeight w:val="1142"/>
        </w:trPr>
        <w:tc>
          <w:tcPr>
            <w:tcW w:w="3348" w:type="dxa"/>
            <w:tcBorders>
              <w:left w:val="nil"/>
              <w:bottom w:val="single" w:sz="4" w:space="0" w:color="auto"/>
              <w:right w:val="nil"/>
            </w:tcBorders>
          </w:tcPr>
          <w:p w14:paraId="1976FD88" w14:textId="77777777" w:rsidR="00B54407" w:rsidRPr="00DA1FCB" w:rsidRDefault="00000000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Self-Awareness and Professional Identity Formation</w:t>
            </w:r>
          </w:p>
          <w:p w14:paraId="04E8FF29" w14:textId="77777777" w:rsidR="00B54407" w:rsidRPr="00DA1FCB" w:rsidRDefault="00B54407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tcBorders>
              <w:left w:val="nil"/>
              <w:bottom w:val="single" w:sz="4" w:space="0" w:color="auto"/>
              <w:right w:val="nil"/>
            </w:tcBorders>
          </w:tcPr>
          <w:p w14:paraId="066A1477" w14:textId="58C27354" w:rsidR="00B54407" w:rsidRPr="00DA1FCB" w:rsidRDefault="00DA1FCB" w:rsidP="00DA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Personal adversity shaping motivations; professional boundaries; bias recognition</w:t>
            </w:r>
          </w:p>
        </w:tc>
        <w:tc>
          <w:tcPr>
            <w:tcW w:w="5321" w:type="dxa"/>
            <w:tcBorders>
              <w:left w:val="nil"/>
              <w:bottom w:val="single" w:sz="4" w:space="0" w:color="auto"/>
              <w:right w:val="nil"/>
            </w:tcBorders>
          </w:tcPr>
          <w:p w14:paraId="17891591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“Because [experience] happened to me, I want to be a different kind of practitioner.” (Medical student, P3)</w:t>
            </w:r>
          </w:p>
          <w:p w14:paraId="010D17FF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6A140B22" w14:textId="6E5E4D94" w:rsidR="00B54407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“Encountering patients with similar experiences can be a strength, but you must anchor yourself in your professional role.” (Nursing student, P6)</w:t>
            </w:r>
          </w:p>
        </w:tc>
      </w:tr>
      <w:tr w:rsidR="00DA1FCB" w:rsidRPr="00DA1FCB" w14:paraId="31AAE4F5" w14:textId="77777777" w:rsidTr="0048507C">
        <w:trPr>
          <w:trHeight w:val="810"/>
        </w:trPr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55CC9D" w14:textId="70455A92" w:rsidR="00DA1FCB" w:rsidRPr="00DA1FCB" w:rsidRDefault="00DA1FCB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Perceptions of the ACE questionnaire</w:t>
            </w: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9780D9" w14:textId="2DE95DB1" w:rsidR="00DA1FCB" w:rsidRPr="00DA1FCB" w:rsidRDefault="00DA1FCB" w:rsidP="00DA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Mixed emotional responses; perceived limitations of the tool; stigma and disclosure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AC8942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“Simplistic, but a good introduction.” (OT student, P8)</w:t>
            </w:r>
          </w:p>
          <w:p w14:paraId="371A7794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536C831" w14:textId="0D6A3100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“Some may not be ready to disclose; wording could validate without defining them.” (Medical student, P7)</w:t>
            </w:r>
          </w:p>
        </w:tc>
      </w:tr>
      <w:tr w:rsidR="00B54407" w:rsidRPr="00DA1FCB" w14:paraId="76BE9F17" w14:textId="77777777" w:rsidTr="0048507C">
        <w:trPr>
          <w:trHeight w:val="810"/>
        </w:trPr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CA4B90" w14:textId="77777777" w:rsidR="00B54407" w:rsidRPr="00DA1FCB" w:rsidRDefault="00000000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ACEs and Burnout Prevention</w:t>
            </w:r>
          </w:p>
          <w:p w14:paraId="08C1BC24" w14:textId="77777777" w:rsidR="00B54407" w:rsidRPr="00DA1FCB" w:rsidRDefault="00B54407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FFBDEA" w14:textId="46D69B66" w:rsidR="00B54407" w:rsidRPr="00DA1FCB" w:rsidRDefault="00DA1FCB" w:rsidP="00DA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Dual role of adversity (risk and resilience); coping strategies; emotional awareness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CC55F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“Working in the ER during COVID, I realized anger meant it was time to leave.” (Medical student, P7)</w:t>
            </w:r>
          </w:p>
          <w:p w14:paraId="093CA51B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3A8AB7EC" w14:textId="7696BD3E" w:rsidR="00B54407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“Resilience is applauded in healthcare, but it isn’t always healthy.” (Nursing student, P6)</w:t>
            </w:r>
          </w:p>
        </w:tc>
      </w:tr>
      <w:tr w:rsidR="00B54407" w:rsidRPr="00DA1FCB" w14:paraId="4C23F1C0" w14:textId="77777777" w:rsidTr="0048507C">
        <w:trPr>
          <w:trHeight w:val="1070"/>
        </w:trPr>
        <w:tc>
          <w:tcPr>
            <w:tcW w:w="3348" w:type="dxa"/>
            <w:tcBorders>
              <w:top w:val="single" w:sz="4" w:space="0" w:color="auto"/>
              <w:left w:val="nil"/>
              <w:right w:val="nil"/>
            </w:tcBorders>
          </w:tcPr>
          <w:p w14:paraId="09EA24B4" w14:textId="77777777" w:rsidR="00B54407" w:rsidRPr="00DA1FCB" w:rsidRDefault="00000000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Implications for Patient Care and Outcomes</w:t>
            </w:r>
          </w:p>
          <w:p w14:paraId="768EBDB7" w14:textId="77777777" w:rsidR="00B54407" w:rsidRPr="00DA1FCB" w:rsidRDefault="00B54407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nil"/>
              <w:right w:val="nil"/>
            </w:tcBorders>
          </w:tcPr>
          <w:p w14:paraId="0219476D" w14:textId="38D6DEE9" w:rsidR="00B54407" w:rsidRPr="00DA1FCB" w:rsidRDefault="00DA1FCB" w:rsidP="00DA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Compassionate care; professional boundaries; trauma-informed clinical practice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right w:val="nil"/>
            </w:tcBorders>
          </w:tcPr>
          <w:p w14:paraId="61EACE61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“Shared experiences can deepen compassion and investment in patient outcomes.” (Medical student, P3)</w:t>
            </w:r>
          </w:p>
          <w:p w14:paraId="07FC4705" w14:textId="77777777" w:rsidR="00DA1FCB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D6A2540" w14:textId="743D2DE1" w:rsidR="00B54407" w:rsidRPr="00DA1FCB" w:rsidRDefault="00DA1FCB" w:rsidP="00DA1FC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A1FCB">
              <w:rPr>
                <w:rFonts w:ascii="Times New Roman" w:eastAsia="Arial" w:hAnsi="Times New Roman" w:cs="Times New Roman"/>
                <w:sz w:val="24"/>
                <w:szCs w:val="24"/>
              </w:rPr>
              <w:t>“Boundaries are important… you don’t want to impose your trauma on patients.” (Nursing student, P7)</w:t>
            </w:r>
          </w:p>
        </w:tc>
      </w:tr>
    </w:tbl>
    <w:p w14:paraId="19FE2300" w14:textId="77777777" w:rsidR="00B54407" w:rsidRDefault="00B54407"/>
    <w:sectPr w:rsidR="00B54407" w:rsidSect="001277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800" w:right="1440" w:bottom="180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85190" w14:textId="77777777" w:rsidR="008F3D38" w:rsidRDefault="008F3D38" w:rsidP="001277D6">
      <w:pPr>
        <w:spacing w:after="0" w:line="240" w:lineRule="auto"/>
      </w:pPr>
      <w:r>
        <w:separator/>
      </w:r>
    </w:p>
  </w:endnote>
  <w:endnote w:type="continuationSeparator" w:id="0">
    <w:p w14:paraId="1A18F464" w14:textId="77777777" w:rsidR="008F3D38" w:rsidRDefault="008F3D38" w:rsidP="0012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086168C-4E63-6342-BC69-07B5D82729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ECC836-6399-DD43-9CDF-7AAA347302DA}"/>
    <w:embedBold r:id="rId4" w:fontKey="{A9C42317-2499-3C43-938F-575F041E6530}"/>
    <w:embedItalic r:id="rId5" w:fontKey="{C689C255-7884-624E-9408-71191467C689}"/>
    <w:embedBoldItalic r:id="rId6" w:fontKey="{0B97EF49-DE8C-AD49-AA7D-0C8AA1C3EC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5385AA4-E879-9C40-8631-9722626A575E}"/>
    <w:embedBold r:id="rId8" w:fontKey="{8BB694EE-2571-5046-9A06-C5DCF2847650}"/>
    <w:embedItalic r:id="rId9" w:fontKey="{C48B8201-FA6F-314A-A4D4-F0D67E19A871}"/>
    <w:embedBoldItalic r:id="rId10" w:fontKey="{C6F0E99D-373B-5C4C-9FD4-91DDFD6043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857DA9A5-8FA8-B54A-887A-D18E52EAF276}"/>
    <w:embedBold r:id="rId12" w:fontKey="{A602360C-4F81-5F48-AD76-2A1ECC7D1AF6}"/>
    <w:embedItalic r:id="rId13" w:fontKey="{AB10C681-D972-B348-9655-DF6325E97673}"/>
    <w:embedBoldItalic r:id="rId14" w:fontKey="{83185BC1-5BBE-9D4A-9270-0C3875C129F9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FAF3F6DB-F631-9545-BBFD-09D87779C805}"/>
    <w:embedBold r:id="rId17" w:fontKey="{A92D1BB1-F6D0-814E-8F57-D9C57831F7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DD196" w14:textId="77777777" w:rsidR="001277D6" w:rsidRDefault="001277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1B238" w14:textId="77777777" w:rsidR="001277D6" w:rsidRDefault="001277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EB7AB" w14:textId="77777777" w:rsidR="001277D6" w:rsidRDefault="001277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54ADC" w14:textId="77777777" w:rsidR="008F3D38" w:rsidRDefault="008F3D38" w:rsidP="001277D6">
      <w:pPr>
        <w:spacing w:after="0" w:line="240" w:lineRule="auto"/>
      </w:pPr>
      <w:r>
        <w:separator/>
      </w:r>
    </w:p>
  </w:footnote>
  <w:footnote w:type="continuationSeparator" w:id="0">
    <w:p w14:paraId="2B5C2A66" w14:textId="77777777" w:rsidR="008F3D38" w:rsidRDefault="008F3D38" w:rsidP="0012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B235F" w14:textId="77777777" w:rsidR="001277D6" w:rsidRDefault="001277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5AF83" w14:textId="77777777" w:rsidR="001277D6" w:rsidRDefault="001277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C3DA2" w14:textId="77777777" w:rsidR="001277D6" w:rsidRDefault="00127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B6075"/>
    <w:multiLevelType w:val="multilevel"/>
    <w:tmpl w:val="75BE73DA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5A62B7"/>
    <w:multiLevelType w:val="multilevel"/>
    <w:tmpl w:val="963ACC14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B872B0"/>
    <w:multiLevelType w:val="multilevel"/>
    <w:tmpl w:val="592EC6B8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057536">
    <w:abstractNumId w:val="2"/>
  </w:num>
  <w:num w:numId="2" w16cid:durableId="768279203">
    <w:abstractNumId w:val="1"/>
  </w:num>
  <w:num w:numId="3" w16cid:durableId="1987466401">
    <w:abstractNumId w:val="0"/>
  </w:num>
  <w:num w:numId="4" w16cid:durableId="16022954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2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85481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407"/>
    <w:rsid w:val="0000077D"/>
    <w:rsid w:val="000400F2"/>
    <w:rsid w:val="00113B24"/>
    <w:rsid w:val="001277D6"/>
    <w:rsid w:val="00201786"/>
    <w:rsid w:val="0020720E"/>
    <w:rsid w:val="0030075F"/>
    <w:rsid w:val="0036451B"/>
    <w:rsid w:val="0048507C"/>
    <w:rsid w:val="005F3DD6"/>
    <w:rsid w:val="0066132B"/>
    <w:rsid w:val="00802E33"/>
    <w:rsid w:val="008F3D38"/>
    <w:rsid w:val="009D24FF"/>
    <w:rsid w:val="00AE76F2"/>
    <w:rsid w:val="00B54407"/>
    <w:rsid w:val="00C542E0"/>
    <w:rsid w:val="00DA1FCB"/>
    <w:rsid w:val="00E02592"/>
    <w:rsid w:val="619FA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BC7BE"/>
  <w15:docId w15:val="{ABCA2C8D-33E3-BB46-B73D-3C0E27E3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iHqlTQLzT4hyjufLqmc5x3yaw==">CgMxLjA4AHINMTk0MDM2MTY3MTI2MA==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Clausen, Michelle Elise</cp:lastModifiedBy>
  <cp:revision>3</cp:revision>
  <dcterms:created xsi:type="dcterms:W3CDTF">2026-03-04T22:53:00Z</dcterms:created>
  <dcterms:modified xsi:type="dcterms:W3CDTF">2026-03-04T22:55:00Z</dcterms:modified>
</cp:coreProperties>
</file>