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DB8A7F" w14:textId="77777777" w:rsidR="00087E2D" w:rsidRDefault="00087E2D" w:rsidP="00087E2D">
      <w:pPr>
        <w:pStyle w:val="NormalWeb"/>
        <w:spacing w:before="0" w:beforeAutospacing="0" w:after="0" w:afterAutospacing="0" w:line="480" w:lineRule="auto"/>
        <w:jc w:val="center"/>
      </w:pPr>
    </w:p>
    <w:p w14:paraId="2BC23A05" w14:textId="77777777" w:rsidR="00087E2D" w:rsidRPr="007702B6" w:rsidRDefault="00087E2D" w:rsidP="00087E2D">
      <w:pPr>
        <w:spacing w:after="0" w:line="480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702B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52A76BC" wp14:editId="7919F1FF">
            <wp:extent cx="4585970" cy="2680970"/>
            <wp:effectExtent l="0" t="0" r="5080" b="5080"/>
            <wp:docPr id="1984233963" name="Gráfico 1984233963">
              <a:extLst xmlns:a="http://schemas.openxmlformats.org/drawingml/2006/main">
                <a:ext uri="{FF2B5EF4-FFF2-40B4-BE49-F238E27FC236}">
                  <a16:creationId xmlns:a16="http://schemas.microsoft.com/office/drawing/2014/main" id="{94F1B409-A216-C528-52BC-40D1E5DDB4E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55388A9C" w14:textId="77777777" w:rsidR="00087E2D" w:rsidRPr="007702B6" w:rsidRDefault="00087E2D" w:rsidP="00087E2D">
      <w:pPr>
        <w:pStyle w:val="NormalWeb"/>
        <w:spacing w:before="0" w:beforeAutospacing="0" w:after="0" w:line="480" w:lineRule="auto"/>
        <w:jc w:val="both"/>
        <w:rPr>
          <w:lang w:val="en-US"/>
        </w:rPr>
      </w:pPr>
      <w:r w:rsidRPr="007702B6">
        <w:rPr>
          <w:b/>
          <w:bCs/>
          <w:color w:val="000000" w:themeColor="text1"/>
          <w:lang w:val="en-US"/>
        </w:rPr>
        <w:t>Graph 1.</w:t>
      </w:r>
      <w:r w:rsidRPr="007702B6">
        <w:rPr>
          <w:color w:val="000000" w:themeColor="text1"/>
          <w:lang w:val="en-US"/>
        </w:rPr>
        <w:t xml:space="preserve"> Variation in the number of pollen loads collected during the morning period (07:40–09:42 h), representing the intensity of foraging activity of stingless bees (SLB) in the evaluated nests. </w:t>
      </w:r>
      <w:r w:rsidRPr="007702B6">
        <w:rPr>
          <w:b/>
          <w:bCs/>
          <w:lang w:val="en-US"/>
        </w:rPr>
        <w:t>Source:</w:t>
      </w:r>
      <w:r w:rsidRPr="007702B6">
        <w:rPr>
          <w:lang w:val="en-US"/>
        </w:rPr>
        <w:t xml:space="preserve"> Prepared by the author (2026).</w:t>
      </w:r>
    </w:p>
    <w:p w14:paraId="509414D5" w14:textId="77777777" w:rsidR="00087E2D" w:rsidRDefault="00087E2D" w:rsidP="00087E2D">
      <w:pPr>
        <w:pStyle w:val="NormalWeb"/>
        <w:spacing w:before="0" w:beforeAutospacing="0" w:after="0" w:afterAutospacing="0" w:line="480" w:lineRule="auto"/>
        <w:jc w:val="center"/>
      </w:pPr>
    </w:p>
    <w:p w14:paraId="7A946683" w14:textId="49CB6481" w:rsidR="00087E2D" w:rsidRPr="007702B6" w:rsidRDefault="00087E2D" w:rsidP="00087E2D">
      <w:pPr>
        <w:pStyle w:val="NormalWeb"/>
        <w:spacing w:before="0" w:beforeAutospacing="0" w:after="0" w:afterAutospacing="0" w:line="480" w:lineRule="auto"/>
        <w:jc w:val="center"/>
      </w:pPr>
      <w:r w:rsidRPr="007702B6">
        <w:rPr>
          <w:noProof/>
        </w:rPr>
        <w:drawing>
          <wp:inline distT="0" distB="0" distL="0" distR="0" wp14:anchorId="188675B9" wp14:editId="795EED88">
            <wp:extent cx="4510528" cy="3156452"/>
            <wp:effectExtent l="0" t="0" r="0" b="0"/>
            <wp:docPr id="730477635" name="Gráfico 730477635">
              <a:extLst xmlns:a="http://schemas.openxmlformats.org/drawingml/2006/main">
                <a:ext uri="{FF2B5EF4-FFF2-40B4-BE49-F238E27FC236}">
                  <a16:creationId xmlns:a16="http://schemas.microsoft.com/office/drawing/2014/main" id="{C0527A12-4FFC-CD92-933D-9C0C0ACA441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2A2DB9C2" w14:textId="77777777" w:rsidR="00087E2D" w:rsidRPr="007702B6" w:rsidRDefault="00087E2D" w:rsidP="00087E2D">
      <w:pPr>
        <w:pStyle w:val="NormalWeb"/>
        <w:spacing w:before="0" w:beforeAutospacing="0" w:after="0" w:afterAutospacing="0" w:line="480" w:lineRule="auto"/>
        <w:jc w:val="center"/>
      </w:pPr>
    </w:p>
    <w:p w14:paraId="373C1F38" w14:textId="77777777" w:rsidR="00087E2D" w:rsidRPr="007702B6" w:rsidRDefault="00087E2D" w:rsidP="00087E2D">
      <w:pPr>
        <w:spacing w:after="0" w:line="48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</w:pPr>
      <w:r w:rsidRPr="007702B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pt-BR"/>
          <w14:ligatures w14:val="none"/>
        </w:rPr>
        <w:t>Graph 2.</w:t>
      </w:r>
      <w:r w:rsidRPr="007702B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 Incidence of botanical families identified in pollen loads collected from stingless bee (SLB) nests, expressed as the number of records per family during the sampling period. </w:t>
      </w:r>
      <w:r w:rsidRPr="007702B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pt-BR"/>
          <w14:ligatures w14:val="none"/>
        </w:rPr>
        <w:t>Source:</w:t>
      </w:r>
      <w:r w:rsidRPr="007702B6"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  <w:t xml:space="preserve"> Prepared by the author.</w:t>
      </w:r>
    </w:p>
    <w:p w14:paraId="629FE7ED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E2D"/>
    <w:rsid w:val="00066677"/>
    <w:rsid w:val="00087E2D"/>
    <w:rsid w:val="00274AEA"/>
    <w:rsid w:val="003A4E89"/>
    <w:rsid w:val="00556784"/>
    <w:rsid w:val="008B07A6"/>
    <w:rsid w:val="00987B63"/>
    <w:rsid w:val="00C8231C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63556"/>
  <w15:chartTrackingRefBased/>
  <w15:docId w15:val="{AEA63F46-E24D-498E-9D27-4D6054140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7E2D"/>
    <w:pPr>
      <w:spacing w:line="259" w:lineRule="auto"/>
    </w:pPr>
    <w:rPr>
      <w:sz w:val="22"/>
      <w:szCs w:val="22"/>
      <w:lang w:val="pt-BR"/>
    </w:rPr>
  </w:style>
  <w:style w:type="paragraph" w:styleId="Heading1">
    <w:name w:val="heading 1"/>
    <w:basedOn w:val="Normal"/>
    <w:next w:val="Normal"/>
    <w:link w:val="Heading1Char"/>
    <w:uiPriority w:val="9"/>
    <w:qFormat/>
    <w:rsid w:val="00087E2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7E2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7E2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7E2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7E2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7E2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7E2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7E2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7E2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7E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7E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7E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7E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7E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7E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7E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7E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7E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7E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087E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7E2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087E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7E2D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087E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7E2D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087E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7E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7E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7E2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087E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d.docs.live.net/340aeba41cd164c7/Documentos/Controle%20coleta_p&#243;len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https://d.docs.live.net/340aeba41cd164c7/Documentos/Controle%20coleta_p&#243;len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[Controle coleta_pólen.xlsx]Planilha6!Tabela dinâmica4</c:name>
    <c:fmtId val="-1"/>
  </c:pivotSource>
  <c:chart>
    <c:autoTitleDeleted val="1"/>
    <c:pivotFmts>
      <c:pivotFmt>
        <c:idx val="0"/>
        <c:spPr>
          <a:solidFill>
            <a:schemeClr val="accent1"/>
          </a:solidFill>
          <a:ln w="22225" cap="rnd">
            <a:solidFill>
              <a:schemeClr val="accent1"/>
            </a:solidFill>
            <a:round/>
          </a:ln>
          <a:effectLst/>
        </c:spPr>
        <c:marker>
          <c:symbol val="diamond"/>
          <c:size val="6"/>
          <c:spPr>
            <a:solidFill>
              <a:schemeClr val="accent1"/>
            </a:solidFill>
            <a:ln w="9525">
              <a:solidFill>
                <a:schemeClr val="accent1"/>
              </a:solidFill>
              <a:round/>
            </a:ln>
            <a:effectLst/>
          </c:spPr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50000"/>
                      <a:lumOff val="50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pt-BR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spPr>
          <a:solidFill>
            <a:schemeClr val="accent1"/>
          </a:solidFill>
          <a:ln w="22225" cap="rnd">
            <a:solidFill>
              <a:schemeClr val="accent1"/>
            </a:solidFill>
            <a:round/>
          </a:ln>
          <a:effectLst/>
        </c:spPr>
        <c:marker>
          <c:symbol val="diamond"/>
          <c:size val="6"/>
          <c:spPr>
            <a:solidFill>
              <a:schemeClr val="accent1"/>
            </a:solidFill>
            <a:ln w="9525">
              <a:solidFill>
                <a:schemeClr val="accent1"/>
              </a:solidFill>
              <a:round/>
            </a:ln>
            <a:effectLst/>
          </c:spPr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50000"/>
                      <a:lumOff val="50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pt-BR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"/>
        <c:spPr>
          <a:solidFill>
            <a:schemeClr val="accent1"/>
          </a:solidFill>
          <a:ln w="22225" cap="rnd">
            <a:solidFill>
              <a:schemeClr val="accent1"/>
            </a:solidFill>
            <a:round/>
          </a:ln>
          <a:effectLst/>
        </c:spPr>
        <c:marker>
          <c:symbol val="diamond"/>
          <c:size val="6"/>
          <c:spPr>
            <a:solidFill>
              <a:schemeClr val="accent1"/>
            </a:solidFill>
            <a:ln w="9525">
              <a:solidFill>
                <a:schemeClr val="accent1"/>
              </a:solidFill>
              <a:round/>
            </a:ln>
            <a:effectLst/>
          </c:spPr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50000"/>
                      <a:lumOff val="50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pt-BR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/>
      <c:lineChart>
        <c:grouping val="standard"/>
        <c:varyColors val="0"/>
        <c:ser>
          <c:idx val="0"/>
          <c:order val="0"/>
          <c:tx>
            <c:strRef>
              <c:f>Planilha6!$J$42</c:f>
              <c:strCache>
                <c:ptCount val="1"/>
                <c:pt idx="0">
                  <c:v>Total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cat>
            <c:strRef>
              <c:f>Planilha6!$I$43:$I$50</c:f>
              <c:strCache>
                <c:ptCount val="7"/>
                <c:pt idx="0">
                  <c:v>07:40</c:v>
                </c:pt>
                <c:pt idx="1">
                  <c:v>08:00</c:v>
                </c:pt>
                <c:pt idx="2">
                  <c:v>08:30</c:v>
                </c:pt>
                <c:pt idx="3">
                  <c:v>09:05</c:v>
                </c:pt>
                <c:pt idx="4">
                  <c:v>09:12</c:v>
                </c:pt>
                <c:pt idx="5">
                  <c:v>09:35</c:v>
                </c:pt>
                <c:pt idx="6">
                  <c:v>09:42</c:v>
                </c:pt>
              </c:strCache>
            </c:strRef>
          </c:cat>
          <c:val>
            <c:numRef>
              <c:f>Planilha6!$J$43:$J$50</c:f>
              <c:numCache>
                <c:formatCode>General</c:formatCode>
                <c:ptCount val="7"/>
                <c:pt idx="0">
                  <c:v>2</c:v>
                </c:pt>
                <c:pt idx="1">
                  <c:v>2</c:v>
                </c:pt>
                <c:pt idx="2">
                  <c:v>2</c:v>
                </c:pt>
                <c:pt idx="3">
                  <c:v>2</c:v>
                </c:pt>
                <c:pt idx="4">
                  <c:v>1</c:v>
                </c:pt>
                <c:pt idx="5">
                  <c:v>2</c:v>
                </c:pt>
                <c:pt idx="6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C4A-41F4-A9D4-3C2C88B3206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301782719"/>
        <c:axId val="1301784159"/>
      </c:lineChart>
      <c:catAx>
        <c:axId val="1301782719"/>
        <c:scaling>
          <c:orientation val="minMax"/>
        </c:scaling>
        <c:delete val="0"/>
        <c:axPos val="b"/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dk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t-BR" sz="1200"/>
                  <a:t>Time (hh:mm)</a:t>
                </a:r>
              </a:p>
            </c:rich>
          </c:tx>
          <c:layout>
            <c:manualLayout>
              <c:xMode val="edge"/>
              <c:yMode val="edge"/>
              <c:x val="0.43158108706224357"/>
              <c:y val="0.8812942468340909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dk1"/>
                  </a:solidFill>
                  <a:latin typeface="+mn-lt"/>
                  <a:ea typeface="+mn-ea"/>
                  <a:cs typeface="+mn-cs"/>
                </a:defRPr>
              </a:pPr>
              <a:endParaRPr lang="pt-B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/>
                </a:solidFill>
                <a:latin typeface="+mn-lt"/>
                <a:ea typeface="+mn-ea"/>
                <a:cs typeface="+mn-cs"/>
              </a:defRPr>
            </a:pPr>
            <a:endParaRPr lang="pt-BR"/>
          </a:p>
        </c:txPr>
        <c:crossAx val="1301784159"/>
        <c:crosses val="autoZero"/>
        <c:auto val="1"/>
        <c:lblAlgn val="ctr"/>
        <c:lblOffset val="100"/>
        <c:noMultiLvlLbl val="0"/>
      </c:catAx>
      <c:valAx>
        <c:axId val="1301784159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dk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t-BR" sz="1200"/>
                  <a:t>Sample (unit)</a:t>
                </a:r>
              </a:p>
            </c:rich>
          </c:tx>
          <c:layout>
            <c:manualLayout>
              <c:xMode val="edge"/>
              <c:yMode val="edge"/>
              <c:x val="1.6655100624566273E-2"/>
              <c:y val="0.2154090113735782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dk1"/>
                  </a:solidFill>
                  <a:latin typeface="+mn-lt"/>
                  <a:ea typeface="+mn-ea"/>
                  <a:cs typeface="+mn-cs"/>
                </a:defRPr>
              </a:pPr>
              <a:endParaRPr lang="pt-B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/>
                </a:solidFill>
                <a:latin typeface="+mn-lt"/>
                <a:ea typeface="+mn-ea"/>
                <a:cs typeface="+mn-cs"/>
              </a:defRPr>
            </a:pPr>
            <a:endParaRPr lang="pt-BR"/>
          </a:p>
        </c:txPr>
        <c:crossAx val="1301782719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lt1"/>
    </a:solidFill>
    <a:ln w="12700" cap="flat" cmpd="sng" algn="ctr">
      <a:noFill/>
      <a:prstDash val="solid"/>
      <a:miter lim="800000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pt-BR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sVisible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radarChart>
        <c:radarStyle val="marker"/>
        <c:varyColors val="0"/>
        <c:ser>
          <c:idx val="0"/>
          <c:order val="0"/>
          <c:tx>
            <c:strRef>
              <c:f>Planilha5!$I$36</c:f>
              <c:strCache>
                <c:ptCount val="1"/>
                <c:pt idx="0">
                  <c:v>Ocorrências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Pt>
            <c:idx val="0"/>
            <c:marker>
              <c:symbol val="circle"/>
              <c:size val="5"/>
              <c:spPr>
                <a:solidFill>
                  <a:schemeClr val="accent1"/>
                </a:solidFill>
                <a:ln w="9525">
                  <a:solidFill>
                    <a:srgbClr val="7030A0"/>
                  </a:solidFill>
                </a:ln>
                <a:effectLst/>
              </c:spPr>
            </c:marker>
            <c:bubble3D val="0"/>
            <c:spPr>
              <a:ln w="28575" cap="rnd">
                <a:solidFill>
                  <a:srgbClr val="7030A0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1-FDB9-4185-806A-98E682441521}"/>
              </c:ext>
            </c:extLst>
          </c:dPt>
          <c:dPt>
            <c:idx val="1"/>
            <c:marker>
              <c:symbol val="circle"/>
              <c:size val="5"/>
              <c:spPr>
                <a:solidFill>
                  <a:schemeClr val="accent1"/>
                </a:solidFill>
                <a:ln w="9525">
                  <a:solidFill>
                    <a:srgbClr val="FFFF00"/>
                  </a:solidFill>
                </a:ln>
                <a:effectLst/>
              </c:spPr>
            </c:marker>
            <c:bubble3D val="0"/>
            <c:spPr>
              <a:ln w="28575" cap="rnd">
                <a:solidFill>
                  <a:srgbClr val="FFFF00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3-FDB9-4185-806A-98E682441521}"/>
              </c:ext>
            </c:extLst>
          </c:dPt>
          <c:dPt>
            <c:idx val="2"/>
            <c:marker>
              <c:symbol val="circle"/>
              <c:size val="5"/>
              <c:spPr>
                <a:solidFill>
                  <a:schemeClr val="accent1"/>
                </a:solidFill>
                <a:ln w="9525">
                  <a:solidFill>
                    <a:srgbClr val="FF0000"/>
                  </a:solidFill>
                </a:ln>
                <a:effectLst/>
              </c:spPr>
            </c:marker>
            <c:bubble3D val="0"/>
            <c:spPr>
              <a:ln w="28575" cap="rnd">
                <a:solidFill>
                  <a:srgbClr val="FF0000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5-FDB9-4185-806A-98E682441521}"/>
              </c:ext>
            </c:extLst>
          </c:dPt>
          <c:dPt>
            <c:idx val="3"/>
            <c:marker>
              <c:symbol val="circle"/>
              <c:size val="5"/>
              <c:spPr>
                <a:solidFill>
                  <a:schemeClr val="accent1"/>
                </a:solidFill>
                <a:ln w="9525">
                  <a:solidFill>
                    <a:srgbClr val="00B050"/>
                  </a:solidFill>
                </a:ln>
                <a:effectLst/>
              </c:spPr>
            </c:marker>
            <c:bubble3D val="0"/>
            <c:spPr>
              <a:ln w="28575" cap="rnd">
                <a:solidFill>
                  <a:srgbClr val="00B050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7-FDB9-4185-806A-98E682441521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6576" tIns="18288" rIns="36576" bIns="18288" anchor="ctr" anchorCtr="0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pt-BR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  <c15:showLeaderLines val="0"/>
              </c:ext>
            </c:extLst>
          </c:dLbls>
          <c:cat>
            <c:strRef>
              <c:f>Planilha5!$H$37:$H$40</c:f>
              <c:strCache>
                <c:ptCount val="4"/>
                <c:pt idx="0">
                  <c:v>Myrtaceae</c:v>
                </c:pt>
                <c:pt idx="1">
                  <c:v>Bignoniaceae</c:v>
                </c:pt>
                <c:pt idx="2">
                  <c:v>Turneraceae</c:v>
                </c:pt>
                <c:pt idx="3">
                  <c:v>Anacardiaceae</c:v>
                </c:pt>
              </c:strCache>
            </c:strRef>
          </c:cat>
          <c:val>
            <c:numRef>
              <c:f>Planilha5!$I$37:$I$40</c:f>
              <c:numCache>
                <c:formatCode>General</c:formatCode>
                <c:ptCount val="4"/>
                <c:pt idx="0">
                  <c:v>4</c:v>
                </c:pt>
                <c:pt idx="1">
                  <c:v>2</c:v>
                </c:pt>
                <c:pt idx="2">
                  <c:v>1</c:v>
                </c:pt>
                <c:pt idx="3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FDB9-4185-806A-98E68244152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92517680"/>
        <c:axId val="792514768"/>
      </c:radarChart>
      <c:catAx>
        <c:axId val="79251768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pt-BR"/>
          </a:p>
        </c:txPr>
        <c:crossAx val="792514768"/>
        <c:crosses val="autoZero"/>
        <c:auto val="1"/>
        <c:lblAlgn val="ctr"/>
        <c:lblOffset val="100"/>
        <c:noMultiLvlLbl val="0"/>
      </c:catAx>
      <c:valAx>
        <c:axId val="792514768"/>
        <c:scaling>
          <c:orientation val="minMax"/>
          <c:max val="8"/>
          <c:min val="0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out"/>
        <c:minorTickMark val="none"/>
        <c:tickLblPos val="nextTo"/>
        <c:crossAx val="79251768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1325530078130531"/>
          <c:y val="0.84073063970991113"/>
          <c:w val="0.57550357014166265"/>
          <c:h val="0.1448467983722519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1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pt-BR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 sz="1200">
          <a:solidFill>
            <a:schemeClr val="tx1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pt-B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70</Words>
  <Characters>384</Characters>
  <Application>Microsoft Office Word</Application>
  <DocSecurity>0</DocSecurity>
  <Lines>11</Lines>
  <Paragraphs>2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2026-03-12T04:33:00Z</dcterms:created>
  <dcterms:modified xsi:type="dcterms:W3CDTF">2026-03-12T04:34:00Z</dcterms:modified>
</cp:coreProperties>
</file>