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28999" w14:textId="77777777" w:rsidR="00126364" w:rsidRDefault="00126364" w:rsidP="0012636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3FA1">
        <w:rPr>
          <w:rFonts w:ascii="Times New Roman" w:hAnsi="Times New Roman" w:cs="Times New Roman"/>
          <w:b/>
          <w:bCs/>
          <w:sz w:val="24"/>
          <w:szCs w:val="24"/>
        </w:rPr>
        <w:t>Extended Data</w:t>
      </w:r>
    </w:p>
    <w:p w14:paraId="60E58E11" w14:textId="77777777" w:rsidR="00126364" w:rsidRDefault="00126364" w:rsidP="0012636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10D0C65" wp14:editId="1CA162DF">
            <wp:extent cx="5731510" cy="2917190"/>
            <wp:effectExtent l="0" t="0" r="2540" b="0"/>
            <wp:docPr id="778317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317387" name="Picture 77831738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81A0F" w14:textId="77777777" w:rsidR="00126364" w:rsidRPr="003E3B67" w:rsidRDefault="00126364" w:rsidP="00126364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E3B67">
        <w:rPr>
          <w:rFonts w:ascii="Times New Roman" w:hAnsi="Times New Roman" w:cs="Times New Roman"/>
          <w:b/>
          <w:bCs/>
          <w:sz w:val="20"/>
          <w:szCs w:val="20"/>
        </w:rPr>
        <w:t>Extended Data Figure 1</w:t>
      </w:r>
      <w:r w:rsidRPr="003E3B67">
        <w:rPr>
          <w:rFonts w:ascii="Times New Roman" w:hAnsi="Times New Roman" w:cs="Times New Roman"/>
          <w:sz w:val="20"/>
          <w:szCs w:val="20"/>
        </w:rPr>
        <w:t>: Failure modes at high injection strength.Visual analysis identifies critical operational boundaries where excessive injection strength (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λ</m:t>
        </m:r>
        <m:r>
          <w:rPr>
            <w:rFonts w:ascii="Cambria Math" w:hAnsi="Cambria Math" w:cs="Times New Roman"/>
            <w:sz w:val="20"/>
            <w:szCs w:val="20"/>
          </w:rPr>
          <m:t>= 1.0</m:t>
        </m:r>
      </m:oMath>
      <w:r w:rsidRPr="003E3B67">
        <w:rPr>
          <w:rFonts w:ascii="Times New Roman" w:hAnsi="Times New Roman" w:cs="Times New Roman"/>
          <w:sz w:val="20"/>
          <w:szCs w:val="20"/>
        </w:rPr>
        <w:t>) induces manifold departure. Left: Semantic collapse occurs as the procedural signal overpowers learned priors, resulting in recognizable geometric artifacts. Right: Grid artifacts demonstrate the blow-over effect, where rigid structures fail to reconcile with the expected Gaussian distribution.</w:t>
      </w:r>
    </w:p>
    <w:p w14:paraId="3D5CA344" w14:textId="77777777" w:rsidR="00126364" w:rsidRDefault="00126364" w:rsidP="001263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F03E2C" w14:textId="77777777" w:rsidR="00126364" w:rsidRDefault="00126364" w:rsidP="0012636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65AD94E" wp14:editId="7FFFDC20">
            <wp:extent cx="5731510" cy="3204845"/>
            <wp:effectExtent l="0" t="0" r="2540" b="0"/>
            <wp:docPr id="2439254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925400" name="Picture 24392540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DE8FE" w14:textId="77777777" w:rsidR="00126364" w:rsidRPr="003E3B67" w:rsidRDefault="00126364" w:rsidP="00126364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E3B67">
        <w:rPr>
          <w:rFonts w:ascii="Times New Roman" w:hAnsi="Times New Roman" w:cs="Times New Roman"/>
          <w:b/>
          <w:bCs/>
          <w:sz w:val="20"/>
          <w:szCs w:val="20"/>
        </w:rPr>
        <w:t>Extended Data Figure 2</w:t>
      </w:r>
      <w:r w:rsidRPr="003E3B67">
        <w:rPr>
          <w:rFonts w:ascii="Times New Roman" w:hAnsi="Times New Roman" w:cs="Times New Roman"/>
          <w:sz w:val="20"/>
          <w:szCs w:val="20"/>
        </w:rPr>
        <w:t xml:space="preserve">: Pattern dictionary and kernel specifications. Technical visualizations illustrate the mathematical primitives used as non-linguistic prompts. </w:t>
      </w:r>
      <w:r w:rsidRPr="003E3B67">
        <w:rPr>
          <w:rFonts w:ascii="Times New Roman" w:hAnsi="Times New Roman" w:cs="Times New Roman"/>
          <w:i/>
          <w:iCs/>
          <w:sz w:val="20"/>
          <w:szCs w:val="20"/>
        </w:rPr>
        <w:t>Primitive A</w:t>
      </w:r>
      <w:r w:rsidRPr="003E3B67">
        <w:rPr>
          <w:rFonts w:ascii="Times New Roman" w:hAnsi="Times New Roman" w:cs="Times New Roman"/>
          <w:sz w:val="20"/>
          <w:szCs w:val="20"/>
        </w:rPr>
        <w:t xml:space="preserve">: Gaussian focal kernel synthesized via radial basis functions to enforce central compositional focus. </w:t>
      </w:r>
      <w:r w:rsidRPr="003E3B67">
        <w:rPr>
          <w:rFonts w:ascii="Times New Roman" w:hAnsi="Times New Roman" w:cs="Times New Roman"/>
          <w:i/>
          <w:iCs/>
          <w:sz w:val="20"/>
          <w:szCs w:val="20"/>
        </w:rPr>
        <w:t>Primitive B</w:t>
      </w:r>
      <w:r w:rsidRPr="003E3B67">
        <w:rPr>
          <w:rFonts w:ascii="Times New Roman" w:hAnsi="Times New Roman" w:cs="Times New Roman"/>
          <w:sz w:val="20"/>
          <w:szCs w:val="20"/>
        </w:rPr>
        <w:t>: Nyquist checkerboard providing a high-frequency spatial prior to steer micro-scale textural densities.</w:t>
      </w:r>
    </w:p>
    <w:p w14:paraId="3B3004EE" w14:textId="77777777" w:rsidR="00126364" w:rsidRPr="003E3B67" w:rsidRDefault="00126364" w:rsidP="00126364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3E3B67">
        <w:rPr>
          <w:rFonts w:asciiTheme="majorBidi" w:hAnsiTheme="majorBidi" w:cstheme="majorBidi"/>
          <w:b/>
          <w:bCs/>
          <w:sz w:val="20"/>
          <w:szCs w:val="20"/>
        </w:rPr>
        <w:lastRenderedPageBreak/>
        <w:t>Extended Data Table 1</w:t>
      </w:r>
      <w:r w:rsidRPr="003E3B67">
        <w:rPr>
          <w:rFonts w:asciiTheme="majorBidi" w:hAnsiTheme="majorBidi" w:cstheme="majorBidi"/>
          <w:sz w:val="20"/>
          <w:szCs w:val="20"/>
        </w:rPr>
        <w:t xml:space="preserve">: Full ablation matrix across all steps and </w:t>
      </w:r>
      <m:oMath>
        <m:r>
          <w:rPr>
            <w:rFonts w:ascii="Cambria Math" w:hAnsi="Cambria Math" w:cstheme="majorBidi"/>
            <w:sz w:val="20"/>
            <w:szCs w:val="20"/>
          </w:rPr>
          <m:t>λ</m:t>
        </m:r>
      </m:oMath>
      <w:r w:rsidRPr="003E3B67">
        <w:rPr>
          <w:rFonts w:asciiTheme="majorBidi" w:hAnsiTheme="majorBidi" w:cstheme="majorBidi"/>
          <w:sz w:val="20"/>
          <w:szCs w:val="20"/>
        </w:rPr>
        <w:t xml:space="preserve">. Numerical results across the 50-step diffusion trajectory identify a critical </w:t>
      </w:r>
      <w:r w:rsidRPr="003E3B67">
        <w:rPr>
          <w:rFonts w:asciiTheme="majorBidi" w:hAnsiTheme="majorBidi" w:cstheme="majorBidi"/>
          <w:i/>
          <w:iCs/>
          <w:sz w:val="20"/>
          <w:szCs w:val="20"/>
        </w:rPr>
        <w:t>plasticity window</w:t>
      </w:r>
      <w:r w:rsidRPr="003E3B67">
        <w:rPr>
          <w:rFonts w:asciiTheme="majorBidi" w:hAnsiTheme="majorBidi" w:cstheme="majorBidi"/>
          <w:sz w:val="20"/>
          <w:szCs w:val="20"/>
        </w:rPr>
        <w:t xml:space="preserve"> (steps 10–20). Peak structural alignment (CLIP = 30.0) is achieved using a central focus pattern at step 20 with </w:t>
      </w:r>
      <m:oMath>
        <m:r>
          <w:rPr>
            <w:rFonts w:ascii="Cambria Math" w:hAnsi="Cambria Math" w:cstheme="majorBidi"/>
            <w:sz w:val="20"/>
            <w:szCs w:val="20"/>
          </w:rPr>
          <m:t>λ= 0.4</m:t>
        </m:r>
      </m:oMath>
      <w:r w:rsidRPr="003E3B67">
        <w:rPr>
          <w:rFonts w:asciiTheme="majorBidi" w:hAnsiTheme="majorBidi" w:cstheme="majorBidi"/>
          <w:sz w:val="20"/>
          <w:szCs w:val="20"/>
        </w:rPr>
        <w:t>. Interventions outside this window or at extreme strengths (</w:t>
      </w:r>
      <m:oMath>
        <m:r>
          <w:rPr>
            <w:rFonts w:ascii="Cambria Math" w:hAnsi="Cambria Math" w:cstheme="majorBidi"/>
            <w:sz w:val="20"/>
            <w:szCs w:val="20"/>
          </w:rPr>
          <m:t>λ= 1.0</m:t>
        </m:r>
      </m:oMath>
      <w:r w:rsidRPr="003E3B67">
        <w:rPr>
          <w:rFonts w:asciiTheme="majorBidi" w:hAnsiTheme="majorBidi" w:cstheme="majorBidi"/>
          <w:sz w:val="20"/>
          <w:szCs w:val="20"/>
        </w:rPr>
        <w:t>) show reduced efficacy or semantic decoherence.</w:t>
      </w:r>
    </w:p>
    <w:tbl>
      <w:tblPr>
        <w:tblStyle w:val="TableGrid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6"/>
        <w:gridCol w:w="1438"/>
        <w:gridCol w:w="1309"/>
        <w:gridCol w:w="2040"/>
        <w:gridCol w:w="2103"/>
      </w:tblGrid>
      <w:tr w:rsidR="00126364" w:rsidRPr="00F23FA1" w14:paraId="576FDFF0" w14:textId="77777777" w:rsidTr="00F740C0">
        <w:trPr>
          <w:trHeight w:val="482"/>
        </w:trPr>
        <w:tc>
          <w:tcPr>
            <w:tcW w:w="1183" w:type="pct"/>
            <w:tcBorders>
              <w:top w:val="single" w:sz="4" w:space="0" w:color="auto"/>
            </w:tcBorders>
            <w:vAlign w:val="center"/>
            <w:hideMark/>
          </w:tcPr>
          <w:p w14:paraId="3C3A0231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Pattern</w:t>
            </w:r>
          </w:p>
        </w:tc>
        <w:tc>
          <w:tcPr>
            <w:tcW w:w="797" w:type="pct"/>
            <w:tcBorders>
              <w:top w:val="single" w:sz="4" w:space="0" w:color="auto"/>
            </w:tcBorders>
            <w:vAlign w:val="center"/>
            <w:hideMark/>
          </w:tcPr>
          <w:p w14:paraId="1872E294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Injection Step</w:t>
            </w:r>
          </w:p>
        </w:tc>
        <w:tc>
          <w:tcPr>
            <w:tcW w:w="725" w:type="pct"/>
            <w:tcBorders>
              <w:top w:val="single" w:sz="4" w:space="0" w:color="auto"/>
            </w:tcBorders>
            <w:vAlign w:val="center"/>
            <w:hideMark/>
          </w:tcPr>
          <w:p w14:paraId="0A6AF3E7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Strength (λ)</w:t>
            </w:r>
          </w:p>
        </w:tc>
        <w:tc>
          <w:tcPr>
            <w:tcW w:w="1130" w:type="pct"/>
            <w:tcBorders>
              <w:top w:val="single" w:sz="4" w:space="0" w:color="auto"/>
            </w:tcBorders>
            <w:vAlign w:val="center"/>
            <w:hideMark/>
          </w:tcPr>
          <w:p w14:paraId="441B97DF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CLIP Alignment Score</w:t>
            </w:r>
          </w:p>
        </w:tc>
        <w:tc>
          <w:tcPr>
            <w:tcW w:w="1165" w:type="pct"/>
            <w:tcBorders>
              <w:top w:val="single" w:sz="4" w:space="0" w:color="auto"/>
            </w:tcBorders>
            <w:vAlign w:val="center"/>
            <w:hideMark/>
          </w:tcPr>
          <w:p w14:paraId="719E0D44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Structure Score (LPIPS)</w:t>
            </w:r>
          </w:p>
        </w:tc>
      </w:tr>
      <w:tr w:rsidR="00126364" w:rsidRPr="00F23FA1" w14:paraId="2EF2B194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79EEEC4D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5DEC3850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4A393618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0.0</w:t>
            </w:r>
          </w:p>
        </w:tc>
        <w:tc>
          <w:tcPr>
            <w:tcW w:w="1130" w:type="pct"/>
            <w:vAlign w:val="center"/>
            <w:hideMark/>
          </w:tcPr>
          <w:p w14:paraId="0FDD192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24.5</w:t>
            </w:r>
          </w:p>
        </w:tc>
        <w:tc>
          <w:tcPr>
            <w:tcW w:w="1165" w:type="pct"/>
            <w:vAlign w:val="center"/>
            <w:hideMark/>
          </w:tcPr>
          <w:p w14:paraId="301BA0C0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0.446</w:t>
            </w:r>
          </w:p>
        </w:tc>
      </w:tr>
      <w:tr w:rsidR="00126364" w:rsidRPr="00F23FA1" w14:paraId="727D111B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2F934DB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41191BE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7B4F5BA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</w:t>
            </w:r>
          </w:p>
        </w:tc>
        <w:tc>
          <w:tcPr>
            <w:tcW w:w="1130" w:type="pct"/>
            <w:vAlign w:val="center"/>
            <w:hideMark/>
          </w:tcPr>
          <w:p w14:paraId="2E7B27F9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28.35</w:t>
            </w:r>
          </w:p>
        </w:tc>
        <w:tc>
          <w:tcPr>
            <w:tcW w:w="1165" w:type="pct"/>
            <w:vAlign w:val="center"/>
            <w:hideMark/>
          </w:tcPr>
          <w:p w14:paraId="45B9584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0.461</w:t>
            </w:r>
          </w:p>
        </w:tc>
      </w:tr>
      <w:tr w:rsidR="00126364" w:rsidRPr="00F23FA1" w14:paraId="568A7CEF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43062D2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5EFFCE4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16990C6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0.7</w:t>
            </w:r>
          </w:p>
        </w:tc>
        <w:tc>
          <w:tcPr>
            <w:tcW w:w="1130" w:type="pct"/>
            <w:vAlign w:val="center"/>
            <w:hideMark/>
          </w:tcPr>
          <w:p w14:paraId="087C9A84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28.0</w:t>
            </w:r>
          </w:p>
        </w:tc>
        <w:tc>
          <w:tcPr>
            <w:tcW w:w="1165" w:type="pct"/>
            <w:vAlign w:val="center"/>
            <w:hideMark/>
          </w:tcPr>
          <w:p w14:paraId="2F40730D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0.413</w:t>
            </w:r>
          </w:p>
        </w:tc>
      </w:tr>
      <w:tr w:rsidR="00126364" w:rsidRPr="00F23FA1" w14:paraId="6E95C2A9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19E7B40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68F2CDF4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45D4002D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1.0</w:t>
            </w:r>
          </w:p>
        </w:tc>
        <w:tc>
          <w:tcPr>
            <w:tcW w:w="1130" w:type="pct"/>
            <w:vAlign w:val="center"/>
            <w:hideMark/>
          </w:tcPr>
          <w:p w14:paraId="7117A5D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27.3</w:t>
            </w:r>
          </w:p>
        </w:tc>
        <w:tc>
          <w:tcPr>
            <w:tcW w:w="1165" w:type="pct"/>
            <w:vAlign w:val="center"/>
            <w:hideMark/>
          </w:tcPr>
          <w:p w14:paraId="3341639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0.359</w:t>
            </w:r>
          </w:p>
        </w:tc>
      </w:tr>
      <w:tr w:rsidR="00126364" w:rsidRPr="00F23FA1" w14:paraId="4CB804FD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0259B97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472BFB3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7D506A28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0.0</w:t>
            </w:r>
          </w:p>
        </w:tc>
        <w:tc>
          <w:tcPr>
            <w:tcW w:w="1130" w:type="pct"/>
            <w:vAlign w:val="center"/>
            <w:hideMark/>
          </w:tcPr>
          <w:p w14:paraId="11056BD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24.5</w:t>
            </w:r>
          </w:p>
        </w:tc>
        <w:tc>
          <w:tcPr>
            <w:tcW w:w="1165" w:type="pct"/>
            <w:vAlign w:val="center"/>
            <w:hideMark/>
          </w:tcPr>
          <w:p w14:paraId="1806820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0.350</w:t>
            </w:r>
          </w:p>
        </w:tc>
      </w:tr>
      <w:tr w:rsidR="00126364" w:rsidRPr="00F23FA1" w14:paraId="3F42A8CE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4AA436B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18D3543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7E534827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</w:t>
            </w:r>
          </w:p>
        </w:tc>
        <w:tc>
          <w:tcPr>
            <w:tcW w:w="1130" w:type="pct"/>
            <w:vAlign w:val="center"/>
            <w:hideMark/>
          </w:tcPr>
          <w:p w14:paraId="5C03EF8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30.0</w:t>
            </w:r>
          </w:p>
        </w:tc>
        <w:tc>
          <w:tcPr>
            <w:tcW w:w="1165" w:type="pct"/>
            <w:vAlign w:val="center"/>
            <w:hideMark/>
          </w:tcPr>
          <w:p w14:paraId="1E084B6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0.343</w:t>
            </w:r>
          </w:p>
        </w:tc>
      </w:tr>
      <w:tr w:rsidR="00126364" w:rsidRPr="00F23FA1" w14:paraId="7B5F8980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7B52CB9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325A2BA4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4848F1B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0.7</w:t>
            </w:r>
          </w:p>
        </w:tc>
        <w:tc>
          <w:tcPr>
            <w:tcW w:w="1130" w:type="pct"/>
            <w:vAlign w:val="center"/>
            <w:hideMark/>
          </w:tcPr>
          <w:p w14:paraId="316EE49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29.5</w:t>
            </w:r>
          </w:p>
        </w:tc>
        <w:tc>
          <w:tcPr>
            <w:tcW w:w="1165" w:type="pct"/>
            <w:vAlign w:val="center"/>
            <w:hideMark/>
          </w:tcPr>
          <w:p w14:paraId="06440AD0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0.470</w:t>
            </w:r>
          </w:p>
        </w:tc>
      </w:tr>
      <w:tr w:rsidR="00126364" w:rsidRPr="00F23FA1" w14:paraId="2DFA6B0C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1B2AFFB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central_focus</w:t>
            </w:r>
          </w:p>
        </w:tc>
        <w:tc>
          <w:tcPr>
            <w:tcW w:w="797" w:type="pct"/>
            <w:vAlign w:val="center"/>
            <w:hideMark/>
          </w:tcPr>
          <w:p w14:paraId="5B9FFD7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23CAD79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1.0</w:t>
            </w:r>
          </w:p>
        </w:tc>
        <w:tc>
          <w:tcPr>
            <w:tcW w:w="1130" w:type="pct"/>
            <w:vAlign w:val="center"/>
            <w:hideMark/>
          </w:tcPr>
          <w:p w14:paraId="37BD287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28.5</w:t>
            </w:r>
          </w:p>
        </w:tc>
        <w:tc>
          <w:tcPr>
            <w:tcW w:w="1165" w:type="pct"/>
            <w:vAlign w:val="center"/>
            <w:hideMark/>
          </w:tcPr>
          <w:p w14:paraId="6EC59BE4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0.391</w:t>
            </w:r>
          </w:p>
        </w:tc>
      </w:tr>
      <w:tr w:rsidR="00126364" w:rsidRPr="00F23FA1" w14:paraId="19603773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7AE97084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688E6AE4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3AA79F3F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0.0</w:t>
            </w:r>
          </w:p>
        </w:tc>
        <w:tc>
          <w:tcPr>
            <w:tcW w:w="1130" w:type="pct"/>
            <w:vAlign w:val="center"/>
            <w:hideMark/>
          </w:tcPr>
          <w:p w14:paraId="4B94F560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22.7</w:t>
            </w:r>
          </w:p>
        </w:tc>
        <w:tc>
          <w:tcPr>
            <w:tcW w:w="1165" w:type="pct"/>
            <w:vAlign w:val="center"/>
            <w:hideMark/>
          </w:tcPr>
          <w:p w14:paraId="2C963446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0.492</w:t>
            </w:r>
          </w:p>
        </w:tc>
      </w:tr>
      <w:tr w:rsidR="00126364" w:rsidRPr="00F23FA1" w14:paraId="18179A1C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1B3BFE5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6798EEA0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7107519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</w:t>
            </w:r>
          </w:p>
        </w:tc>
        <w:tc>
          <w:tcPr>
            <w:tcW w:w="1130" w:type="pct"/>
            <w:vAlign w:val="center"/>
            <w:hideMark/>
          </w:tcPr>
          <w:p w14:paraId="40D28D3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26.55</w:t>
            </w:r>
          </w:p>
        </w:tc>
        <w:tc>
          <w:tcPr>
            <w:tcW w:w="1165" w:type="pct"/>
            <w:vAlign w:val="center"/>
            <w:hideMark/>
          </w:tcPr>
          <w:p w14:paraId="68802BA7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0.490</w:t>
            </w:r>
          </w:p>
        </w:tc>
      </w:tr>
      <w:tr w:rsidR="00126364" w:rsidRPr="00F23FA1" w14:paraId="220E5284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5C7FE1F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310D7B2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6D39811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0.7</w:t>
            </w:r>
          </w:p>
        </w:tc>
        <w:tc>
          <w:tcPr>
            <w:tcW w:w="1130" w:type="pct"/>
            <w:vAlign w:val="center"/>
            <w:hideMark/>
          </w:tcPr>
          <w:p w14:paraId="521B5DD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26.2</w:t>
            </w:r>
          </w:p>
        </w:tc>
        <w:tc>
          <w:tcPr>
            <w:tcW w:w="1165" w:type="pct"/>
            <w:vAlign w:val="center"/>
            <w:hideMark/>
          </w:tcPr>
          <w:p w14:paraId="7EEB404A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0.453</w:t>
            </w:r>
          </w:p>
        </w:tc>
      </w:tr>
      <w:tr w:rsidR="00126364" w:rsidRPr="00F23FA1" w14:paraId="294425C9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1A8060B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4A0AAF8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16FDD67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1.0</w:t>
            </w:r>
          </w:p>
        </w:tc>
        <w:tc>
          <w:tcPr>
            <w:tcW w:w="1130" w:type="pct"/>
            <w:vAlign w:val="center"/>
            <w:hideMark/>
          </w:tcPr>
          <w:p w14:paraId="2318908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25.5</w:t>
            </w:r>
          </w:p>
        </w:tc>
        <w:tc>
          <w:tcPr>
            <w:tcW w:w="1165" w:type="pct"/>
            <w:vAlign w:val="center"/>
            <w:hideMark/>
          </w:tcPr>
          <w:p w14:paraId="006E79D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0.454</w:t>
            </w:r>
          </w:p>
        </w:tc>
      </w:tr>
      <w:tr w:rsidR="00126364" w:rsidRPr="00F23FA1" w14:paraId="3229A0B9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366A683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2B2CBCF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6E59391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0.0</w:t>
            </w:r>
          </w:p>
        </w:tc>
        <w:tc>
          <w:tcPr>
            <w:tcW w:w="1130" w:type="pct"/>
            <w:vAlign w:val="center"/>
            <w:hideMark/>
          </w:tcPr>
          <w:p w14:paraId="6FF156B7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22.7</w:t>
            </w:r>
          </w:p>
        </w:tc>
        <w:tc>
          <w:tcPr>
            <w:tcW w:w="1165" w:type="pct"/>
            <w:vAlign w:val="center"/>
            <w:hideMark/>
          </w:tcPr>
          <w:p w14:paraId="18989F7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0.363</w:t>
            </w:r>
          </w:p>
        </w:tc>
      </w:tr>
      <w:tr w:rsidR="00126364" w:rsidRPr="00F23FA1" w14:paraId="063F02C7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0207978D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784DB47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58122F6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</w:t>
            </w:r>
          </w:p>
        </w:tc>
        <w:tc>
          <w:tcPr>
            <w:tcW w:w="1130" w:type="pct"/>
            <w:vAlign w:val="center"/>
            <w:hideMark/>
          </w:tcPr>
          <w:p w14:paraId="4CB2377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28.2</w:t>
            </w:r>
          </w:p>
        </w:tc>
        <w:tc>
          <w:tcPr>
            <w:tcW w:w="1165" w:type="pct"/>
            <w:vAlign w:val="center"/>
            <w:hideMark/>
          </w:tcPr>
          <w:p w14:paraId="6C07E73D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0.493</w:t>
            </w:r>
          </w:p>
        </w:tc>
      </w:tr>
      <w:tr w:rsidR="00126364" w:rsidRPr="00F23FA1" w14:paraId="1E90584A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3A5A4A4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34DFA82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0341F83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0.7</w:t>
            </w:r>
          </w:p>
        </w:tc>
        <w:tc>
          <w:tcPr>
            <w:tcW w:w="1130" w:type="pct"/>
            <w:vAlign w:val="center"/>
            <w:hideMark/>
          </w:tcPr>
          <w:p w14:paraId="14DD3ED7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27.7</w:t>
            </w:r>
          </w:p>
        </w:tc>
        <w:tc>
          <w:tcPr>
            <w:tcW w:w="1165" w:type="pct"/>
            <w:vAlign w:val="center"/>
            <w:hideMark/>
          </w:tcPr>
          <w:p w14:paraId="06C0693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0.333</w:t>
            </w:r>
          </w:p>
        </w:tc>
      </w:tr>
      <w:tr w:rsidR="00126364" w:rsidRPr="00F23FA1" w14:paraId="354D41A9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2297E068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symmetry_vertical</w:t>
            </w:r>
          </w:p>
        </w:tc>
        <w:tc>
          <w:tcPr>
            <w:tcW w:w="797" w:type="pct"/>
            <w:vAlign w:val="center"/>
            <w:hideMark/>
          </w:tcPr>
          <w:p w14:paraId="3788C13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1469F144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1.0</w:t>
            </w:r>
          </w:p>
        </w:tc>
        <w:tc>
          <w:tcPr>
            <w:tcW w:w="1130" w:type="pct"/>
            <w:vAlign w:val="center"/>
            <w:hideMark/>
          </w:tcPr>
          <w:p w14:paraId="3F5988B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26.7</w:t>
            </w:r>
          </w:p>
        </w:tc>
        <w:tc>
          <w:tcPr>
            <w:tcW w:w="1165" w:type="pct"/>
            <w:vAlign w:val="center"/>
            <w:hideMark/>
          </w:tcPr>
          <w:p w14:paraId="68DE5AC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0.430</w:t>
            </w:r>
          </w:p>
        </w:tc>
      </w:tr>
      <w:tr w:rsidR="00126364" w:rsidRPr="00F23FA1" w14:paraId="10786786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6FDCC12A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02EB611F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1AF9954A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0.0</w:t>
            </w:r>
          </w:p>
        </w:tc>
        <w:tc>
          <w:tcPr>
            <w:tcW w:w="1130" w:type="pct"/>
            <w:vAlign w:val="center"/>
            <w:hideMark/>
          </w:tcPr>
          <w:p w14:paraId="73E1061C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21.0</w:t>
            </w:r>
          </w:p>
        </w:tc>
        <w:tc>
          <w:tcPr>
            <w:tcW w:w="1165" w:type="pct"/>
            <w:vAlign w:val="center"/>
            <w:hideMark/>
          </w:tcPr>
          <w:p w14:paraId="1AB442EE" w14:textId="77777777" w:rsidR="00126364" w:rsidRPr="00F23FA1" w:rsidRDefault="00126364" w:rsidP="00F740C0">
            <w:pPr>
              <w:spacing w:after="160"/>
              <w:jc w:val="center"/>
              <w:rPr>
                <w:b/>
                <w:bCs/>
                <w:sz w:val="24"/>
                <w:szCs w:val="24"/>
                <w:lang/>
              </w:rPr>
            </w:pPr>
            <w:r w:rsidRPr="00F23FA1">
              <w:rPr>
                <w:b/>
                <w:bCs/>
                <w:sz w:val="24"/>
                <w:szCs w:val="24"/>
                <w:lang/>
              </w:rPr>
              <w:t>0.389</w:t>
            </w:r>
          </w:p>
        </w:tc>
      </w:tr>
      <w:tr w:rsidR="00126364" w:rsidRPr="00F23FA1" w14:paraId="06518750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762848F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0283D19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160B9D8A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</w:t>
            </w:r>
          </w:p>
        </w:tc>
        <w:tc>
          <w:tcPr>
            <w:tcW w:w="1130" w:type="pct"/>
            <w:vAlign w:val="center"/>
            <w:hideMark/>
          </w:tcPr>
          <w:p w14:paraId="56A7864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24.85</w:t>
            </w:r>
          </w:p>
        </w:tc>
        <w:tc>
          <w:tcPr>
            <w:tcW w:w="1165" w:type="pct"/>
            <w:vAlign w:val="center"/>
            <w:hideMark/>
          </w:tcPr>
          <w:p w14:paraId="73D67B9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0.303</w:t>
            </w:r>
          </w:p>
        </w:tc>
      </w:tr>
      <w:tr w:rsidR="00126364" w:rsidRPr="00F23FA1" w14:paraId="52406B49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00C0C7F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7EC4995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573B581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0.7</w:t>
            </w:r>
          </w:p>
        </w:tc>
        <w:tc>
          <w:tcPr>
            <w:tcW w:w="1130" w:type="pct"/>
            <w:vAlign w:val="center"/>
            <w:hideMark/>
          </w:tcPr>
          <w:p w14:paraId="1AAEC29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24.5</w:t>
            </w:r>
          </w:p>
        </w:tc>
        <w:tc>
          <w:tcPr>
            <w:tcW w:w="1165" w:type="pct"/>
            <w:vAlign w:val="center"/>
            <w:hideMark/>
          </w:tcPr>
          <w:p w14:paraId="3D6B2392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0.429</w:t>
            </w:r>
          </w:p>
        </w:tc>
      </w:tr>
      <w:tr w:rsidR="00126364" w:rsidRPr="00F23FA1" w14:paraId="3767E9A0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0C60A1C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722BAD27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10</w:t>
            </w:r>
          </w:p>
        </w:tc>
        <w:tc>
          <w:tcPr>
            <w:tcW w:w="725" w:type="pct"/>
            <w:vAlign w:val="center"/>
            <w:hideMark/>
          </w:tcPr>
          <w:p w14:paraId="109EAB28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1.0</w:t>
            </w:r>
          </w:p>
        </w:tc>
        <w:tc>
          <w:tcPr>
            <w:tcW w:w="1130" w:type="pct"/>
            <w:vAlign w:val="center"/>
            <w:hideMark/>
          </w:tcPr>
          <w:p w14:paraId="3218C5E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23.8</w:t>
            </w:r>
          </w:p>
        </w:tc>
        <w:tc>
          <w:tcPr>
            <w:tcW w:w="1165" w:type="pct"/>
            <w:vAlign w:val="center"/>
            <w:hideMark/>
          </w:tcPr>
          <w:p w14:paraId="7B6D9E89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0.347</w:t>
            </w:r>
          </w:p>
        </w:tc>
      </w:tr>
      <w:tr w:rsidR="00126364" w:rsidRPr="00F23FA1" w14:paraId="68A9B966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287A82B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7EF51C9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1C56A799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0.0</w:t>
            </w:r>
          </w:p>
        </w:tc>
        <w:tc>
          <w:tcPr>
            <w:tcW w:w="1130" w:type="pct"/>
            <w:vAlign w:val="center"/>
            <w:hideMark/>
          </w:tcPr>
          <w:p w14:paraId="43684ADC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21.0</w:t>
            </w:r>
          </w:p>
        </w:tc>
        <w:tc>
          <w:tcPr>
            <w:tcW w:w="1165" w:type="pct"/>
            <w:vAlign w:val="center"/>
            <w:hideMark/>
          </w:tcPr>
          <w:p w14:paraId="130CAF31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0.454</w:t>
            </w:r>
          </w:p>
        </w:tc>
      </w:tr>
      <w:tr w:rsidR="00126364" w:rsidRPr="00F23FA1" w14:paraId="0F37E519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523A6CA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2666FA0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5793346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</w:t>
            </w:r>
          </w:p>
        </w:tc>
        <w:tc>
          <w:tcPr>
            <w:tcW w:w="1130" w:type="pct"/>
            <w:vAlign w:val="center"/>
            <w:hideMark/>
          </w:tcPr>
          <w:p w14:paraId="454DA33D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26.5</w:t>
            </w:r>
          </w:p>
        </w:tc>
        <w:tc>
          <w:tcPr>
            <w:tcW w:w="1165" w:type="pct"/>
            <w:vAlign w:val="center"/>
            <w:hideMark/>
          </w:tcPr>
          <w:p w14:paraId="4E7C3CD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0.425</w:t>
            </w:r>
          </w:p>
        </w:tc>
      </w:tr>
      <w:tr w:rsidR="00126364" w:rsidRPr="00F23FA1" w14:paraId="597C2D6D" w14:textId="77777777" w:rsidTr="00F740C0">
        <w:trPr>
          <w:trHeight w:val="482"/>
        </w:trPr>
        <w:tc>
          <w:tcPr>
            <w:tcW w:w="1183" w:type="pct"/>
            <w:vAlign w:val="center"/>
            <w:hideMark/>
          </w:tcPr>
          <w:p w14:paraId="6E5C9864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vAlign w:val="center"/>
            <w:hideMark/>
          </w:tcPr>
          <w:p w14:paraId="714F29E3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vAlign w:val="center"/>
            <w:hideMark/>
          </w:tcPr>
          <w:p w14:paraId="0506E985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0.7</w:t>
            </w:r>
          </w:p>
        </w:tc>
        <w:tc>
          <w:tcPr>
            <w:tcW w:w="1130" w:type="pct"/>
            <w:vAlign w:val="center"/>
            <w:hideMark/>
          </w:tcPr>
          <w:p w14:paraId="75395720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26.0</w:t>
            </w:r>
          </w:p>
        </w:tc>
        <w:tc>
          <w:tcPr>
            <w:tcW w:w="1165" w:type="pct"/>
            <w:vAlign w:val="center"/>
            <w:hideMark/>
          </w:tcPr>
          <w:p w14:paraId="33D04F3A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0.482</w:t>
            </w:r>
          </w:p>
        </w:tc>
      </w:tr>
      <w:tr w:rsidR="00126364" w:rsidRPr="00F23FA1" w14:paraId="6B7A4205" w14:textId="77777777" w:rsidTr="00F740C0">
        <w:trPr>
          <w:trHeight w:val="482"/>
        </w:trPr>
        <w:tc>
          <w:tcPr>
            <w:tcW w:w="1183" w:type="pct"/>
            <w:tcBorders>
              <w:bottom w:val="single" w:sz="4" w:space="0" w:color="auto"/>
            </w:tcBorders>
            <w:vAlign w:val="center"/>
            <w:hideMark/>
          </w:tcPr>
          <w:p w14:paraId="0BE781C6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high_freq_texture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vAlign w:val="center"/>
            <w:hideMark/>
          </w:tcPr>
          <w:p w14:paraId="4B6A2DDE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20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vAlign w:val="center"/>
            <w:hideMark/>
          </w:tcPr>
          <w:p w14:paraId="436E8C8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1.0</w:t>
            </w:r>
          </w:p>
        </w:tc>
        <w:tc>
          <w:tcPr>
            <w:tcW w:w="1130" w:type="pct"/>
            <w:tcBorders>
              <w:bottom w:val="single" w:sz="4" w:space="0" w:color="auto"/>
            </w:tcBorders>
            <w:vAlign w:val="center"/>
            <w:hideMark/>
          </w:tcPr>
          <w:p w14:paraId="031283BF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25.0</w:t>
            </w:r>
          </w:p>
        </w:tc>
        <w:tc>
          <w:tcPr>
            <w:tcW w:w="1165" w:type="pct"/>
            <w:tcBorders>
              <w:bottom w:val="single" w:sz="4" w:space="0" w:color="auto"/>
            </w:tcBorders>
            <w:vAlign w:val="center"/>
            <w:hideMark/>
          </w:tcPr>
          <w:p w14:paraId="7854E24B" w14:textId="77777777" w:rsidR="00126364" w:rsidRPr="00F23FA1" w:rsidRDefault="00126364" w:rsidP="00F740C0">
            <w:pPr>
              <w:spacing w:after="160"/>
              <w:jc w:val="center"/>
              <w:rPr>
                <w:sz w:val="24"/>
                <w:szCs w:val="24"/>
                <w:lang/>
              </w:rPr>
            </w:pPr>
            <w:r w:rsidRPr="00F23FA1">
              <w:rPr>
                <w:sz w:val="24"/>
                <w:szCs w:val="24"/>
                <w:lang/>
              </w:rPr>
              <w:t>0.405</w:t>
            </w:r>
          </w:p>
        </w:tc>
      </w:tr>
    </w:tbl>
    <w:p w14:paraId="4C43A470" w14:textId="77777777" w:rsidR="00126364" w:rsidRDefault="00126364" w:rsidP="001263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0848CF" w14:textId="77777777" w:rsidR="00126364" w:rsidRPr="003E3B67" w:rsidRDefault="00126364" w:rsidP="00126364">
      <w:pPr>
        <w:jc w:val="both"/>
        <w:rPr>
          <w:rFonts w:ascii="Times New Roman" w:hAnsi="Times New Roman" w:cs="Times New Roman"/>
          <w:sz w:val="20"/>
          <w:szCs w:val="20"/>
        </w:rPr>
      </w:pPr>
      <w:r w:rsidRPr="003E3B67">
        <w:rPr>
          <w:rFonts w:ascii="Times New Roman" w:hAnsi="Times New Roman" w:cs="Times New Roman"/>
          <w:b/>
          <w:bCs/>
          <w:sz w:val="20"/>
          <w:szCs w:val="20"/>
        </w:rPr>
        <w:lastRenderedPageBreak/>
        <w:t>Extended Data Table 2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3E3B67">
        <w:rPr>
          <w:rFonts w:ascii="Times New Roman" w:hAnsi="Times New Roman" w:cs="Times New Roman"/>
          <w:sz w:val="20"/>
          <w:szCs w:val="20"/>
        </w:rPr>
        <w:t>Per-domain robustness metrics.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E3B67">
        <w:rPr>
          <w:rFonts w:ascii="Times New Roman" w:hAnsi="Times New Roman" w:cs="Times New Roman"/>
          <w:sz w:val="20"/>
          <w:szCs w:val="20"/>
        </w:rPr>
        <w:t xml:space="preserve">Cross-domain evaluation quantifies the stability of procedural steering across diverse image distributions. Strong structural registration (CLIP = 28.35) is observed in the medical domain using vertical symmetry at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λ</m:t>
        </m:r>
        <m:r>
          <w:rPr>
            <w:rFonts w:ascii="Cambria Math" w:hAnsi="Cambria Math" w:cs="Times New Roman"/>
            <w:sz w:val="20"/>
            <w:szCs w:val="20"/>
          </w:rPr>
          <m:t>= 0.45</m:t>
        </m:r>
      </m:oMath>
      <w:r w:rsidRPr="003E3B67">
        <w:rPr>
          <w:rFonts w:ascii="Times New Roman" w:hAnsi="Times New Roman" w:cs="Times New Roman"/>
          <w:sz w:val="20"/>
          <w:szCs w:val="20"/>
        </w:rPr>
        <w:t>. Failures at higher strengths (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λ≥</m:t>
        </m:r>
        <m:r>
          <w:rPr>
            <w:rFonts w:ascii="Cambria Math" w:hAnsi="Cambria Math" w:cs="Times New Roman"/>
            <w:sz w:val="20"/>
            <w:szCs w:val="20"/>
          </w:rPr>
          <m:t>0.65</m:t>
        </m:r>
      </m:oMath>
      <w:r w:rsidRPr="003E3B67">
        <w:rPr>
          <w:rFonts w:ascii="Times New Roman" w:hAnsi="Times New Roman" w:cs="Times New Roman"/>
          <w:sz w:val="20"/>
          <w:szCs w:val="20"/>
        </w:rPr>
        <w:t>) in science and art domains reinforce the need for balanced injection power.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0"/>
        <w:gridCol w:w="2018"/>
        <w:gridCol w:w="2195"/>
        <w:gridCol w:w="1847"/>
        <w:gridCol w:w="1226"/>
      </w:tblGrid>
      <w:tr w:rsidR="00126364" w:rsidRPr="00F23FA1" w14:paraId="5ADB1110" w14:textId="77777777" w:rsidTr="00F740C0">
        <w:trPr>
          <w:trHeight w:val="567"/>
        </w:trPr>
        <w:tc>
          <w:tcPr>
            <w:tcW w:w="964" w:type="pct"/>
            <w:tcBorders>
              <w:top w:val="single" w:sz="4" w:space="0" w:color="auto"/>
            </w:tcBorders>
            <w:vAlign w:val="center"/>
            <w:hideMark/>
          </w:tcPr>
          <w:p w14:paraId="0ADE0B2A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Domain</w:t>
            </w:r>
          </w:p>
        </w:tc>
        <w:tc>
          <w:tcPr>
            <w:tcW w:w="1118" w:type="pct"/>
            <w:tcBorders>
              <w:top w:val="single" w:sz="4" w:space="0" w:color="auto"/>
            </w:tcBorders>
            <w:vAlign w:val="center"/>
            <w:hideMark/>
          </w:tcPr>
          <w:p w14:paraId="035EF532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Pattern Used</w:t>
            </w:r>
          </w:p>
        </w:tc>
        <w:tc>
          <w:tcPr>
            <w:tcW w:w="1216" w:type="pct"/>
            <w:tcBorders>
              <w:top w:val="single" w:sz="4" w:space="0" w:color="auto"/>
            </w:tcBorders>
            <w:vAlign w:val="center"/>
            <w:hideMark/>
          </w:tcPr>
          <w:p w14:paraId="6CF135B6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Injection Strength</w:t>
            </w:r>
          </w:p>
        </w:tc>
        <w:tc>
          <w:tcPr>
            <w:tcW w:w="1023" w:type="pct"/>
            <w:tcBorders>
              <w:top w:val="single" w:sz="4" w:space="0" w:color="auto"/>
            </w:tcBorders>
            <w:vAlign w:val="center"/>
            <w:hideMark/>
          </w:tcPr>
          <w:p w14:paraId="7CA669F2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CLIP Retention</w:t>
            </w:r>
          </w:p>
        </w:tc>
        <w:tc>
          <w:tcPr>
            <w:tcW w:w="679" w:type="pct"/>
            <w:tcBorders>
              <w:top w:val="single" w:sz="4" w:space="0" w:color="auto"/>
            </w:tcBorders>
            <w:vAlign w:val="center"/>
            <w:hideMark/>
          </w:tcPr>
          <w:p w14:paraId="173B593C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Status</w:t>
            </w:r>
          </w:p>
        </w:tc>
      </w:tr>
      <w:tr w:rsidR="00126364" w:rsidRPr="00F23FA1" w14:paraId="46599B53" w14:textId="77777777" w:rsidTr="00F740C0">
        <w:trPr>
          <w:trHeight w:val="567"/>
        </w:trPr>
        <w:tc>
          <w:tcPr>
            <w:tcW w:w="964" w:type="pct"/>
            <w:vAlign w:val="center"/>
            <w:hideMark/>
          </w:tcPr>
          <w:p w14:paraId="212A6A7B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Medical</w:t>
            </w:r>
          </w:p>
        </w:tc>
        <w:tc>
          <w:tcPr>
            <w:tcW w:w="1118" w:type="pct"/>
            <w:vAlign w:val="center"/>
            <w:hideMark/>
          </w:tcPr>
          <w:p w14:paraId="7343B816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symmetry_vertical</w:t>
            </w:r>
          </w:p>
        </w:tc>
        <w:tc>
          <w:tcPr>
            <w:tcW w:w="1216" w:type="pct"/>
            <w:vAlign w:val="center"/>
            <w:hideMark/>
          </w:tcPr>
          <w:p w14:paraId="07FA282B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0.45</w:t>
            </w:r>
          </w:p>
        </w:tc>
        <w:tc>
          <w:tcPr>
            <w:tcW w:w="1023" w:type="pct"/>
            <w:vAlign w:val="center"/>
            <w:hideMark/>
          </w:tcPr>
          <w:p w14:paraId="22E3BCFC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28.35</w:t>
            </w:r>
          </w:p>
        </w:tc>
        <w:tc>
          <w:tcPr>
            <w:tcW w:w="679" w:type="pct"/>
            <w:vAlign w:val="center"/>
            <w:hideMark/>
          </w:tcPr>
          <w:p w14:paraId="15D5CE57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Success</w:t>
            </w:r>
          </w:p>
        </w:tc>
      </w:tr>
      <w:tr w:rsidR="00126364" w:rsidRPr="00F23FA1" w14:paraId="5E33567D" w14:textId="77777777" w:rsidTr="00F740C0">
        <w:trPr>
          <w:trHeight w:val="567"/>
        </w:trPr>
        <w:tc>
          <w:tcPr>
            <w:tcW w:w="964" w:type="pct"/>
            <w:vAlign w:val="center"/>
            <w:hideMark/>
          </w:tcPr>
          <w:p w14:paraId="76A89012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Science</w:t>
            </w:r>
          </w:p>
        </w:tc>
        <w:tc>
          <w:tcPr>
            <w:tcW w:w="1118" w:type="pct"/>
            <w:vAlign w:val="center"/>
            <w:hideMark/>
          </w:tcPr>
          <w:p w14:paraId="3BAC0956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high_freq_texture</w:t>
            </w:r>
          </w:p>
        </w:tc>
        <w:tc>
          <w:tcPr>
            <w:tcW w:w="1216" w:type="pct"/>
            <w:vAlign w:val="center"/>
            <w:hideMark/>
          </w:tcPr>
          <w:p w14:paraId="51EEF964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0.65</w:t>
            </w:r>
          </w:p>
        </w:tc>
        <w:tc>
          <w:tcPr>
            <w:tcW w:w="1023" w:type="pct"/>
            <w:vAlign w:val="center"/>
            <w:hideMark/>
          </w:tcPr>
          <w:p w14:paraId="57E2404D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20.92</w:t>
            </w:r>
          </w:p>
        </w:tc>
        <w:tc>
          <w:tcPr>
            <w:tcW w:w="679" w:type="pct"/>
            <w:vAlign w:val="center"/>
            <w:hideMark/>
          </w:tcPr>
          <w:p w14:paraId="1DC9B50C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Failure</w:t>
            </w:r>
          </w:p>
        </w:tc>
      </w:tr>
      <w:tr w:rsidR="00126364" w:rsidRPr="00F23FA1" w14:paraId="33B5CA30" w14:textId="77777777" w:rsidTr="00F740C0">
        <w:trPr>
          <w:trHeight w:val="567"/>
        </w:trPr>
        <w:tc>
          <w:tcPr>
            <w:tcW w:w="964" w:type="pct"/>
            <w:tcBorders>
              <w:bottom w:val="single" w:sz="4" w:space="0" w:color="auto"/>
            </w:tcBorders>
            <w:vAlign w:val="center"/>
            <w:hideMark/>
          </w:tcPr>
          <w:p w14:paraId="7289DE09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Art</w:t>
            </w:r>
          </w:p>
        </w:tc>
        <w:tc>
          <w:tcPr>
            <w:tcW w:w="1118" w:type="pct"/>
            <w:tcBorders>
              <w:bottom w:val="single" w:sz="4" w:space="0" w:color="auto"/>
            </w:tcBorders>
            <w:vAlign w:val="center"/>
            <w:hideMark/>
          </w:tcPr>
          <w:p w14:paraId="2E17FD4D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central_focus</w:t>
            </w:r>
          </w:p>
        </w:tc>
        <w:tc>
          <w:tcPr>
            <w:tcW w:w="1216" w:type="pct"/>
            <w:tcBorders>
              <w:bottom w:val="single" w:sz="4" w:space="0" w:color="auto"/>
            </w:tcBorders>
            <w:vAlign w:val="center"/>
            <w:hideMark/>
          </w:tcPr>
          <w:p w14:paraId="695D3A87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0.7</w:t>
            </w:r>
          </w:p>
        </w:tc>
        <w:tc>
          <w:tcPr>
            <w:tcW w:w="1023" w:type="pct"/>
            <w:tcBorders>
              <w:bottom w:val="single" w:sz="4" w:space="0" w:color="auto"/>
            </w:tcBorders>
            <w:vAlign w:val="center"/>
            <w:hideMark/>
          </w:tcPr>
          <w:p w14:paraId="389B38CA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18.98</w:t>
            </w:r>
          </w:p>
        </w:tc>
        <w:tc>
          <w:tcPr>
            <w:tcW w:w="679" w:type="pct"/>
            <w:tcBorders>
              <w:bottom w:val="single" w:sz="4" w:space="0" w:color="auto"/>
            </w:tcBorders>
            <w:vAlign w:val="center"/>
            <w:hideMark/>
          </w:tcPr>
          <w:p w14:paraId="35DE7EDE" w14:textId="77777777" w:rsidR="00126364" w:rsidRPr="00F23FA1" w:rsidRDefault="00126364" w:rsidP="00F740C0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23FA1">
              <w:rPr>
                <w:rFonts w:ascii="Times New Roman" w:hAnsi="Times New Roman" w:cs="Times New Roman"/>
                <w:sz w:val="24"/>
                <w:szCs w:val="24"/>
                <w:lang/>
              </w:rPr>
              <w:t>Failure</w:t>
            </w:r>
          </w:p>
        </w:tc>
      </w:tr>
    </w:tbl>
    <w:p w14:paraId="601A6E79" w14:textId="77777777" w:rsidR="00126364" w:rsidRPr="00F23FA1" w:rsidRDefault="00126364" w:rsidP="001263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0D9F6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64"/>
    <w:rsid w:val="00126364"/>
    <w:rsid w:val="002C7D54"/>
    <w:rsid w:val="0033371E"/>
    <w:rsid w:val="005C0D39"/>
    <w:rsid w:val="0070406C"/>
    <w:rsid w:val="00724754"/>
    <w:rsid w:val="00C321FA"/>
    <w:rsid w:val="00C97210"/>
    <w:rsid w:val="00D516B6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7687E"/>
  <w15:chartTrackingRefBased/>
  <w15:docId w15:val="{864DDDE8-F6B5-4CBD-9AEA-A4D4CE77B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364"/>
    <w:pPr>
      <w:spacing w:line="259" w:lineRule="auto"/>
    </w:pPr>
    <w:rPr>
      <w:sz w:val="22"/>
      <w:szCs w:val="22"/>
      <w:lang w:val="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63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3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36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36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36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36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36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36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36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26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36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26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36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26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364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126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364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12636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126364"/>
    <w:pPr>
      <w:spacing w:after="0" w:line="240" w:lineRule="auto"/>
    </w:pPr>
    <w:rPr>
      <w:sz w:val="22"/>
      <w:szCs w:val="22"/>
      <w:lang w:val="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</Words>
  <Characters>2404</Characters>
  <Application>Microsoft Office Word</Application>
  <DocSecurity>0</DocSecurity>
  <Lines>44</Lines>
  <Paragraphs>20</Paragraphs>
  <ScaleCrop>false</ScaleCrop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2026-04-03T13:06:00Z</dcterms:created>
  <dcterms:modified xsi:type="dcterms:W3CDTF">2026-04-03T13:06:00Z</dcterms:modified>
</cp:coreProperties>
</file>