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1DBAA" w14:textId="5CA0E2F0" w:rsidR="00DA4C16" w:rsidRPr="004B723C" w:rsidRDefault="00F003F7" w:rsidP="007F3A2D">
      <w:pPr>
        <w:pStyle w:val="Heading1"/>
      </w:pPr>
      <w:bookmarkStart w:id="0" w:name="_Toc216645079"/>
      <w:r w:rsidRPr="004B723C">
        <w:t xml:space="preserve">Supplementary </w:t>
      </w:r>
      <w:r w:rsidR="00430305" w:rsidRPr="004B723C">
        <w:t>Appendix</w:t>
      </w:r>
      <w:bookmarkEnd w:id="0"/>
    </w:p>
    <w:p w14:paraId="28CC7571" w14:textId="093B4B5E" w:rsidR="00A20526" w:rsidRPr="004B723C" w:rsidRDefault="00A20526" w:rsidP="007F3A2D">
      <w:pPr>
        <w:pStyle w:val="Heading1"/>
        <w:rPr>
          <w:sz w:val="28"/>
        </w:rPr>
      </w:pPr>
      <w:r w:rsidRPr="004B723C">
        <w:rPr>
          <w:sz w:val="28"/>
        </w:rPr>
        <w:t>Cytomegalovirus Infection Determines Microvascular Inflammation Risk beyond Alloimmunity in Kidney Transplantation</w:t>
      </w:r>
    </w:p>
    <w:p w14:paraId="6A54255F" w14:textId="21EED9FF" w:rsidR="00F43559" w:rsidRPr="004B723C" w:rsidRDefault="007D76E7" w:rsidP="00F43559">
      <w:r w:rsidRPr="004B723C">
        <w:t>Thomas Vanhoutte, Matthias Diebold, Karolien Wellekens, Priyanka Koshi, Jasper Callemeyn, Bertrand Chauveau, Tim Debyser, Steffi De Pelsmaeker, Marie–Paule Emonds, Petra Hruba,</w:t>
      </w:r>
      <w:r w:rsidRPr="004B723C">
        <w:rPr>
          <w:vertAlign w:val="superscript"/>
        </w:rPr>
        <w:t xml:space="preserve"> </w:t>
      </w:r>
      <w:r w:rsidRPr="004B723C">
        <w:t>Dirk Kuypers, Christophe Masset, Angelica Pagliazzi, Elisabeth Puchhammer-Stöckl, Arthur Vranken, Stefan Schaub, Aleksandar Senev, Elisabet Van Loon, Thibaut Vaulet, Hannes Vietzen, Maarten Coemans, Ondrej Viklicky, Georg A. Böhmig, Maarten Naesens</w:t>
      </w:r>
    </w:p>
    <w:p w14:paraId="358F48FA" w14:textId="77777777" w:rsidR="00F43559" w:rsidRPr="004B723C" w:rsidRDefault="00F43559" w:rsidP="00F43559"/>
    <w:p w14:paraId="2F39C86A" w14:textId="77777777" w:rsidR="00F43559" w:rsidRPr="004B723C" w:rsidRDefault="00F43559" w:rsidP="00F43559">
      <w:pPr>
        <w:sectPr w:rsidR="00F43559" w:rsidRPr="004B723C" w:rsidSect="00380509">
          <w:footerReference w:type="default" r:id="rId8"/>
          <w:pgSz w:w="11906" w:h="16838"/>
          <w:pgMar w:top="1417" w:right="1417" w:bottom="1417" w:left="1417" w:header="708" w:footer="708" w:gutter="0"/>
          <w:cols w:space="708"/>
          <w:docGrid w:linePitch="360"/>
        </w:sectPr>
      </w:pPr>
    </w:p>
    <w:p w14:paraId="23FEF29A" w14:textId="632DD7D6" w:rsidR="000F183D" w:rsidRPr="004B723C" w:rsidRDefault="000F183D" w:rsidP="007F3A2D">
      <w:pPr>
        <w:pStyle w:val="Heading1"/>
        <w:spacing w:line="360" w:lineRule="auto"/>
        <w:rPr>
          <w:sz w:val="28"/>
        </w:rPr>
      </w:pPr>
      <w:r w:rsidRPr="004B723C">
        <w:rPr>
          <w:sz w:val="28"/>
        </w:rPr>
        <w:lastRenderedPageBreak/>
        <w:t>Table of contents</w:t>
      </w:r>
    </w:p>
    <w:p w14:paraId="3280D6AC" w14:textId="18AF4541" w:rsidR="000F183D" w:rsidRPr="004B723C" w:rsidRDefault="000F183D" w:rsidP="002A2F54">
      <w:pPr>
        <w:pStyle w:val="TOC1"/>
        <w:spacing w:line="360" w:lineRule="auto"/>
        <w:rPr>
          <w:b w:val="0"/>
          <w:bCs w:val="0"/>
          <w:noProof w:val="0"/>
          <w:sz w:val="24"/>
          <w:szCs w:val="24"/>
        </w:rPr>
      </w:pPr>
      <w:r w:rsidRPr="004B723C">
        <w:rPr>
          <w:b w:val="0"/>
          <w:bCs w:val="0"/>
          <w:noProof w:val="0"/>
          <w:sz w:val="24"/>
          <w:szCs w:val="24"/>
        </w:rPr>
        <w:t xml:space="preserve">Table S1: </w:t>
      </w:r>
      <w:r w:rsidR="000B009C" w:rsidRPr="004B723C">
        <w:rPr>
          <w:b w:val="0"/>
          <w:bCs w:val="0"/>
          <w:noProof w:val="0"/>
          <w:sz w:val="24"/>
          <w:szCs w:val="24"/>
        </w:rPr>
        <w:t>Cohort characteristics by center</w:t>
      </w:r>
      <w:r w:rsidR="000B009C" w:rsidRPr="004B723C" w:rsidDel="000B009C">
        <w:rPr>
          <w:b w:val="0"/>
          <w:bCs w:val="0"/>
          <w:noProof w:val="0"/>
          <w:sz w:val="24"/>
          <w:szCs w:val="24"/>
        </w:rPr>
        <w:t xml:space="preserve"> </w:t>
      </w:r>
    </w:p>
    <w:p w14:paraId="1FD14CD0" w14:textId="3207558E" w:rsidR="000F183D" w:rsidRPr="004B723C" w:rsidRDefault="000F183D" w:rsidP="002A2F54">
      <w:pPr>
        <w:pStyle w:val="TOC1"/>
        <w:spacing w:line="360" w:lineRule="auto"/>
        <w:rPr>
          <w:b w:val="0"/>
          <w:bCs w:val="0"/>
          <w:noProof w:val="0"/>
          <w:sz w:val="24"/>
          <w:szCs w:val="24"/>
        </w:rPr>
      </w:pPr>
      <w:r w:rsidRPr="004B723C">
        <w:rPr>
          <w:b w:val="0"/>
          <w:bCs w:val="0"/>
          <w:noProof w:val="0"/>
          <w:sz w:val="24"/>
          <w:szCs w:val="24"/>
        </w:rPr>
        <w:t>Table S</w:t>
      </w:r>
      <w:r w:rsidR="000B009C" w:rsidRPr="004B723C">
        <w:rPr>
          <w:b w:val="0"/>
          <w:bCs w:val="0"/>
          <w:noProof w:val="0"/>
          <w:sz w:val="24"/>
          <w:szCs w:val="24"/>
        </w:rPr>
        <w:t>2</w:t>
      </w:r>
      <w:r w:rsidRPr="004B723C">
        <w:rPr>
          <w:b w:val="0"/>
          <w:bCs w:val="0"/>
          <w:noProof w:val="0"/>
          <w:sz w:val="24"/>
          <w:szCs w:val="24"/>
        </w:rPr>
        <w:t xml:space="preserve">: </w:t>
      </w:r>
      <w:r w:rsidR="000B009C" w:rsidRPr="004B723C">
        <w:rPr>
          <w:b w:val="0"/>
          <w:bCs w:val="0"/>
          <w:noProof w:val="0"/>
          <w:sz w:val="24"/>
          <w:szCs w:val="24"/>
        </w:rPr>
        <w:t>First</w:t>
      </w:r>
      <w:r w:rsidR="000258D1" w:rsidRPr="004B723C">
        <w:rPr>
          <w:b w:val="0"/>
          <w:bCs w:val="0"/>
          <w:noProof w:val="0"/>
          <w:sz w:val="24"/>
          <w:szCs w:val="24"/>
        </w:rPr>
        <w:t xml:space="preserve"> MVI biop</w:t>
      </w:r>
      <w:r w:rsidR="000B009C" w:rsidRPr="004B723C">
        <w:rPr>
          <w:b w:val="0"/>
          <w:bCs w:val="0"/>
          <w:noProof w:val="0"/>
          <w:sz w:val="24"/>
          <w:szCs w:val="24"/>
        </w:rPr>
        <w:t>sy characteristic</w:t>
      </w:r>
      <w:r w:rsidR="000258D1" w:rsidRPr="004B723C">
        <w:rPr>
          <w:b w:val="0"/>
          <w:bCs w:val="0"/>
          <w:noProof w:val="0"/>
          <w:sz w:val="24"/>
          <w:szCs w:val="24"/>
        </w:rPr>
        <w:t xml:space="preserve"> by CMV serostatus</w:t>
      </w:r>
    </w:p>
    <w:p w14:paraId="3B7C9650" w14:textId="042B3354" w:rsidR="000F183D" w:rsidRPr="004B723C" w:rsidRDefault="000F183D" w:rsidP="002A2F54">
      <w:pPr>
        <w:pStyle w:val="TOC1"/>
        <w:spacing w:line="360" w:lineRule="auto"/>
        <w:rPr>
          <w:b w:val="0"/>
          <w:bCs w:val="0"/>
          <w:noProof w:val="0"/>
          <w:sz w:val="24"/>
          <w:szCs w:val="24"/>
        </w:rPr>
      </w:pPr>
      <w:r w:rsidRPr="004B723C">
        <w:rPr>
          <w:b w:val="0"/>
          <w:bCs w:val="0"/>
          <w:noProof w:val="0"/>
          <w:sz w:val="24"/>
          <w:szCs w:val="24"/>
        </w:rPr>
        <w:t>Table S</w:t>
      </w:r>
      <w:r w:rsidR="000B009C" w:rsidRPr="004B723C">
        <w:rPr>
          <w:b w:val="0"/>
          <w:bCs w:val="0"/>
          <w:noProof w:val="0"/>
          <w:sz w:val="24"/>
          <w:szCs w:val="24"/>
        </w:rPr>
        <w:t>3</w:t>
      </w:r>
      <w:r w:rsidRPr="004B723C">
        <w:rPr>
          <w:b w:val="0"/>
          <w:bCs w:val="0"/>
          <w:noProof w:val="0"/>
          <w:sz w:val="24"/>
          <w:szCs w:val="24"/>
        </w:rPr>
        <w:t xml:space="preserve">: </w:t>
      </w:r>
      <w:r w:rsidR="000B009C" w:rsidRPr="004B723C">
        <w:rPr>
          <w:b w:val="0"/>
          <w:bCs w:val="0"/>
          <w:noProof w:val="0"/>
          <w:sz w:val="24"/>
          <w:szCs w:val="24"/>
        </w:rPr>
        <w:t xml:space="preserve">First MVI biopsy characteristic </w:t>
      </w:r>
      <w:r w:rsidR="000258D1" w:rsidRPr="004B723C">
        <w:rPr>
          <w:b w:val="0"/>
          <w:bCs w:val="0"/>
          <w:noProof w:val="0"/>
          <w:sz w:val="24"/>
          <w:szCs w:val="24"/>
        </w:rPr>
        <w:t xml:space="preserve">by </w:t>
      </w:r>
      <w:proofErr w:type="spellStart"/>
      <w:r w:rsidR="000258D1" w:rsidRPr="004B723C">
        <w:rPr>
          <w:b w:val="0"/>
          <w:bCs w:val="0"/>
          <w:noProof w:val="0"/>
          <w:sz w:val="24"/>
          <w:szCs w:val="24"/>
        </w:rPr>
        <w:t>centre</w:t>
      </w:r>
      <w:proofErr w:type="spellEnd"/>
    </w:p>
    <w:p w14:paraId="359F513B" w14:textId="467337D4" w:rsidR="000F183D" w:rsidRPr="004B723C" w:rsidRDefault="000F183D" w:rsidP="002A2F54">
      <w:pPr>
        <w:pStyle w:val="TOC1"/>
        <w:spacing w:line="360" w:lineRule="auto"/>
        <w:rPr>
          <w:b w:val="0"/>
          <w:bCs w:val="0"/>
          <w:noProof w:val="0"/>
          <w:sz w:val="24"/>
          <w:szCs w:val="24"/>
        </w:rPr>
      </w:pPr>
      <w:r w:rsidRPr="004B723C">
        <w:rPr>
          <w:b w:val="0"/>
          <w:bCs w:val="0"/>
          <w:noProof w:val="0"/>
          <w:sz w:val="24"/>
          <w:szCs w:val="24"/>
        </w:rPr>
        <w:t xml:space="preserve">Table </w:t>
      </w:r>
      <w:r w:rsidR="000263E7" w:rsidRPr="004B723C">
        <w:rPr>
          <w:b w:val="0"/>
          <w:bCs w:val="0"/>
          <w:noProof w:val="0"/>
          <w:sz w:val="24"/>
          <w:szCs w:val="24"/>
        </w:rPr>
        <w:t>S4</w:t>
      </w:r>
      <w:r w:rsidRPr="004B723C">
        <w:rPr>
          <w:b w:val="0"/>
          <w:bCs w:val="0"/>
          <w:noProof w:val="0"/>
          <w:sz w:val="24"/>
          <w:szCs w:val="24"/>
        </w:rPr>
        <w:t xml:space="preserve">: </w:t>
      </w:r>
      <w:r w:rsidR="00663206" w:rsidRPr="004B723C">
        <w:rPr>
          <w:b w:val="0"/>
          <w:bCs w:val="0"/>
          <w:noProof w:val="0"/>
          <w:sz w:val="24"/>
          <w:szCs w:val="24"/>
        </w:rPr>
        <w:t>Cox proportional hazards models for CMV serostatus and first MVI</w:t>
      </w:r>
    </w:p>
    <w:p w14:paraId="3BFC19ED" w14:textId="22121E62" w:rsidR="000F183D" w:rsidRPr="004B723C" w:rsidRDefault="000F183D" w:rsidP="002A2F54">
      <w:pPr>
        <w:pStyle w:val="TOC1"/>
        <w:spacing w:line="360" w:lineRule="auto"/>
        <w:rPr>
          <w:b w:val="0"/>
          <w:bCs w:val="0"/>
          <w:noProof w:val="0"/>
          <w:sz w:val="24"/>
          <w:szCs w:val="24"/>
        </w:rPr>
      </w:pPr>
      <w:r w:rsidRPr="004B723C">
        <w:rPr>
          <w:b w:val="0"/>
          <w:bCs w:val="0"/>
          <w:noProof w:val="0"/>
          <w:sz w:val="24"/>
          <w:szCs w:val="24"/>
        </w:rPr>
        <w:t>Table S</w:t>
      </w:r>
      <w:r w:rsidR="000263E7" w:rsidRPr="004B723C">
        <w:rPr>
          <w:b w:val="0"/>
          <w:bCs w:val="0"/>
          <w:noProof w:val="0"/>
          <w:sz w:val="24"/>
          <w:szCs w:val="24"/>
        </w:rPr>
        <w:t>5</w:t>
      </w:r>
      <w:r w:rsidRPr="004B723C">
        <w:rPr>
          <w:b w:val="0"/>
          <w:bCs w:val="0"/>
          <w:noProof w:val="0"/>
          <w:sz w:val="24"/>
          <w:szCs w:val="24"/>
        </w:rPr>
        <w:t xml:space="preserve">: </w:t>
      </w:r>
      <w:r w:rsidR="00663206" w:rsidRPr="004B723C">
        <w:rPr>
          <w:b w:val="0"/>
          <w:bCs w:val="0"/>
          <w:noProof w:val="0"/>
          <w:sz w:val="24"/>
          <w:szCs w:val="24"/>
        </w:rPr>
        <w:t>Cox proportional hazards models for CMV serostatus and first MVI without glomerulitis</w:t>
      </w:r>
    </w:p>
    <w:p w14:paraId="517B7C9A" w14:textId="73296B35" w:rsidR="000F183D" w:rsidRPr="004B723C" w:rsidRDefault="000F183D" w:rsidP="002A2F54">
      <w:pPr>
        <w:pStyle w:val="TOC1"/>
        <w:spacing w:line="360" w:lineRule="auto"/>
        <w:rPr>
          <w:b w:val="0"/>
          <w:bCs w:val="0"/>
          <w:noProof w:val="0"/>
          <w:sz w:val="24"/>
          <w:szCs w:val="24"/>
        </w:rPr>
      </w:pPr>
      <w:r w:rsidRPr="004B723C">
        <w:rPr>
          <w:b w:val="0"/>
          <w:bCs w:val="0"/>
          <w:noProof w:val="0"/>
          <w:sz w:val="24"/>
          <w:szCs w:val="24"/>
        </w:rPr>
        <w:t>Table S</w:t>
      </w:r>
      <w:r w:rsidR="000263E7" w:rsidRPr="004B723C">
        <w:rPr>
          <w:b w:val="0"/>
          <w:bCs w:val="0"/>
          <w:noProof w:val="0"/>
          <w:sz w:val="24"/>
          <w:szCs w:val="24"/>
        </w:rPr>
        <w:t>6</w:t>
      </w:r>
      <w:r w:rsidRPr="004B723C">
        <w:rPr>
          <w:b w:val="0"/>
          <w:bCs w:val="0"/>
          <w:noProof w:val="0"/>
          <w:sz w:val="24"/>
          <w:szCs w:val="24"/>
        </w:rPr>
        <w:t xml:space="preserve">: </w:t>
      </w:r>
      <w:r w:rsidR="00663206" w:rsidRPr="004B723C">
        <w:rPr>
          <w:b w:val="0"/>
          <w:bCs w:val="0"/>
          <w:noProof w:val="0"/>
          <w:sz w:val="24"/>
          <w:szCs w:val="24"/>
        </w:rPr>
        <w:t xml:space="preserve">Cox proportional hazards models for CMV serostatus and first MVI including </w:t>
      </w:r>
      <w:r w:rsidR="009B73F9">
        <w:rPr>
          <w:b w:val="0"/>
          <w:bCs w:val="0"/>
          <w:noProof w:val="0"/>
          <w:sz w:val="24"/>
          <w:szCs w:val="24"/>
        </w:rPr>
        <w:t>missing-self</w:t>
      </w:r>
    </w:p>
    <w:p w14:paraId="0968022E" w14:textId="5EA5910C" w:rsidR="000F183D" w:rsidRPr="004B723C" w:rsidRDefault="000F183D" w:rsidP="002A2F54">
      <w:pPr>
        <w:pStyle w:val="TOC1"/>
        <w:spacing w:line="360" w:lineRule="auto"/>
        <w:rPr>
          <w:b w:val="0"/>
          <w:bCs w:val="0"/>
          <w:noProof w:val="0"/>
          <w:sz w:val="24"/>
          <w:szCs w:val="24"/>
        </w:rPr>
      </w:pPr>
      <w:r w:rsidRPr="004B723C">
        <w:rPr>
          <w:b w:val="0"/>
          <w:bCs w:val="0"/>
          <w:noProof w:val="0"/>
          <w:sz w:val="24"/>
          <w:szCs w:val="24"/>
        </w:rPr>
        <w:t>Table S</w:t>
      </w:r>
      <w:r w:rsidR="000263E7" w:rsidRPr="004B723C">
        <w:rPr>
          <w:b w:val="0"/>
          <w:bCs w:val="0"/>
          <w:noProof w:val="0"/>
          <w:sz w:val="24"/>
          <w:szCs w:val="24"/>
        </w:rPr>
        <w:t>7</w:t>
      </w:r>
      <w:r w:rsidRPr="004B723C">
        <w:rPr>
          <w:b w:val="0"/>
          <w:bCs w:val="0"/>
          <w:noProof w:val="0"/>
          <w:sz w:val="24"/>
          <w:szCs w:val="24"/>
        </w:rPr>
        <w:t xml:space="preserve">: </w:t>
      </w:r>
      <w:r w:rsidR="00C22EA6" w:rsidRPr="004B723C">
        <w:rPr>
          <w:b w:val="0"/>
          <w:bCs w:val="0"/>
          <w:noProof w:val="0"/>
          <w:sz w:val="24"/>
          <w:szCs w:val="24"/>
        </w:rPr>
        <w:t xml:space="preserve">Cox proportional hazards models for first MVI </w:t>
      </w:r>
      <w:r w:rsidR="00C237BE" w:rsidRPr="004B723C">
        <w:rPr>
          <w:b w:val="0"/>
          <w:bCs w:val="0"/>
          <w:noProof w:val="0"/>
          <w:sz w:val="24"/>
          <w:szCs w:val="24"/>
        </w:rPr>
        <w:t>using composite exposure categories</w:t>
      </w:r>
      <w:r w:rsidR="002A2F54" w:rsidRPr="004B723C">
        <w:rPr>
          <w:b w:val="0"/>
          <w:bCs w:val="0"/>
          <w:noProof w:val="0"/>
          <w:sz w:val="24"/>
          <w:szCs w:val="24"/>
        </w:rPr>
        <w:t xml:space="preserve"> </w:t>
      </w:r>
      <w:r w:rsidR="00C237BE" w:rsidRPr="004B723C">
        <w:rPr>
          <w:b w:val="0"/>
          <w:bCs w:val="0"/>
          <w:noProof w:val="0"/>
          <w:sz w:val="24"/>
          <w:szCs w:val="24"/>
        </w:rPr>
        <w:t xml:space="preserve">combining any CMV seropositivity with HLA–DSA status or </w:t>
      </w:r>
      <w:r w:rsidR="009B73F9">
        <w:rPr>
          <w:b w:val="0"/>
          <w:bCs w:val="0"/>
          <w:noProof w:val="0"/>
          <w:sz w:val="24"/>
          <w:szCs w:val="24"/>
        </w:rPr>
        <w:t>missing-self</w:t>
      </w:r>
    </w:p>
    <w:p w14:paraId="76285734" w14:textId="54E7A1F4" w:rsidR="000F183D" w:rsidRPr="004B723C" w:rsidRDefault="000F183D" w:rsidP="002A2F54">
      <w:pPr>
        <w:pStyle w:val="TOC1"/>
        <w:spacing w:line="360" w:lineRule="auto"/>
        <w:rPr>
          <w:b w:val="0"/>
          <w:bCs w:val="0"/>
          <w:noProof w:val="0"/>
          <w:sz w:val="24"/>
          <w:szCs w:val="24"/>
        </w:rPr>
      </w:pPr>
      <w:r w:rsidRPr="004B723C">
        <w:rPr>
          <w:b w:val="0"/>
          <w:bCs w:val="0"/>
          <w:noProof w:val="0"/>
          <w:sz w:val="24"/>
          <w:szCs w:val="24"/>
        </w:rPr>
        <w:t>Table S</w:t>
      </w:r>
      <w:r w:rsidR="000263E7" w:rsidRPr="004B723C">
        <w:rPr>
          <w:b w:val="0"/>
          <w:bCs w:val="0"/>
          <w:noProof w:val="0"/>
          <w:sz w:val="24"/>
          <w:szCs w:val="24"/>
        </w:rPr>
        <w:t>8</w:t>
      </w:r>
      <w:r w:rsidRPr="004B723C">
        <w:rPr>
          <w:b w:val="0"/>
          <w:bCs w:val="0"/>
          <w:noProof w:val="0"/>
          <w:sz w:val="24"/>
          <w:szCs w:val="24"/>
        </w:rPr>
        <w:t xml:space="preserve">: </w:t>
      </w:r>
      <w:r w:rsidR="00663206" w:rsidRPr="004B723C">
        <w:rPr>
          <w:b w:val="0"/>
          <w:bCs w:val="0"/>
          <w:noProof w:val="0"/>
          <w:sz w:val="24"/>
          <w:szCs w:val="24"/>
        </w:rPr>
        <w:t>Cox proportional hazards models for CMV serostatus and first DSA-negative, C4d-negative MVI</w:t>
      </w:r>
    </w:p>
    <w:p w14:paraId="04A66473" w14:textId="388B6C23" w:rsidR="000F183D" w:rsidRPr="004B723C" w:rsidRDefault="000F183D" w:rsidP="002A2F54">
      <w:pPr>
        <w:pStyle w:val="TOC1"/>
        <w:spacing w:line="360" w:lineRule="auto"/>
        <w:rPr>
          <w:b w:val="0"/>
          <w:bCs w:val="0"/>
          <w:noProof w:val="0"/>
          <w:sz w:val="24"/>
          <w:szCs w:val="24"/>
        </w:rPr>
      </w:pPr>
      <w:r w:rsidRPr="004B723C">
        <w:rPr>
          <w:b w:val="0"/>
          <w:bCs w:val="0"/>
          <w:noProof w:val="0"/>
          <w:sz w:val="24"/>
          <w:szCs w:val="24"/>
        </w:rPr>
        <w:t>Table S</w:t>
      </w:r>
      <w:r w:rsidR="000263E7" w:rsidRPr="004B723C">
        <w:rPr>
          <w:b w:val="0"/>
          <w:bCs w:val="0"/>
          <w:noProof w:val="0"/>
          <w:sz w:val="24"/>
          <w:szCs w:val="24"/>
        </w:rPr>
        <w:t>9</w:t>
      </w:r>
      <w:r w:rsidRPr="004B723C">
        <w:rPr>
          <w:b w:val="0"/>
          <w:bCs w:val="0"/>
          <w:noProof w:val="0"/>
          <w:sz w:val="24"/>
          <w:szCs w:val="24"/>
        </w:rPr>
        <w:t xml:space="preserve">: </w:t>
      </w:r>
      <w:r w:rsidR="00663206" w:rsidRPr="004B723C">
        <w:rPr>
          <w:b w:val="0"/>
          <w:bCs w:val="0"/>
          <w:noProof w:val="0"/>
          <w:sz w:val="24"/>
          <w:szCs w:val="24"/>
        </w:rPr>
        <w:t>Cox proportional hazards models for CMV serostatus and first antibody-mediated rejection (AMR)</w:t>
      </w:r>
    </w:p>
    <w:p w14:paraId="7E683B4F" w14:textId="1E8A0F03" w:rsidR="000F183D" w:rsidRPr="004B723C" w:rsidRDefault="000F183D" w:rsidP="002A2F54">
      <w:pPr>
        <w:pStyle w:val="TOC1"/>
        <w:spacing w:line="360" w:lineRule="auto"/>
        <w:rPr>
          <w:b w:val="0"/>
          <w:bCs w:val="0"/>
          <w:noProof w:val="0"/>
          <w:sz w:val="24"/>
          <w:szCs w:val="24"/>
        </w:rPr>
      </w:pPr>
      <w:r w:rsidRPr="004B723C">
        <w:rPr>
          <w:b w:val="0"/>
          <w:bCs w:val="0"/>
          <w:noProof w:val="0"/>
          <w:sz w:val="24"/>
          <w:szCs w:val="24"/>
        </w:rPr>
        <w:t>Table S1</w:t>
      </w:r>
      <w:r w:rsidR="000263E7" w:rsidRPr="004B723C">
        <w:rPr>
          <w:b w:val="0"/>
          <w:bCs w:val="0"/>
          <w:noProof w:val="0"/>
          <w:sz w:val="24"/>
          <w:szCs w:val="24"/>
        </w:rPr>
        <w:t>0</w:t>
      </w:r>
      <w:r w:rsidRPr="004B723C">
        <w:rPr>
          <w:b w:val="0"/>
          <w:bCs w:val="0"/>
          <w:noProof w:val="0"/>
          <w:sz w:val="24"/>
          <w:szCs w:val="24"/>
        </w:rPr>
        <w:t xml:space="preserve">: </w:t>
      </w:r>
      <w:r w:rsidR="00663206" w:rsidRPr="004B723C">
        <w:rPr>
          <w:b w:val="0"/>
          <w:bCs w:val="0"/>
          <w:noProof w:val="0"/>
          <w:sz w:val="24"/>
          <w:szCs w:val="24"/>
        </w:rPr>
        <w:t>Cox proportional hazards models for CMV serostatus graft failure</w:t>
      </w:r>
    </w:p>
    <w:p w14:paraId="7FB833FD" w14:textId="69072232" w:rsidR="000F183D" w:rsidRPr="004B723C" w:rsidRDefault="000F183D" w:rsidP="002A2F54">
      <w:pPr>
        <w:pStyle w:val="TOC1"/>
        <w:spacing w:line="360" w:lineRule="auto"/>
        <w:rPr>
          <w:b w:val="0"/>
          <w:bCs w:val="0"/>
          <w:noProof w:val="0"/>
          <w:sz w:val="24"/>
          <w:szCs w:val="24"/>
        </w:rPr>
      </w:pPr>
      <w:r w:rsidRPr="004B723C">
        <w:rPr>
          <w:b w:val="0"/>
          <w:bCs w:val="0"/>
          <w:noProof w:val="0"/>
          <w:sz w:val="24"/>
          <w:szCs w:val="24"/>
        </w:rPr>
        <w:t xml:space="preserve">Table </w:t>
      </w:r>
      <w:r w:rsidR="000263E7" w:rsidRPr="004B723C">
        <w:rPr>
          <w:b w:val="0"/>
          <w:bCs w:val="0"/>
          <w:noProof w:val="0"/>
          <w:sz w:val="24"/>
          <w:szCs w:val="24"/>
        </w:rPr>
        <w:t>S11</w:t>
      </w:r>
      <w:r w:rsidRPr="004B723C">
        <w:rPr>
          <w:b w:val="0"/>
          <w:bCs w:val="0"/>
          <w:noProof w:val="0"/>
          <w:sz w:val="24"/>
          <w:szCs w:val="24"/>
        </w:rPr>
        <w:t xml:space="preserve">: </w:t>
      </w:r>
      <w:r w:rsidR="006D2A96" w:rsidRPr="004B723C">
        <w:rPr>
          <w:b w:val="0"/>
          <w:bCs w:val="0"/>
          <w:noProof w:val="0"/>
          <w:sz w:val="24"/>
          <w:szCs w:val="24"/>
        </w:rPr>
        <w:t>Mediation analysis of the association between CMV serostatus, HLA–DSA status, HLA mismatch and graft failure</w:t>
      </w:r>
    </w:p>
    <w:p w14:paraId="58AF7F7F" w14:textId="7CB2CFD7" w:rsidR="000F183D" w:rsidRPr="004B723C" w:rsidRDefault="000F183D" w:rsidP="002A2F54">
      <w:pPr>
        <w:pStyle w:val="TOC1"/>
        <w:spacing w:line="360" w:lineRule="auto"/>
        <w:rPr>
          <w:b w:val="0"/>
          <w:bCs w:val="0"/>
          <w:noProof w:val="0"/>
          <w:sz w:val="24"/>
          <w:szCs w:val="24"/>
        </w:rPr>
      </w:pPr>
      <w:r w:rsidRPr="004B723C">
        <w:rPr>
          <w:b w:val="0"/>
          <w:bCs w:val="0"/>
          <w:noProof w:val="0"/>
          <w:sz w:val="24"/>
          <w:szCs w:val="24"/>
        </w:rPr>
        <w:t xml:space="preserve">Table </w:t>
      </w:r>
      <w:r w:rsidR="000263E7" w:rsidRPr="004B723C">
        <w:rPr>
          <w:b w:val="0"/>
          <w:bCs w:val="0"/>
          <w:noProof w:val="0"/>
          <w:sz w:val="24"/>
          <w:szCs w:val="24"/>
        </w:rPr>
        <w:t>S12</w:t>
      </w:r>
      <w:r w:rsidRPr="004B723C">
        <w:rPr>
          <w:b w:val="0"/>
          <w:bCs w:val="0"/>
          <w:noProof w:val="0"/>
          <w:sz w:val="24"/>
          <w:szCs w:val="24"/>
        </w:rPr>
        <w:t xml:space="preserve">: </w:t>
      </w:r>
      <w:r w:rsidR="006D2A96" w:rsidRPr="004B723C">
        <w:rPr>
          <w:b w:val="0"/>
          <w:bCs w:val="0"/>
          <w:noProof w:val="0"/>
          <w:sz w:val="24"/>
          <w:szCs w:val="24"/>
        </w:rPr>
        <w:t>Cox proportional hazards models for post-transplant CMV replication</w:t>
      </w:r>
    </w:p>
    <w:p w14:paraId="5FBB1E73" w14:textId="525B1C3E" w:rsidR="000F183D" w:rsidRPr="004B723C" w:rsidRDefault="000F183D" w:rsidP="002A2F54">
      <w:pPr>
        <w:pStyle w:val="TOC1"/>
        <w:spacing w:line="360" w:lineRule="auto"/>
        <w:rPr>
          <w:b w:val="0"/>
          <w:bCs w:val="0"/>
          <w:noProof w:val="0"/>
          <w:sz w:val="24"/>
          <w:szCs w:val="24"/>
        </w:rPr>
      </w:pPr>
      <w:r w:rsidRPr="004B723C">
        <w:rPr>
          <w:b w:val="0"/>
          <w:bCs w:val="0"/>
          <w:noProof w:val="0"/>
          <w:sz w:val="24"/>
          <w:szCs w:val="24"/>
        </w:rPr>
        <w:t xml:space="preserve">Table </w:t>
      </w:r>
      <w:r w:rsidR="000263E7" w:rsidRPr="004B723C">
        <w:rPr>
          <w:b w:val="0"/>
          <w:bCs w:val="0"/>
          <w:noProof w:val="0"/>
          <w:sz w:val="24"/>
          <w:szCs w:val="24"/>
        </w:rPr>
        <w:t>S13</w:t>
      </w:r>
      <w:r w:rsidRPr="004B723C">
        <w:rPr>
          <w:b w:val="0"/>
          <w:bCs w:val="0"/>
          <w:noProof w:val="0"/>
          <w:sz w:val="24"/>
          <w:szCs w:val="24"/>
        </w:rPr>
        <w:t xml:space="preserve">: </w:t>
      </w:r>
      <w:r w:rsidR="006D2A96" w:rsidRPr="004B723C">
        <w:rPr>
          <w:b w:val="0"/>
          <w:bCs w:val="0"/>
          <w:noProof w:val="0"/>
          <w:sz w:val="24"/>
          <w:szCs w:val="24"/>
        </w:rPr>
        <w:t>Cox proportional hazards models for post-transplant CMV disease</w:t>
      </w:r>
    </w:p>
    <w:p w14:paraId="288C1086" w14:textId="78F4A7FF" w:rsidR="000F183D" w:rsidRPr="004B723C" w:rsidRDefault="000F183D" w:rsidP="002A2F54">
      <w:pPr>
        <w:pStyle w:val="TOC1"/>
        <w:spacing w:line="360" w:lineRule="auto"/>
        <w:rPr>
          <w:b w:val="0"/>
          <w:bCs w:val="0"/>
          <w:noProof w:val="0"/>
          <w:sz w:val="24"/>
          <w:szCs w:val="24"/>
        </w:rPr>
      </w:pPr>
      <w:r w:rsidRPr="004B723C">
        <w:rPr>
          <w:b w:val="0"/>
          <w:bCs w:val="0"/>
          <w:noProof w:val="0"/>
          <w:sz w:val="24"/>
          <w:szCs w:val="24"/>
        </w:rPr>
        <w:t xml:space="preserve">Table </w:t>
      </w:r>
      <w:r w:rsidR="000263E7" w:rsidRPr="004B723C">
        <w:rPr>
          <w:b w:val="0"/>
          <w:bCs w:val="0"/>
          <w:noProof w:val="0"/>
          <w:sz w:val="24"/>
          <w:szCs w:val="24"/>
        </w:rPr>
        <w:t>S14</w:t>
      </w:r>
      <w:r w:rsidRPr="004B723C">
        <w:rPr>
          <w:b w:val="0"/>
          <w:bCs w:val="0"/>
          <w:noProof w:val="0"/>
          <w:sz w:val="24"/>
          <w:szCs w:val="24"/>
        </w:rPr>
        <w:t xml:space="preserve">: </w:t>
      </w:r>
      <w:r w:rsidR="006D2A96" w:rsidRPr="004B723C">
        <w:rPr>
          <w:b w:val="0"/>
          <w:bCs w:val="0"/>
          <w:noProof w:val="0"/>
          <w:sz w:val="24"/>
          <w:szCs w:val="24"/>
        </w:rPr>
        <w:t>Time-dependent Cox proportional hazards models for post-transplant CMV replication and first MVI</w:t>
      </w:r>
    </w:p>
    <w:p w14:paraId="07E6FCC7" w14:textId="69625D76" w:rsidR="005E383A" w:rsidRPr="004B723C" w:rsidRDefault="005E383A" w:rsidP="007F3A2D">
      <w:pPr>
        <w:spacing w:line="360" w:lineRule="auto"/>
      </w:pPr>
      <w:r w:rsidRPr="004B723C">
        <w:t>Table S1</w:t>
      </w:r>
      <w:r w:rsidR="000263E7" w:rsidRPr="004B723C">
        <w:t>5</w:t>
      </w:r>
      <w:r w:rsidRPr="004B723C">
        <w:t xml:space="preserve">: </w:t>
      </w:r>
      <w:r w:rsidR="006D2A96" w:rsidRPr="004B723C">
        <w:t>Time-dependent Cox proportional hazards models for post-transplant CMV disease and first MVI</w:t>
      </w:r>
    </w:p>
    <w:p w14:paraId="34F66144" w14:textId="04C76EAC" w:rsidR="005E383A" w:rsidRPr="004B723C" w:rsidRDefault="005E383A" w:rsidP="007F3A2D">
      <w:pPr>
        <w:spacing w:line="360" w:lineRule="auto"/>
      </w:pPr>
      <w:r w:rsidRPr="004B723C">
        <w:t>Table S1</w:t>
      </w:r>
      <w:r w:rsidR="000263E7" w:rsidRPr="004B723C">
        <w:t>6</w:t>
      </w:r>
      <w:r w:rsidRPr="004B723C">
        <w:t xml:space="preserve">: </w:t>
      </w:r>
      <w:r w:rsidR="006D2A96" w:rsidRPr="004B723C">
        <w:t>Stratified time-dependent Cox proportional-hazards models of post-transplant CMV replication and first MVI, with interaction by recipient and donor serostatus</w:t>
      </w:r>
    </w:p>
    <w:p w14:paraId="53DAEDDF" w14:textId="6DB2004A" w:rsidR="005E383A" w:rsidRPr="004B723C" w:rsidRDefault="005E383A" w:rsidP="007F3A2D">
      <w:pPr>
        <w:spacing w:line="360" w:lineRule="auto"/>
      </w:pPr>
      <w:r w:rsidRPr="004B723C">
        <w:t>Table S1</w:t>
      </w:r>
      <w:r w:rsidR="000263E7" w:rsidRPr="004B723C">
        <w:t>7</w:t>
      </w:r>
      <w:r w:rsidRPr="004B723C">
        <w:t xml:space="preserve">: </w:t>
      </w:r>
      <w:r w:rsidR="006D2A96" w:rsidRPr="004B723C">
        <w:t>Stratified time-dependent Cox proportional-hazards models of post-transplant CMV disease and first MVI, with interaction by recipient and donor serostatus</w:t>
      </w:r>
    </w:p>
    <w:p w14:paraId="56B61F4B" w14:textId="108CBDBF" w:rsidR="005E383A" w:rsidRPr="004B723C" w:rsidRDefault="005E383A" w:rsidP="007F3A2D">
      <w:pPr>
        <w:spacing w:line="360" w:lineRule="auto"/>
      </w:pPr>
      <w:r w:rsidRPr="004B723C">
        <w:lastRenderedPageBreak/>
        <w:t>Table S1</w:t>
      </w:r>
      <w:r w:rsidR="000263E7" w:rsidRPr="004B723C">
        <w:t>8</w:t>
      </w:r>
      <w:r w:rsidRPr="004B723C">
        <w:t xml:space="preserve">: </w:t>
      </w:r>
      <w:r w:rsidR="006D2A96" w:rsidRPr="004B723C">
        <w:t>Time-dependent Cox proportional hazards models for post-transplant CMV replication and graft failure</w:t>
      </w:r>
    </w:p>
    <w:p w14:paraId="0D07B4F3" w14:textId="3D3E36AF" w:rsidR="005E383A" w:rsidRPr="004B723C" w:rsidRDefault="005E383A" w:rsidP="007F3A2D">
      <w:pPr>
        <w:spacing w:line="360" w:lineRule="auto"/>
      </w:pPr>
      <w:r w:rsidRPr="004B723C">
        <w:t>Table S</w:t>
      </w:r>
      <w:r w:rsidR="000263E7" w:rsidRPr="004B723C">
        <w:t>19</w:t>
      </w:r>
      <w:r w:rsidRPr="004B723C">
        <w:t xml:space="preserve">: </w:t>
      </w:r>
      <w:r w:rsidR="006D2A96" w:rsidRPr="004B723C">
        <w:t>Time-dependent Cox proportional hazards models for post-transplant CMV disease and graft failure</w:t>
      </w:r>
    </w:p>
    <w:p w14:paraId="0F396AD3" w14:textId="77777777" w:rsidR="006D2A96" w:rsidRPr="004B723C" w:rsidRDefault="006D2A96" w:rsidP="007F3A2D">
      <w:pPr>
        <w:spacing w:line="360" w:lineRule="auto"/>
        <w:rPr>
          <w:b/>
          <w:bCs/>
        </w:rPr>
      </w:pPr>
    </w:p>
    <w:p w14:paraId="09601A33" w14:textId="30D146F9" w:rsidR="008F2DD5" w:rsidRPr="004B723C" w:rsidRDefault="008F2DD5" w:rsidP="007F3A2D">
      <w:pPr>
        <w:pStyle w:val="TOC1"/>
        <w:spacing w:line="360" w:lineRule="auto"/>
        <w:rPr>
          <w:b w:val="0"/>
          <w:bCs w:val="0"/>
          <w:noProof w:val="0"/>
        </w:rPr>
        <w:sectPr w:rsidR="008F2DD5" w:rsidRPr="004B723C" w:rsidSect="00380509">
          <w:pgSz w:w="11906" w:h="16838"/>
          <w:pgMar w:top="1417" w:right="1417" w:bottom="1417" w:left="1417" w:header="708" w:footer="708" w:gutter="0"/>
          <w:cols w:space="708"/>
          <w:docGrid w:linePitch="360"/>
        </w:sectPr>
      </w:pPr>
    </w:p>
    <w:p w14:paraId="7BBFE3EB" w14:textId="142D868E" w:rsidR="005D131D" w:rsidRPr="004B723C" w:rsidRDefault="005D131D" w:rsidP="007F3A2D">
      <w:pPr>
        <w:pStyle w:val="Heading2"/>
      </w:pPr>
      <w:r w:rsidRPr="004B723C">
        <w:rPr>
          <w:rFonts w:cs="Times New Roman"/>
          <w:bCs/>
          <w:szCs w:val="20"/>
        </w:rPr>
        <w:lastRenderedPageBreak/>
        <w:t>Table S1.</w:t>
      </w:r>
      <w:r w:rsidR="00B4134A" w:rsidRPr="004B723C">
        <w:rPr>
          <w:rFonts w:cs="Times New Roman"/>
          <w:bCs/>
          <w:szCs w:val="20"/>
        </w:rPr>
        <w:t xml:space="preserve"> </w:t>
      </w:r>
      <w:r w:rsidR="00B4134A" w:rsidRPr="004B723C">
        <w:t>Cohort characteristics by center</w:t>
      </w:r>
    </w:p>
    <w:tbl>
      <w:tblPr>
        <w:tblStyle w:val="Nature"/>
        <w:tblW w:w="0" w:type="auto"/>
        <w:jc w:val="center"/>
        <w:tblLook w:val="04A0" w:firstRow="1" w:lastRow="0" w:firstColumn="1" w:lastColumn="0" w:noHBand="0" w:noVBand="1"/>
      </w:tblPr>
      <w:tblGrid>
        <w:gridCol w:w="2711"/>
        <w:gridCol w:w="1706"/>
        <w:gridCol w:w="1436"/>
        <w:gridCol w:w="1706"/>
        <w:gridCol w:w="1661"/>
        <w:gridCol w:w="1571"/>
      </w:tblGrid>
      <w:tr w:rsidR="004E0D7E" w:rsidRPr="004B723C" w14:paraId="2680B6E0" w14:textId="77777777" w:rsidTr="007F3A2D">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0BCA361F" w14:textId="709F658E" w:rsidR="004E0D7E" w:rsidRPr="004B723C" w:rsidRDefault="004E0D7E" w:rsidP="00C72C10">
            <w:pPr>
              <w:spacing w:line="276" w:lineRule="auto"/>
              <w:rPr>
                <w:rFonts w:cs="Times New Roman"/>
                <w:color w:val="000000"/>
                <w:sz w:val="18"/>
                <w:szCs w:val="18"/>
              </w:rPr>
            </w:pPr>
            <w:r w:rsidRPr="004B723C">
              <w:rPr>
                <w:rFonts w:eastAsia="Times New Roman" w:cs="Times New Roman"/>
                <w:b/>
                <w:bCs/>
                <w:color w:val="000000"/>
                <w:sz w:val="18"/>
                <w:szCs w:val="18"/>
                <w:lang w:eastAsia="en-GB"/>
              </w:rPr>
              <w:t>Variable</w:t>
            </w:r>
          </w:p>
        </w:tc>
        <w:tc>
          <w:tcPr>
            <w:tcW w:w="0" w:type="auto"/>
            <w:noWrap/>
          </w:tcPr>
          <w:p w14:paraId="678AF204" w14:textId="52D0C9AC" w:rsidR="004E0D7E" w:rsidRPr="004B723C" w:rsidRDefault="004E0D7E" w:rsidP="00C72C10">
            <w:pPr>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eastAsia="Times New Roman" w:cs="Times New Roman"/>
                <w:b/>
                <w:bCs/>
                <w:color w:val="000000"/>
                <w:sz w:val="18"/>
                <w:szCs w:val="18"/>
                <w:lang w:eastAsia="en-GB"/>
              </w:rPr>
              <w:t>Total</w:t>
            </w:r>
            <w:r w:rsidRPr="004B723C">
              <w:rPr>
                <w:rFonts w:eastAsia="Times New Roman" w:cs="Times New Roman"/>
                <w:b/>
                <w:bCs/>
                <w:color w:val="000000"/>
                <w:sz w:val="18"/>
                <w:szCs w:val="18"/>
                <w:lang w:eastAsia="en-GB"/>
              </w:rPr>
              <w:br/>
              <w:t>(n: 4,411)</w:t>
            </w:r>
          </w:p>
        </w:tc>
        <w:tc>
          <w:tcPr>
            <w:tcW w:w="0" w:type="auto"/>
            <w:noWrap/>
          </w:tcPr>
          <w:p w14:paraId="58736A7A" w14:textId="57A6D6A1" w:rsidR="004E0D7E" w:rsidRPr="004B723C" w:rsidRDefault="004E0D7E" w:rsidP="00C72C10">
            <w:pPr>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eastAsia="Times New Roman" w:cs="Times New Roman"/>
                <w:b/>
                <w:bCs/>
                <w:color w:val="000000"/>
                <w:sz w:val="18"/>
                <w:szCs w:val="18"/>
                <w:lang w:eastAsia="en-GB"/>
              </w:rPr>
              <w:t>Basel</w:t>
            </w:r>
            <w:r w:rsidRPr="004B723C">
              <w:rPr>
                <w:rFonts w:eastAsia="Times New Roman" w:cs="Times New Roman"/>
                <w:b/>
                <w:bCs/>
                <w:color w:val="000000"/>
                <w:sz w:val="18"/>
                <w:szCs w:val="18"/>
                <w:lang w:eastAsia="en-GB"/>
              </w:rPr>
              <w:br/>
              <w:t>(n: 506)</w:t>
            </w:r>
          </w:p>
        </w:tc>
        <w:tc>
          <w:tcPr>
            <w:tcW w:w="0" w:type="auto"/>
            <w:noWrap/>
          </w:tcPr>
          <w:p w14:paraId="5EC8C128" w14:textId="1FE79A6D" w:rsidR="004E0D7E" w:rsidRPr="004B723C" w:rsidRDefault="004E0D7E" w:rsidP="00C72C10">
            <w:pPr>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eastAsia="Times New Roman" w:cs="Times New Roman"/>
                <w:b/>
                <w:bCs/>
                <w:color w:val="000000"/>
                <w:sz w:val="18"/>
                <w:szCs w:val="18"/>
                <w:lang w:eastAsia="en-GB"/>
              </w:rPr>
              <w:t>Leuven</w:t>
            </w:r>
            <w:r w:rsidRPr="004B723C">
              <w:rPr>
                <w:rFonts w:eastAsia="Times New Roman" w:cs="Times New Roman"/>
                <w:b/>
                <w:bCs/>
                <w:color w:val="000000"/>
                <w:sz w:val="18"/>
                <w:szCs w:val="18"/>
                <w:lang w:eastAsia="en-GB"/>
              </w:rPr>
              <w:br/>
              <w:t>(n: 1,891)</w:t>
            </w:r>
          </w:p>
        </w:tc>
        <w:tc>
          <w:tcPr>
            <w:tcW w:w="0" w:type="auto"/>
            <w:noWrap/>
          </w:tcPr>
          <w:p w14:paraId="56A6F884" w14:textId="370DF073" w:rsidR="004E0D7E" w:rsidRPr="004B723C" w:rsidRDefault="004E0D7E" w:rsidP="00C72C10">
            <w:pPr>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eastAsia="Times New Roman" w:cs="Times New Roman"/>
                <w:b/>
                <w:bCs/>
                <w:color w:val="000000"/>
                <w:sz w:val="18"/>
                <w:szCs w:val="18"/>
                <w:lang w:eastAsia="en-GB"/>
              </w:rPr>
              <w:t xml:space="preserve">Prague </w:t>
            </w:r>
            <w:r w:rsidRPr="004B723C">
              <w:rPr>
                <w:rFonts w:eastAsia="Times New Roman" w:cs="Times New Roman"/>
                <w:b/>
                <w:bCs/>
                <w:color w:val="000000"/>
                <w:sz w:val="18"/>
                <w:szCs w:val="18"/>
                <w:lang w:eastAsia="en-GB"/>
              </w:rPr>
              <w:br/>
              <w:t>(n: 1005)</w:t>
            </w:r>
          </w:p>
        </w:tc>
        <w:tc>
          <w:tcPr>
            <w:tcW w:w="0" w:type="auto"/>
            <w:noWrap/>
          </w:tcPr>
          <w:p w14:paraId="5E98C9C0" w14:textId="7F549B73" w:rsidR="004E0D7E" w:rsidRPr="004B723C" w:rsidRDefault="004E0D7E" w:rsidP="00C72C10">
            <w:pPr>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eastAsia="Times New Roman" w:cs="Times New Roman"/>
                <w:b/>
                <w:bCs/>
                <w:color w:val="000000"/>
                <w:sz w:val="18"/>
                <w:szCs w:val="18"/>
                <w:lang w:eastAsia="en-GB"/>
              </w:rPr>
              <w:t>Vienna</w:t>
            </w:r>
            <w:r w:rsidRPr="004B723C">
              <w:rPr>
                <w:rFonts w:eastAsia="Times New Roman" w:cs="Times New Roman"/>
                <w:b/>
                <w:bCs/>
                <w:color w:val="000000"/>
                <w:sz w:val="18"/>
                <w:szCs w:val="18"/>
                <w:lang w:eastAsia="en-GB"/>
              </w:rPr>
              <w:br/>
              <w:t>(n: 1009)</w:t>
            </w:r>
          </w:p>
        </w:tc>
      </w:tr>
      <w:tr w:rsidR="005D131D" w:rsidRPr="004B723C" w14:paraId="46F6EB26" w14:textId="77777777" w:rsidTr="00812B6B">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1479BEDD" w14:textId="77777777" w:rsidR="005D131D" w:rsidRPr="004B723C" w:rsidRDefault="005D131D" w:rsidP="00C72C10">
            <w:pPr>
              <w:spacing w:line="276" w:lineRule="auto"/>
              <w:rPr>
                <w:rFonts w:cs="Times New Roman"/>
                <w:color w:val="000000"/>
                <w:sz w:val="18"/>
                <w:szCs w:val="18"/>
              </w:rPr>
            </w:pPr>
            <w:r w:rsidRPr="004B723C">
              <w:rPr>
                <w:rFonts w:cs="Times New Roman"/>
                <w:color w:val="000000"/>
                <w:sz w:val="18"/>
                <w:szCs w:val="18"/>
              </w:rPr>
              <w:t>CMV D+/R+</w:t>
            </w:r>
          </w:p>
        </w:tc>
        <w:tc>
          <w:tcPr>
            <w:tcW w:w="0" w:type="auto"/>
            <w:noWrap/>
          </w:tcPr>
          <w:p w14:paraId="1D9BE015"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1,673/4,411 (37.9%)</w:t>
            </w:r>
          </w:p>
        </w:tc>
        <w:tc>
          <w:tcPr>
            <w:tcW w:w="0" w:type="auto"/>
            <w:noWrap/>
          </w:tcPr>
          <w:p w14:paraId="7FF03727"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175/506 (34.6%)</w:t>
            </w:r>
          </w:p>
        </w:tc>
        <w:tc>
          <w:tcPr>
            <w:tcW w:w="0" w:type="auto"/>
            <w:noWrap/>
          </w:tcPr>
          <w:p w14:paraId="3D80D5D8"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478/1,891 (25.3%)</w:t>
            </w:r>
          </w:p>
        </w:tc>
        <w:tc>
          <w:tcPr>
            <w:tcW w:w="0" w:type="auto"/>
            <w:noWrap/>
          </w:tcPr>
          <w:p w14:paraId="129890EB"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572/1,005 (56.9%)</w:t>
            </w:r>
          </w:p>
        </w:tc>
        <w:tc>
          <w:tcPr>
            <w:tcW w:w="0" w:type="auto"/>
            <w:noWrap/>
          </w:tcPr>
          <w:p w14:paraId="01FC4BDC"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448/1,009 (44.4%)</w:t>
            </w:r>
          </w:p>
        </w:tc>
      </w:tr>
      <w:tr w:rsidR="005D131D" w:rsidRPr="004B723C" w14:paraId="28C8BF27" w14:textId="77777777" w:rsidTr="00812B6B">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09A7DB70" w14:textId="77777777" w:rsidR="005D131D" w:rsidRPr="004B723C" w:rsidRDefault="005D131D" w:rsidP="00C72C10">
            <w:pPr>
              <w:spacing w:line="276" w:lineRule="auto"/>
              <w:rPr>
                <w:rFonts w:cs="Times New Roman"/>
                <w:color w:val="000000"/>
                <w:sz w:val="18"/>
                <w:szCs w:val="18"/>
              </w:rPr>
            </w:pPr>
            <w:r w:rsidRPr="004B723C">
              <w:rPr>
                <w:rFonts w:cs="Times New Roman"/>
                <w:color w:val="000000"/>
                <w:sz w:val="18"/>
                <w:szCs w:val="18"/>
              </w:rPr>
              <w:t>CMV D+/R−</w:t>
            </w:r>
          </w:p>
        </w:tc>
        <w:tc>
          <w:tcPr>
            <w:tcW w:w="0" w:type="auto"/>
            <w:noWrap/>
          </w:tcPr>
          <w:p w14:paraId="079A1EE0"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864/4,411 (19.6%)</w:t>
            </w:r>
          </w:p>
        </w:tc>
        <w:tc>
          <w:tcPr>
            <w:tcW w:w="0" w:type="auto"/>
            <w:noWrap/>
          </w:tcPr>
          <w:p w14:paraId="3E9F19EB"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97/506 (19.2%)</w:t>
            </w:r>
          </w:p>
        </w:tc>
        <w:tc>
          <w:tcPr>
            <w:tcW w:w="0" w:type="auto"/>
            <w:noWrap/>
          </w:tcPr>
          <w:p w14:paraId="78B21C17"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387/1,891 (20.5%)</w:t>
            </w:r>
          </w:p>
        </w:tc>
        <w:tc>
          <w:tcPr>
            <w:tcW w:w="0" w:type="auto"/>
            <w:noWrap/>
          </w:tcPr>
          <w:p w14:paraId="63ECA8BF"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186/1,005 (18.5%)</w:t>
            </w:r>
          </w:p>
        </w:tc>
        <w:tc>
          <w:tcPr>
            <w:tcW w:w="0" w:type="auto"/>
            <w:noWrap/>
          </w:tcPr>
          <w:p w14:paraId="0912941D"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194/1,009 (19.2%)</w:t>
            </w:r>
          </w:p>
        </w:tc>
      </w:tr>
      <w:tr w:rsidR="005D131D" w:rsidRPr="004B723C" w14:paraId="319F7F28" w14:textId="77777777" w:rsidTr="00812B6B">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385A11DC" w14:textId="77777777" w:rsidR="005D131D" w:rsidRPr="004B723C" w:rsidRDefault="005D131D" w:rsidP="00C72C10">
            <w:pPr>
              <w:spacing w:line="276" w:lineRule="auto"/>
              <w:rPr>
                <w:rFonts w:cs="Times New Roman"/>
                <w:color w:val="000000"/>
                <w:sz w:val="18"/>
                <w:szCs w:val="18"/>
              </w:rPr>
            </w:pPr>
            <w:r w:rsidRPr="004B723C">
              <w:rPr>
                <w:rFonts w:cs="Times New Roman"/>
                <w:color w:val="000000"/>
                <w:sz w:val="18"/>
                <w:szCs w:val="18"/>
              </w:rPr>
              <w:t>CMV D−/R+</w:t>
            </w:r>
          </w:p>
        </w:tc>
        <w:tc>
          <w:tcPr>
            <w:tcW w:w="0" w:type="auto"/>
            <w:noWrap/>
          </w:tcPr>
          <w:p w14:paraId="726C04D4"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1,042/4,411 (23.6%)</w:t>
            </w:r>
          </w:p>
        </w:tc>
        <w:tc>
          <w:tcPr>
            <w:tcW w:w="0" w:type="auto"/>
            <w:noWrap/>
          </w:tcPr>
          <w:p w14:paraId="3502260A"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117/506 (23.1%)</w:t>
            </w:r>
          </w:p>
        </w:tc>
        <w:tc>
          <w:tcPr>
            <w:tcW w:w="0" w:type="auto"/>
            <w:noWrap/>
          </w:tcPr>
          <w:p w14:paraId="2E7A0C33"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507/1,891 (26.8%)</w:t>
            </w:r>
          </w:p>
        </w:tc>
        <w:tc>
          <w:tcPr>
            <w:tcW w:w="0" w:type="auto"/>
            <w:noWrap/>
          </w:tcPr>
          <w:p w14:paraId="1B32CDB5"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184/1,005 (18.3%)</w:t>
            </w:r>
          </w:p>
        </w:tc>
        <w:tc>
          <w:tcPr>
            <w:tcW w:w="0" w:type="auto"/>
            <w:noWrap/>
          </w:tcPr>
          <w:p w14:paraId="070A4FAE"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234/1,009 (23.2%)</w:t>
            </w:r>
          </w:p>
        </w:tc>
      </w:tr>
      <w:tr w:rsidR="005D131D" w:rsidRPr="004B723C" w14:paraId="120AC862" w14:textId="77777777" w:rsidTr="00812B6B">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4EDDFD2B" w14:textId="77777777" w:rsidR="005D131D" w:rsidRPr="004B723C" w:rsidRDefault="005D131D" w:rsidP="00C72C10">
            <w:pPr>
              <w:spacing w:line="276" w:lineRule="auto"/>
              <w:rPr>
                <w:rFonts w:cs="Times New Roman"/>
                <w:color w:val="000000"/>
                <w:sz w:val="18"/>
                <w:szCs w:val="18"/>
              </w:rPr>
            </w:pPr>
            <w:r w:rsidRPr="004B723C">
              <w:rPr>
                <w:rFonts w:cs="Times New Roman"/>
                <w:color w:val="000000"/>
                <w:sz w:val="18"/>
                <w:szCs w:val="18"/>
              </w:rPr>
              <w:t>CMV D−/R−</w:t>
            </w:r>
          </w:p>
        </w:tc>
        <w:tc>
          <w:tcPr>
            <w:tcW w:w="0" w:type="auto"/>
            <w:noWrap/>
          </w:tcPr>
          <w:p w14:paraId="35463A15"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832/4,411 (18.9%)</w:t>
            </w:r>
          </w:p>
        </w:tc>
        <w:tc>
          <w:tcPr>
            <w:tcW w:w="0" w:type="auto"/>
            <w:noWrap/>
          </w:tcPr>
          <w:p w14:paraId="622EFAD6"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117/506 (23.1%)</w:t>
            </w:r>
          </w:p>
        </w:tc>
        <w:tc>
          <w:tcPr>
            <w:tcW w:w="0" w:type="auto"/>
            <w:noWrap/>
          </w:tcPr>
          <w:p w14:paraId="3F59E153"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519/1,891 (27.4%)</w:t>
            </w:r>
          </w:p>
        </w:tc>
        <w:tc>
          <w:tcPr>
            <w:tcW w:w="0" w:type="auto"/>
            <w:noWrap/>
          </w:tcPr>
          <w:p w14:paraId="7625F11C"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63/1,005 (6.3%)</w:t>
            </w:r>
          </w:p>
        </w:tc>
        <w:tc>
          <w:tcPr>
            <w:tcW w:w="0" w:type="auto"/>
            <w:noWrap/>
          </w:tcPr>
          <w:p w14:paraId="289FB5B6"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133/1,009 (13.2%)</w:t>
            </w:r>
          </w:p>
        </w:tc>
      </w:tr>
      <w:tr w:rsidR="005D131D" w:rsidRPr="004B723C" w14:paraId="3BAAADBA" w14:textId="77777777" w:rsidTr="00812B6B">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42B61318" w14:textId="77777777" w:rsidR="005D131D" w:rsidRPr="004B723C" w:rsidRDefault="005D131D" w:rsidP="00C72C10">
            <w:pPr>
              <w:spacing w:line="276" w:lineRule="auto"/>
              <w:rPr>
                <w:rFonts w:eastAsia="Times New Roman" w:cs="Times New Roman"/>
                <w:b/>
                <w:bCs/>
                <w:color w:val="000000"/>
                <w:sz w:val="18"/>
                <w:szCs w:val="18"/>
                <w:lang w:eastAsia="en-GB"/>
              </w:rPr>
            </w:pPr>
            <w:r w:rsidRPr="004B723C">
              <w:rPr>
                <w:rFonts w:cs="Times New Roman"/>
                <w:color w:val="000000"/>
                <w:sz w:val="18"/>
                <w:szCs w:val="18"/>
              </w:rPr>
              <w:t>Recipient age</w:t>
            </w:r>
          </w:p>
        </w:tc>
        <w:tc>
          <w:tcPr>
            <w:tcW w:w="0" w:type="auto"/>
            <w:noWrap/>
          </w:tcPr>
          <w:p w14:paraId="5E076219"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56 (45.4–64.6)</w:t>
            </w:r>
          </w:p>
        </w:tc>
        <w:tc>
          <w:tcPr>
            <w:tcW w:w="0" w:type="auto"/>
            <w:noWrap/>
          </w:tcPr>
          <w:p w14:paraId="5C4B45E0"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55 (45–63)</w:t>
            </w:r>
          </w:p>
        </w:tc>
        <w:tc>
          <w:tcPr>
            <w:tcW w:w="0" w:type="auto"/>
            <w:noWrap/>
          </w:tcPr>
          <w:p w14:paraId="4EC498B0"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56.7 (46.5–64.4)</w:t>
            </w:r>
          </w:p>
        </w:tc>
        <w:tc>
          <w:tcPr>
            <w:tcW w:w="0" w:type="auto"/>
            <w:noWrap/>
          </w:tcPr>
          <w:p w14:paraId="67226A82"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55.5 (45.1–65.8)</w:t>
            </w:r>
          </w:p>
        </w:tc>
        <w:tc>
          <w:tcPr>
            <w:tcW w:w="0" w:type="auto"/>
            <w:noWrap/>
          </w:tcPr>
          <w:p w14:paraId="2E5CDD83"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54.9 (44.5–64.5)</w:t>
            </w:r>
          </w:p>
        </w:tc>
      </w:tr>
      <w:tr w:rsidR="005D131D" w:rsidRPr="004B723C" w14:paraId="724EE0EE" w14:textId="77777777" w:rsidTr="00812B6B">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1DD788D2" w14:textId="77777777" w:rsidR="005D131D" w:rsidRPr="004B723C" w:rsidRDefault="005D131D" w:rsidP="00C72C10">
            <w:pPr>
              <w:spacing w:line="276" w:lineRule="auto"/>
              <w:rPr>
                <w:rFonts w:eastAsia="Times New Roman" w:cs="Times New Roman"/>
                <w:b/>
                <w:bCs/>
                <w:color w:val="000000"/>
                <w:sz w:val="18"/>
                <w:szCs w:val="18"/>
                <w:lang w:eastAsia="en-GB"/>
              </w:rPr>
            </w:pPr>
            <w:r w:rsidRPr="004B723C">
              <w:rPr>
                <w:rFonts w:cs="Times New Roman"/>
                <w:color w:val="000000"/>
                <w:sz w:val="18"/>
                <w:szCs w:val="18"/>
              </w:rPr>
              <w:t>Male recipient</w:t>
            </w:r>
          </w:p>
        </w:tc>
        <w:tc>
          <w:tcPr>
            <w:tcW w:w="0" w:type="auto"/>
            <w:noWrap/>
          </w:tcPr>
          <w:p w14:paraId="70A8A85E"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2,820/4,411 (63.9%)</w:t>
            </w:r>
          </w:p>
        </w:tc>
        <w:tc>
          <w:tcPr>
            <w:tcW w:w="0" w:type="auto"/>
            <w:noWrap/>
          </w:tcPr>
          <w:p w14:paraId="11501450"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317/506 (62.6%)</w:t>
            </w:r>
          </w:p>
        </w:tc>
        <w:tc>
          <w:tcPr>
            <w:tcW w:w="0" w:type="auto"/>
            <w:noWrap/>
          </w:tcPr>
          <w:p w14:paraId="482805C6"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1,198/1,891 (63.4%)</w:t>
            </w:r>
          </w:p>
        </w:tc>
        <w:tc>
          <w:tcPr>
            <w:tcW w:w="0" w:type="auto"/>
            <w:noWrap/>
          </w:tcPr>
          <w:p w14:paraId="4272460F"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657/1,005 (65.4%)</w:t>
            </w:r>
          </w:p>
        </w:tc>
        <w:tc>
          <w:tcPr>
            <w:tcW w:w="0" w:type="auto"/>
            <w:noWrap/>
          </w:tcPr>
          <w:p w14:paraId="34F69214"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648/1,009 (64.2%)</w:t>
            </w:r>
          </w:p>
        </w:tc>
      </w:tr>
      <w:tr w:rsidR="005D131D" w:rsidRPr="004B723C" w14:paraId="3A9DCFC2" w14:textId="77777777" w:rsidTr="00812B6B">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5717F83B" w14:textId="77777777" w:rsidR="005D131D" w:rsidRPr="004B723C" w:rsidRDefault="005D131D" w:rsidP="00C72C10">
            <w:pPr>
              <w:spacing w:line="276" w:lineRule="auto"/>
              <w:rPr>
                <w:rFonts w:eastAsia="Times New Roman" w:cs="Times New Roman"/>
                <w:b/>
                <w:bCs/>
                <w:color w:val="000000"/>
                <w:sz w:val="18"/>
                <w:szCs w:val="18"/>
                <w:lang w:eastAsia="en-GB"/>
              </w:rPr>
            </w:pPr>
            <w:r w:rsidRPr="004B723C">
              <w:rPr>
                <w:rFonts w:cs="Times New Roman"/>
                <w:color w:val="000000"/>
                <w:sz w:val="18"/>
                <w:szCs w:val="18"/>
              </w:rPr>
              <w:t>Donor age</w:t>
            </w:r>
          </w:p>
        </w:tc>
        <w:tc>
          <w:tcPr>
            <w:tcW w:w="0" w:type="auto"/>
            <w:noWrap/>
          </w:tcPr>
          <w:p w14:paraId="4D9ACD51"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53 (42.7–62)</w:t>
            </w:r>
          </w:p>
        </w:tc>
        <w:tc>
          <w:tcPr>
            <w:tcW w:w="0" w:type="auto"/>
            <w:noWrap/>
          </w:tcPr>
          <w:p w14:paraId="46C38D1E"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57 (48–65)</w:t>
            </w:r>
          </w:p>
        </w:tc>
        <w:tc>
          <w:tcPr>
            <w:tcW w:w="0" w:type="auto"/>
            <w:noWrap/>
          </w:tcPr>
          <w:p w14:paraId="570998EE"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51.7 (40.4–59.8)</w:t>
            </w:r>
          </w:p>
        </w:tc>
        <w:tc>
          <w:tcPr>
            <w:tcW w:w="0" w:type="auto"/>
            <w:noWrap/>
          </w:tcPr>
          <w:p w14:paraId="263CC4EB"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52 (43–64)</w:t>
            </w:r>
          </w:p>
        </w:tc>
        <w:tc>
          <w:tcPr>
            <w:tcW w:w="0" w:type="auto"/>
            <w:noWrap/>
          </w:tcPr>
          <w:p w14:paraId="045B38C7"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54 (44–65)</w:t>
            </w:r>
          </w:p>
        </w:tc>
      </w:tr>
      <w:tr w:rsidR="005D131D" w:rsidRPr="004B723C" w14:paraId="7B5FD918" w14:textId="77777777" w:rsidTr="00812B6B">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5338186C" w14:textId="77777777" w:rsidR="005D131D" w:rsidRPr="004B723C" w:rsidRDefault="005D131D" w:rsidP="00C72C10">
            <w:pPr>
              <w:spacing w:line="276" w:lineRule="auto"/>
              <w:rPr>
                <w:rFonts w:eastAsia="Times New Roman" w:cs="Times New Roman"/>
                <w:b/>
                <w:bCs/>
                <w:color w:val="000000"/>
                <w:sz w:val="18"/>
                <w:szCs w:val="18"/>
                <w:lang w:eastAsia="en-GB"/>
              </w:rPr>
            </w:pPr>
            <w:r w:rsidRPr="004B723C">
              <w:rPr>
                <w:rFonts w:cs="Times New Roman"/>
                <w:color w:val="000000"/>
                <w:sz w:val="18"/>
                <w:szCs w:val="18"/>
              </w:rPr>
              <w:t>Donation after brain death</w:t>
            </w:r>
          </w:p>
        </w:tc>
        <w:tc>
          <w:tcPr>
            <w:tcW w:w="0" w:type="auto"/>
            <w:noWrap/>
          </w:tcPr>
          <w:p w14:paraId="2A0DC3FF"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3,161/4,411 (71.7%)</w:t>
            </w:r>
          </w:p>
        </w:tc>
        <w:tc>
          <w:tcPr>
            <w:tcW w:w="0" w:type="auto"/>
            <w:noWrap/>
          </w:tcPr>
          <w:p w14:paraId="6D24E287"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224/506 (44.3%)</w:t>
            </w:r>
          </w:p>
        </w:tc>
        <w:tc>
          <w:tcPr>
            <w:tcW w:w="0" w:type="auto"/>
            <w:noWrap/>
          </w:tcPr>
          <w:p w14:paraId="3B134D87"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1,371/1,891 (72.5%)</w:t>
            </w:r>
          </w:p>
        </w:tc>
        <w:tc>
          <w:tcPr>
            <w:tcW w:w="0" w:type="auto"/>
            <w:noWrap/>
          </w:tcPr>
          <w:p w14:paraId="6E9210E0"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841/1,005 (83.7%)</w:t>
            </w:r>
          </w:p>
        </w:tc>
        <w:tc>
          <w:tcPr>
            <w:tcW w:w="0" w:type="auto"/>
            <w:noWrap/>
          </w:tcPr>
          <w:p w14:paraId="749E6399"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725/1,009 (71.9%)</w:t>
            </w:r>
          </w:p>
        </w:tc>
      </w:tr>
      <w:tr w:rsidR="005D131D" w:rsidRPr="004B723C" w14:paraId="326E3C6F" w14:textId="77777777" w:rsidTr="00812B6B">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271858F1" w14:textId="77777777" w:rsidR="005D131D" w:rsidRPr="004B723C" w:rsidRDefault="005D131D" w:rsidP="00C72C10">
            <w:pPr>
              <w:spacing w:line="276" w:lineRule="auto"/>
              <w:rPr>
                <w:rFonts w:eastAsia="Times New Roman" w:cs="Times New Roman"/>
                <w:b/>
                <w:bCs/>
                <w:color w:val="000000"/>
                <w:sz w:val="18"/>
                <w:szCs w:val="18"/>
                <w:lang w:eastAsia="en-GB"/>
              </w:rPr>
            </w:pPr>
            <w:r w:rsidRPr="004B723C">
              <w:rPr>
                <w:rFonts w:cs="Times New Roman"/>
                <w:color w:val="000000"/>
                <w:sz w:val="18"/>
                <w:szCs w:val="18"/>
              </w:rPr>
              <w:t>Donation after cardiac death</w:t>
            </w:r>
          </w:p>
        </w:tc>
        <w:tc>
          <w:tcPr>
            <w:tcW w:w="0" w:type="auto"/>
            <w:noWrap/>
          </w:tcPr>
          <w:p w14:paraId="6C18ECB1"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618/4,411 (14%)</w:t>
            </w:r>
          </w:p>
        </w:tc>
        <w:tc>
          <w:tcPr>
            <w:tcW w:w="0" w:type="auto"/>
            <w:noWrap/>
          </w:tcPr>
          <w:p w14:paraId="133D25A9"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73/506 (14.4%)</w:t>
            </w:r>
          </w:p>
        </w:tc>
        <w:tc>
          <w:tcPr>
            <w:tcW w:w="0" w:type="auto"/>
            <w:noWrap/>
          </w:tcPr>
          <w:p w14:paraId="2BDA727A"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372/1,891 (19.7%)</w:t>
            </w:r>
          </w:p>
        </w:tc>
        <w:tc>
          <w:tcPr>
            <w:tcW w:w="0" w:type="auto"/>
            <w:noWrap/>
          </w:tcPr>
          <w:p w14:paraId="766680FE"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54/1,005 (5.4%)</w:t>
            </w:r>
          </w:p>
        </w:tc>
        <w:tc>
          <w:tcPr>
            <w:tcW w:w="0" w:type="auto"/>
            <w:noWrap/>
          </w:tcPr>
          <w:p w14:paraId="556F85D6"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119/1,009 (11.8%)</w:t>
            </w:r>
          </w:p>
        </w:tc>
      </w:tr>
      <w:tr w:rsidR="005D131D" w:rsidRPr="004B723C" w14:paraId="130DC6DC" w14:textId="77777777" w:rsidTr="00812B6B">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4A11320F" w14:textId="77777777" w:rsidR="005D131D" w:rsidRPr="004B723C" w:rsidRDefault="005D131D" w:rsidP="00C72C10">
            <w:pPr>
              <w:spacing w:line="276" w:lineRule="auto"/>
              <w:rPr>
                <w:rFonts w:eastAsia="Times New Roman" w:cs="Times New Roman"/>
                <w:b/>
                <w:bCs/>
                <w:color w:val="000000"/>
                <w:sz w:val="18"/>
                <w:szCs w:val="18"/>
                <w:lang w:eastAsia="en-GB"/>
              </w:rPr>
            </w:pPr>
            <w:r w:rsidRPr="004B723C">
              <w:rPr>
                <w:rFonts w:cs="Times New Roman"/>
                <w:color w:val="000000"/>
                <w:sz w:val="18"/>
                <w:szCs w:val="18"/>
              </w:rPr>
              <w:t>Living donation</w:t>
            </w:r>
          </w:p>
        </w:tc>
        <w:tc>
          <w:tcPr>
            <w:tcW w:w="0" w:type="auto"/>
            <w:noWrap/>
          </w:tcPr>
          <w:p w14:paraId="10BA4B16"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632/4,411 (14.3%)</w:t>
            </w:r>
          </w:p>
        </w:tc>
        <w:tc>
          <w:tcPr>
            <w:tcW w:w="0" w:type="auto"/>
            <w:noWrap/>
          </w:tcPr>
          <w:p w14:paraId="55DF321B"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209/506 (41.3%)</w:t>
            </w:r>
          </w:p>
        </w:tc>
        <w:tc>
          <w:tcPr>
            <w:tcW w:w="0" w:type="auto"/>
            <w:noWrap/>
          </w:tcPr>
          <w:p w14:paraId="6E92089A"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148/1,891 (7.8%)</w:t>
            </w:r>
          </w:p>
        </w:tc>
        <w:tc>
          <w:tcPr>
            <w:tcW w:w="0" w:type="auto"/>
            <w:noWrap/>
          </w:tcPr>
          <w:p w14:paraId="7360F121"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110/1,005 (10.9%)</w:t>
            </w:r>
          </w:p>
        </w:tc>
        <w:tc>
          <w:tcPr>
            <w:tcW w:w="0" w:type="auto"/>
            <w:noWrap/>
          </w:tcPr>
          <w:p w14:paraId="690F827C"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165/1,009 (16.4%)</w:t>
            </w:r>
          </w:p>
        </w:tc>
      </w:tr>
      <w:tr w:rsidR="005D131D" w:rsidRPr="004B723C" w14:paraId="362B4645" w14:textId="77777777" w:rsidTr="00812B6B">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1292AA69" w14:textId="77777777" w:rsidR="005D131D" w:rsidRPr="004B723C" w:rsidRDefault="005D131D" w:rsidP="00C72C10">
            <w:pPr>
              <w:spacing w:line="276" w:lineRule="auto"/>
              <w:rPr>
                <w:rFonts w:eastAsia="Times New Roman" w:cs="Times New Roman"/>
                <w:b/>
                <w:bCs/>
                <w:color w:val="000000"/>
                <w:sz w:val="18"/>
                <w:szCs w:val="18"/>
                <w:lang w:eastAsia="en-GB"/>
              </w:rPr>
            </w:pPr>
            <w:r w:rsidRPr="004B723C">
              <w:rPr>
                <w:rFonts w:cs="Times New Roman"/>
                <w:color w:val="000000"/>
                <w:sz w:val="18"/>
                <w:szCs w:val="18"/>
              </w:rPr>
              <w:t>ABO-incompatible transplantation</w:t>
            </w:r>
          </w:p>
        </w:tc>
        <w:tc>
          <w:tcPr>
            <w:tcW w:w="0" w:type="auto"/>
            <w:noWrap/>
          </w:tcPr>
          <w:p w14:paraId="1FA0325F"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82/4,411 (1.9%)</w:t>
            </w:r>
          </w:p>
        </w:tc>
        <w:tc>
          <w:tcPr>
            <w:tcW w:w="0" w:type="auto"/>
            <w:noWrap/>
          </w:tcPr>
          <w:p w14:paraId="5FB93124"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38/506 (7.5%)</w:t>
            </w:r>
          </w:p>
        </w:tc>
        <w:tc>
          <w:tcPr>
            <w:tcW w:w="0" w:type="auto"/>
            <w:noWrap/>
          </w:tcPr>
          <w:p w14:paraId="5E9F089E"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5/1,891 (0.3%)</w:t>
            </w:r>
          </w:p>
        </w:tc>
        <w:tc>
          <w:tcPr>
            <w:tcW w:w="0" w:type="auto"/>
            <w:noWrap/>
          </w:tcPr>
          <w:p w14:paraId="161A8DBC"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10/1,005 (1%)</w:t>
            </w:r>
          </w:p>
        </w:tc>
        <w:tc>
          <w:tcPr>
            <w:tcW w:w="0" w:type="auto"/>
            <w:noWrap/>
          </w:tcPr>
          <w:p w14:paraId="13BC3433"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29/1,009 (2.9%)</w:t>
            </w:r>
          </w:p>
        </w:tc>
      </w:tr>
      <w:tr w:rsidR="005D131D" w:rsidRPr="004B723C" w14:paraId="77E3F2F3" w14:textId="77777777" w:rsidTr="00812B6B">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35339252" w14:textId="77777777" w:rsidR="005D131D" w:rsidRPr="004B723C" w:rsidRDefault="005D131D" w:rsidP="00C72C10">
            <w:pPr>
              <w:spacing w:line="276" w:lineRule="auto"/>
              <w:rPr>
                <w:rFonts w:eastAsia="Times New Roman" w:cs="Times New Roman"/>
                <w:b/>
                <w:bCs/>
                <w:color w:val="000000"/>
                <w:sz w:val="18"/>
                <w:szCs w:val="18"/>
                <w:lang w:eastAsia="en-GB"/>
              </w:rPr>
            </w:pPr>
            <w:r w:rsidRPr="004B723C">
              <w:rPr>
                <w:rFonts w:cs="Times New Roman"/>
                <w:color w:val="000000"/>
                <w:sz w:val="18"/>
                <w:szCs w:val="18"/>
              </w:rPr>
              <w:t>Repeat transplantation</w:t>
            </w:r>
          </w:p>
        </w:tc>
        <w:tc>
          <w:tcPr>
            <w:tcW w:w="0" w:type="auto"/>
            <w:noWrap/>
          </w:tcPr>
          <w:p w14:paraId="168111AF"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657/4,411 (14.9%)</w:t>
            </w:r>
          </w:p>
        </w:tc>
        <w:tc>
          <w:tcPr>
            <w:tcW w:w="0" w:type="auto"/>
            <w:noWrap/>
          </w:tcPr>
          <w:p w14:paraId="70901B65"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66/506 (13%)</w:t>
            </w:r>
          </w:p>
        </w:tc>
        <w:tc>
          <w:tcPr>
            <w:tcW w:w="0" w:type="auto"/>
            <w:noWrap/>
          </w:tcPr>
          <w:p w14:paraId="6377F411"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285/1,891 (15.1%)</w:t>
            </w:r>
          </w:p>
        </w:tc>
        <w:tc>
          <w:tcPr>
            <w:tcW w:w="0" w:type="auto"/>
            <w:noWrap/>
          </w:tcPr>
          <w:p w14:paraId="0BDB0C1E"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122/1,005 (12.1%)</w:t>
            </w:r>
          </w:p>
        </w:tc>
        <w:tc>
          <w:tcPr>
            <w:tcW w:w="0" w:type="auto"/>
            <w:noWrap/>
          </w:tcPr>
          <w:p w14:paraId="6D6C8980"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184/1,009 (18.2%)</w:t>
            </w:r>
          </w:p>
        </w:tc>
      </w:tr>
      <w:tr w:rsidR="005D131D" w:rsidRPr="004B723C" w14:paraId="1156D060" w14:textId="77777777" w:rsidTr="00812B6B">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7EEC536D" w14:textId="77777777" w:rsidR="005D131D" w:rsidRPr="004B723C" w:rsidRDefault="005D131D" w:rsidP="00C72C10">
            <w:pPr>
              <w:spacing w:line="276" w:lineRule="auto"/>
              <w:rPr>
                <w:rFonts w:eastAsia="Times New Roman" w:cs="Times New Roman"/>
                <w:b/>
                <w:bCs/>
                <w:color w:val="000000"/>
                <w:sz w:val="18"/>
                <w:szCs w:val="18"/>
                <w:lang w:eastAsia="en-GB"/>
              </w:rPr>
            </w:pPr>
            <w:r w:rsidRPr="004B723C">
              <w:rPr>
                <w:rFonts w:cs="Times New Roman"/>
                <w:color w:val="000000"/>
                <w:sz w:val="18"/>
                <w:szCs w:val="18"/>
              </w:rPr>
              <w:t>Cold ischemia time</w:t>
            </w:r>
            <w:r w:rsidRPr="004B723C">
              <w:rPr>
                <w:rFonts w:cs="Times New Roman"/>
                <w:color w:val="000000"/>
                <w:sz w:val="18"/>
                <w:szCs w:val="18"/>
                <w:vertAlign w:val="superscript"/>
              </w:rPr>
              <w:t>1</w:t>
            </w:r>
          </w:p>
        </w:tc>
        <w:tc>
          <w:tcPr>
            <w:tcW w:w="0" w:type="auto"/>
            <w:noWrap/>
          </w:tcPr>
          <w:p w14:paraId="4B49863E"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12.3 (6.2)</w:t>
            </w:r>
          </w:p>
        </w:tc>
        <w:tc>
          <w:tcPr>
            <w:tcW w:w="0" w:type="auto"/>
            <w:noWrap/>
          </w:tcPr>
          <w:p w14:paraId="5EAFC5EC"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6.8 (5.1)</w:t>
            </w:r>
          </w:p>
        </w:tc>
        <w:tc>
          <w:tcPr>
            <w:tcW w:w="0" w:type="auto"/>
            <w:noWrap/>
          </w:tcPr>
          <w:p w14:paraId="1848E0EE"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13.4 (5.5)</w:t>
            </w:r>
          </w:p>
        </w:tc>
        <w:tc>
          <w:tcPr>
            <w:tcW w:w="0" w:type="auto"/>
            <w:noWrap/>
          </w:tcPr>
          <w:p w14:paraId="3EE9B70B"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12.2 (6.1)</w:t>
            </w:r>
          </w:p>
        </w:tc>
        <w:tc>
          <w:tcPr>
            <w:tcW w:w="0" w:type="auto"/>
            <w:noWrap/>
          </w:tcPr>
          <w:p w14:paraId="271FFDC2"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13.2 (6.4)</w:t>
            </w:r>
          </w:p>
        </w:tc>
      </w:tr>
      <w:tr w:rsidR="005D131D" w:rsidRPr="004B723C" w14:paraId="59591720" w14:textId="77777777" w:rsidTr="00812B6B">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4A849EA2" w14:textId="77777777" w:rsidR="005D131D" w:rsidRPr="004B723C" w:rsidRDefault="005D131D" w:rsidP="00C72C10">
            <w:pPr>
              <w:spacing w:line="276" w:lineRule="auto"/>
              <w:rPr>
                <w:rFonts w:eastAsia="Times New Roman" w:cs="Times New Roman"/>
                <w:b/>
                <w:bCs/>
                <w:color w:val="000000"/>
                <w:sz w:val="18"/>
                <w:szCs w:val="18"/>
                <w:lang w:eastAsia="en-GB"/>
              </w:rPr>
            </w:pPr>
            <w:r w:rsidRPr="004B723C">
              <w:rPr>
                <w:rFonts w:cs="Times New Roman"/>
                <w:color w:val="000000"/>
                <w:sz w:val="18"/>
                <w:szCs w:val="18"/>
              </w:rPr>
              <w:t>HLA mismatch</w:t>
            </w:r>
          </w:p>
        </w:tc>
        <w:tc>
          <w:tcPr>
            <w:tcW w:w="0" w:type="auto"/>
            <w:noWrap/>
          </w:tcPr>
          <w:p w14:paraId="5CC689B0"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3.2 (1.3)</w:t>
            </w:r>
          </w:p>
        </w:tc>
        <w:tc>
          <w:tcPr>
            <w:tcW w:w="0" w:type="auto"/>
            <w:noWrap/>
          </w:tcPr>
          <w:p w14:paraId="479D00CD"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4.3 (1.4)</w:t>
            </w:r>
          </w:p>
        </w:tc>
        <w:tc>
          <w:tcPr>
            <w:tcW w:w="0" w:type="auto"/>
            <w:noWrap/>
          </w:tcPr>
          <w:p w14:paraId="6D348678"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2.8 (1.1)</w:t>
            </w:r>
          </w:p>
        </w:tc>
        <w:tc>
          <w:tcPr>
            <w:tcW w:w="0" w:type="auto"/>
            <w:noWrap/>
          </w:tcPr>
          <w:p w14:paraId="1317AD2C"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3.2 (1.2)</w:t>
            </w:r>
          </w:p>
        </w:tc>
        <w:tc>
          <w:tcPr>
            <w:tcW w:w="0" w:type="auto"/>
            <w:noWrap/>
          </w:tcPr>
          <w:p w14:paraId="0E5B22F7"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3.3 (1.2)</w:t>
            </w:r>
          </w:p>
        </w:tc>
      </w:tr>
      <w:tr w:rsidR="005D131D" w:rsidRPr="004B723C" w14:paraId="6BE44EAD" w14:textId="77777777" w:rsidTr="00812B6B">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49D905B5" w14:textId="77777777" w:rsidR="005D131D" w:rsidRPr="004B723C" w:rsidRDefault="005D131D" w:rsidP="00C72C10">
            <w:pPr>
              <w:spacing w:line="276" w:lineRule="auto"/>
              <w:rPr>
                <w:rFonts w:eastAsia="Times New Roman" w:cs="Times New Roman"/>
                <w:b/>
                <w:bCs/>
                <w:color w:val="000000"/>
                <w:sz w:val="18"/>
                <w:szCs w:val="18"/>
                <w:lang w:eastAsia="en-GB"/>
              </w:rPr>
            </w:pPr>
            <w:r w:rsidRPr="004B723C">
              <w:rPr>
                <w:rFonts w:cs="Times New Roman"/>
                <w:color w:val="000000" w:themeColor="text1"/>
                <w:sz w:val="18"/>
                <w:szCs w:val="18"/>
              </w:rPr>
              <w:t>HLA-DSA positive</w:t>
            </w:r>
            <w:r w:rsidRPr="004B723C">
              <w:rPr>
                <w:rFonts w:cs="Times New Roman"/>
                <w:color w:val="000000" w:themeColor="text1"/>
                <w:sz w:val="18"/>
                <w:szCs w:val="18"/>
                <w:vertAlign w:val="superscript"/>
              </w:rPr>
              <w:t>2</w:t>
            </w:r>
          </w:p>
        </w:tc>
        <w:tc>
          <w:tcPr>
            <w:tcW w:w="0" w:type="auto"/>
            <w:noWrap/>
          </w:tcPr>
          <w:p w14:paraId="25BCDDDA"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462/4,407 (10.5%)</w:t>
            </w:r>
          </w:p>
        </w:tc>
        <w:tc>
          <w:tcPr>
            <w:tcW w:w="0" w:type="auto"/>
            <w:noWrap/>
          </w:tcPr>
          <w:p w14:paraId="5997B9A7"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58/506 (11.5%)</w:t>
            </w:r>
          </w:p>
        </w:tc>
        <w:tc>
          <w:tcPr>
            <w:tcW w:w="0" w:type="auto"/>
            <w:noWrap/>
          </w:tcPr>
          <w:p w14:paraId="2CBA241F"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155/1,891 (8.2%)</w:t>
            </w:r>
          </w:p>
        </w:tc>
        <w:tc>
          <w:tcPr>
            <w:tcW w:w="0" w:type="auto"/>
            <w:noWrap/>
          </w:tcPr>
          <w:p w14:paraId="7C0874AD"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74/1,001 (7.4%)</w:t>
            </w:r>
          </w:p>
        </w:tc>
        <w:tc>
          <w:tcPr>
            <w:tcW w:w="0" w:type="auto"/>
            <w:noWrap/>
          </w:tcPr>
          <w:p w14:paraId="6B71129F"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175/1,009 (17.3%)</w:t>
            </w:r>
          </w:p>
        </w:tc>
      </w:tr>
      <w:tr w:rsidR="005D131D" w:rsidRPr="004B723C" w14:paraId="2A28526B" w14:textId="77777777" w:rsidTr="00812B6B">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30AB38DC" w14:textId="77777777" w:rsidR="005D131D" w:rsidRPr="004B723C" w:rsidRDefault="005D131D" w:rsidP="00C72C10">
            <w:pPr>
              <w:spacing w:line="276" w:lineRule="auto"/>
              <w:rPr>
                <w:rFonts w:eastAsia="Times New Roman" w:cs="Times New Roman"/>
                <w:b/>
                <w:bCs/>
                <w:color w:val="000000"/>
                <w:sz w:val="18"/>
                <w:szCs w:val="18"/>
                <w:lang w:eastAsia="en-GB"/>
              </w:rPr>
            </w:pPr>
            <w:r w:rsidRPr="004B723C">
              <w:rPr>
                <w:rFonts w:cs="Times New Roman"/>
                <w:color w:val="000000"/>
                <w:sz w:val="18"/>
                <w:szCs w:val="18"/>
              </w:rPr>
              <w:t>Induction</w:t>
            </w:r>
          </w:p>
        </w:tc>
        <w:tc>
          <w:tcPr>
            <w:tcW w:w="0" w:type="auto"/>
            <w:noWrap/>
          </w:tcPr>
          <w:p w14:paraId="33B12D0F"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3,316/4,411 (75.2%)</w:t>
            </w:r>
          </w:p>
        </w:tc>
        <w:tc>
          <w:tcPr>
            <w:tcW w:w="0" w:type="auto"/>
            <w:noWrap/>
          </w:tcPr>
          <w:p w14:paraId="2F1A69D3"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475/506 (93.9%)</w:t>
            </w:r>
          </w:p>
        </w:tc>
        <w:tc>
          <w:tcPr>
            <w:tcW w:w="0" w:type="auto"/>
            <w:noWrap/>
          </w:tcPr>
          <w:p w14:paraId="235A812C"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860/1,891 (45.5%)</w:t>
            </w:r>
          </w:p>
        </w:tc>
        <w:tc>
          <w:tcPr>
            <w:tcW w:w="0" w:type="auto"/>
            <w:noWrap/>
          </w:tcPr>
          <w:p w14:paraId="621A2D54"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1,005/1,005 (100%)</w:t>
            </w:r>
          </w:p>
        </w:tc>
        <w:tc>
          <w:tcPr>
            <w:tcW w:w="0" w:type="auto"/>
            <w:noWrap/>
          </w:tcPr>
          <w:p w14:paraId="2149E023"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976/1,009 (96.7%)</w:t>
            </w:r>
          </w:p>
        </w:tc>
      </w:tr>
      <w:tr w:rsidR="005D131D" w:rsidRPr="004B723C" w14:paraId="134B1133" w14:textId="77777777" w:rsidTr="00812B6B">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67EE9315" w14:textId="77777777" w:rsidR="005D131D" w:rsidRPr="004B723C" w:rsidRDefault="005D131D" w:rsidP="00C72C10">
            <w:pPr>
              <w:spacing w:line="276" w:lineRule="auto"/>
              <w:rPr>
                <w:rFonts w:eastAsia="Times New Roman" w:cs="Times New Roman"/>
                <w:b/>
                <w:bCs/>
                <w:color w:val="000000"/>
                <w:sz w:val="18"/>
                <w:szCs w:val="18"/>
                <w:lang w:eastAsia="en-GB"/>
              </w:rPr>
            </w:pPr>
            <w:r w:rsidRPr="004B723C">
              <w:rPr>
                <w:rFonts w:cs="Times New Roman"/>
                <w:color w:val="000000"/>
                <w:sz w:val="18"/>
                <w:szCs w:val="18"/>
              </w:rPr>
              <w:t>No induction</w:t>
            </w:r>
          </w:p>
        </w:tc>
        <w:tc>
          <w:tcPr>
            <w:tcW w:w="0" w:type="auto"/>
            <w:noWrap/>
          </w:tcPr>
          <w:p w14:paraId="468D8005"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1,089/4,411 (24.7%)</w:t>
            </w:r>
          </w:p>
        </w:tc>
        <w:tc>
          <w:tcPr>
            <w:tcW w:w="0" w:type="auto"/>
            <w:noWrap/>
          </w:tcPr>
          <w:p w14:paraId="3D750F2A"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31/506 (6.1%)</w:t>
            </w:r>
          </w:p>
        </w:tc>
        <w:tc>
          <w:tcPr>
            <w:tcW w:w="0" w:type="auto"/>
            <w:noWrap/>
          </w:tcPr>
          <w:p w14:paraId="4ED3A5CF"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1,031/1,891 (54.5%)</w:t>
            </w:r>
          </w:p>
        </w:tc>
        <w:tc>
          <w:tcPr>
            <w:tcW w:w="0" w:type="auto"/>
            <w:noWrap/>
          </w:tcPr>
          <w:p w14:paraId="288CD117"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0/1,005 (0%)</w:t>
            </w:r>
          </w:p>
        </w:tc>
        <w:tc>
          <w:tcPr>
            <w:tcW w:w="0" w:type="auto"/>
            <w:noWrap/>
          </w:tcPr>
          <w:p w14:paraId="3D3E1F7F"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27/1,009 (2.7%)</w:t>
            </w:r>
          </w:p>
        </w:tc>
      </w:tr>
      <w:tr w:rsidR="005D131D" w:rsidRPr="004B723C" w14:paraId="3E590837" w14:textId="77777777" w:rsidTr="00812B6B">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41DF7EA2" w14:textId="77777777" w:rsidR="005D131D" w:rsidRPr="004B723C" w:rsidRDefault="005D131D" w:rsidP="00C72C10">
            <w:pPr>
              <w:spacing w:line="276" w:lineRule="auto"/>
              <w:rPr>
                <w:rFonts w:eastAsia="Times New Roman" w:cs="Times New Roman"/>
                <w:b/>
                <w:bCs/>
                <w:color w:val="000000"/>
                <w:sz w:val="18"/>
                <w:szCs w:val="18"/>
                <w:lang w:eastAsia="en-GB"/>
              </w:rPr>
            </w:pPr>
            <w:r w:rsidRPr="004B723C">
              <w:rPr>
                <w:rFonts w:cs="Times New Roman"/>
                <w:color w:val="000000"/>
                <w:sz w:val="18"/>
                <w:szCs w:val="18"/>
              </w:rPr>
              <w:t>ATG</w:t>
            </w:r>
          </w:p>
        </w:tc>
        <w:tc>
          <w:tcPr>
            <w:tcW w:w="0" w:type="auto"/>
            <w:noWrap/>
          </w:tcPr>
          <w:p w14:paraId="3609F407"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577/4,411 (13.1%)</w:t>
            </w:r>
          </w:p>
        </w:tc>
        <w:tc>
          <w:tcPr>
            <w:tcW w:w="0" w:type="auto"/>
            <w:noWrap/>
          </w:tcPr>
          <w:p w14:paraId="36E38EF4"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81/506 (16%)</w:t>
            </w:r>
          </w:p>
        </w:tc>
        <w:tc>
          <w:tcPr>
            <w:tcW w:w="0" w:type="auto"/>
            <w:noWrap/>
          </w:tcPr>
          <w:p w14:paraId="52EFFB62"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29/1,891 (1.5%)</w:t>
            </w:r>
          </w:p>
        </w:tc>
        <w:tc>
          <w:tcPr>
            <w:tcW w:w="0" w:type="auto"/>
            <w:noWrap/>
          </w:tcPr>
          <w:p w14:paraId="5B8BC926"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356/1,005 (35.4%)</w:t>
            </w:r>
          </w:p>
        </w:tc>
        <w:tc>
          <w:tcPr>
            <w:tcW w:w="0" w:type="auto"/>
            <w:noWrap/>
          </w:tcPr>
          <w:p w14:paraId="1CB09BE3"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111/1,009 (11%)</w:t>
            </w:r>
          </w:p>
        </w:tc>
      </w:tr>
      <w:tr w:rsidR="005D131D" w:rsidRPr="004B723C" w14:paraId="0B2E489C" w14:textId="77777777" w:rsidTr="00812B6B">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789CFB05" w14:textId="77777777" w:rsidR="005D131D" w:rsidRPr="004B723C" w:rsidRDefault="005D131D" w:rsidP="00C72C10">
            <w:pPr>
              <w:spacing w:line="276" w:lineRule="auto"/>
              <w:rPr>
                <w:rFonts w:eastAsia="Times New Roman" w:cs="Times New Roman"/>
                <w:b/>
                <w:bCs/>
                <w:color w:val="000000"/>
                <w:sz w:val="18"/>
                <w:szCs w:val="18"/>
                <w:lang w:eastAsia="en-GB"/>
              </w:rPr>
            </w:pPr>
            <w:r w:rsidRPr="004B723C">
              <w:rPr>
                <w:rFonts w:cs="Times New Roman"/>
                <w:color w:val="000000"/>
                <w:sz w:val="18"/>
                <w:szCs w:val="18"/>
              </w:rPr>
              <w:t>IL2R</w:t>
            </w:r>
          </w:p>
        </w:tc>
        <w:tc>
          <w:tcPr>
            <w:tcW w:w="0" w:type="auto"/>
            <w:noWrap/>
          </w:tcPr>
          <w:p w14:paraId="3956F53D"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2,602/4,411 (59%)</w:t>
            </w:r>
          </w:p>
        </w:tc>
        <w:tc>
          <w:tcPr>
            <w:tcW w:w="0" w:type="auto"/>
            <w:noWrap/>
          </w:tcPr>
          <w:p w14:paraId="580AF9E7"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394/506 (77.9%)</w:t>
            </w:r>
          </w:p>
        </w:tc>
        <w:tc>
          <w:tcPr>
            <w:tcW w:w="0" w:type="auto"/>
            <w:noWrap/>
          </w:tcPr>
          <w:p w14:paraId="3821FD78"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824/1,891 (43.6%)</w:t>
            </w:r>
          </w:p>
        </w:tc>
        <w:tc>
          <w:tcPr>
            <w:tcW w:w="0" w:type="auto"/>
            <w:noWrap/>
          </w:tcPr>
          <w:p w14:paraId="0B05A350"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532/1,005 (52.9%)</w:t>
            </w:r>
          </w:p>
        </w:tc>
        <w:tc>
          <w:tcPr>
            <w:tcW w:w="0" w:type="auto"/>
            <w:noWrap/>
          </w:tcPr>
          <w:p w14:paraId="7256E8CF"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852/1,009 (84.4%)</w:t>
            </w:r>
          </w:p>
        </w:tc>
      </w:tr>
      <w:tr w:rsidR="005D131D" w:rsidRPr="004B723C" w14:paraId="69DB8F06" w14:textId="77777777" w:rsidTr="00812B6B">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09A44272" w14:textId="77777777" w:rsidR="005D131D" w:rsidRPr="004B723C" w:rsidRDefault="005D131D" w:rsidP="00C72C10">
            <w:pPr>
              <w:spacing w:line="276" w:lineRule="auto"/>
              <w:rPr>
                <w:rFonts w:eastAsia="Times New Roman" w:cs="Times New Roman"/>
                <w:b/>
                <w:bCs/>
                <w:color w:val="000000"/>
                <w:sz w:val="18"/>
                <w:szCs w:val="18"/>
                <w:lang w:eastAsia="en-GB"/>
              </w:rPr>
            </w:pPr>
            <w:r w:rsidRPr="004B723C">
              <w:rPr>
                <w:rFonts w:cs="Times New Roman"/>
                <w:color w:val="000000"/>
                <w:sz w:val="18"/>
                <w:szCs w:val="18"/>
              </w:rPr>
              <w:t>None</w:t>
            </w:r>
          </w:p>
        </w:tc>
        <w:tc>
          <w:tcPr>
            <w:tcW w:w="0" w:type="auto"/>
            <w:noWrap/>
          </w:tcPr>
          <w:p w14:paraId="7D95C49C"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1,094/4,411 (24.8%)</w:t>
            </w:r>
          </w:p>
        </w:tc>
        <w:tc>
          <w:tcPr>
            <w:tcW w:w="0" w:type="auto"/>
            <w:noWrap/>
          </w:tcPr>
          <w:p w14:paraId="75A49386"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31/506 (6.1%)</w:t>
            </w:r>
          </w:p>
        </w:tc>
        <w:tc>
          <w:tcPr>
            <w:tcW w:w="0" w:type="auto"/>
            <w:noWrap/>
          </w:tcPr>
          <w:p w14:paraId="45BC6973"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1,036/1,891 (54.8%)</w:t>
            </w:r>
          </w:p>
        </w:tc>
        <w:tc>
          <w:tcPr>
            <w:tcW w:w="0" w:type="auto"/>
            <w:noWrap/>
          </w:tcPr>
          <w:p w14:paraId="68263EA9"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0/1,005 (0%)</w:t>
            </w:r>
          </w:p>
        </w:tc>
        <w:tc>
          <w:tcPr>
            <w:tcW w:w="0" w:type="auto"/>
            <w:noWrap/>
          </w:tcPr>
          <w:p w14:paraId="1E3ECA17"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27/1,009 (2.7%)</w:t>
            </w:r>
          </w:p>
        </w:tc>
      </w:tr>
      <w:tr w:rsidR="005D131D" w:rsidRPr="004B723C" w14:paraId="753DE57E" w14:textId="77777777" w:rsidTr="00812B6B">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270ABBA3" w14:textId="77777777" w:rsidR="005D131D" w:rsidRPr="004B723C" w:rsidRDefault="005D131D" w:rsidP="00C72C10">
            <w:pPr>
              <w:spacing w:line="276" w:lineRule="auto"/>
              <w:rPr>
                <w:rFonts w:eastAsia="Times New Roman" w:cs="Times New Roman"/>
                <w:b/>
                <w:bCs/>
                <w:color w:val="000000"/>
                <w:sz w:val="18"/>
                <w:szCs w:val="18"/>
                <w:lang w:eastAsia="en-GB"/>
              </w:rPr>
            </w:pPr>
            <w:r w:rsidRPr="004B723C">
              <w:rPr>
                <w:rFonts w:cs="Times New Roman"/>
                <w:color w:val="000000"/>
                <w:sz w:val="18"/>
                <w:szCs w:val="18"/>
              </w:rPr>
              <w:t>RTX</w:t>
            </w:r>
          </w:p>
        </w:tc>
        <w:tc>
          <w:tcPr>
            <w:tcW w:w="0" w:type="auto"/>
            <w:noWrap/>
          </w:tcPr>
          <w:p w14:paraId="61CD299D"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13/4,411 (0.3%)</w:t>
            </w:r>
          </w:p>
        </w:tc>
        <w:tc>
          <w:tcPr>
            <w:tcW w:w="0" w:type="auto"/>
            <w:noWrap/>
          </w:tcPr>
          <w:p w14:paraId="16C25E3B"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0/506 (0%)</w:t>
            </w:r>
          </w:p>
        </w:tc>
        <w:tc>
          <w:tcPr>
            <w:tcW w:w="0" w:type="auto"/>
            <w:noWrap/>
          </w:tcPr>
          <w:p w14:paraId="39A5AA04"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0/1,891 (0%)</w:t>
            </w:r>
          </w:p>
        </w:tc>
        <w:tc>
          <w:tcPr>
            <w:tcW w:w="0" w:type="auto"/>
            <w:noWrap/>
          </w:tcPr>
          <w:p w14:paraId="23783837"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0/1,005 (0%)</w:t>
            </w:r>
          </w:p>
        </w:tc>
        <w:tc>
          <w:tcPr>
            <w:tcW w:w="0" w:type="auto"/>
            <w:noWrap/>
          </w:tcPr>
          <w:p w14:paraId="56116AE0"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13/1,009 (1.3%)</w:t>
            </w:r>
          </w:p>
        </w:tc>
      </w:tr>
      <w:tr w:rsidR="005D131D" w:rsidRPr="004B723C" w14:paraId="13D04BD3" w14:textId="77777777" w:rsidTr="00812B6B">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629A15F9" w14:textId="77777777" w:rsidR="005D131D" w:rsidRPr="004B723C" w:rsidRDefault="005D131D" w:rsidP="00C72C10">
            <w:pPr>
              <w:spacing w:line="276" w:lineRule="auto"/>
              <w:rPr>
                <w:rFonts w:eastAsia="Times New Roman" w:cs="Times New Roman"/>
                <w:b/>
                <w:bCs/>
                <w:color w:val="000000"/>
                <w:sz w:val="18"/>
                <w:szCs w:val="18"/>
                <w:lang w:eastAsia="en-GB"/>
              </w:rPr>
            </w:pPr>
            <w:r w:rsidRPr="004B723C">
              <w:rPr>
                <w:rFonts w:cs="Times New Roman"/>
                <w:color w:val="000000"/>
                <w:sz w:val="18"/>
                <w:szCs w:val="18"/>
              </w:rPr>
              <w:t>Other</w:t>
            </w:r>
          </w:p>
        </w:tc>
        <w:tc>
          <w:tcPr>
            <w:tcW w:w="0" w:type="auto"/>
            <w:noWrap/>
          </w:tcPr>
          <w:p w14:paraId="4C49CD65"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119/4,411 (2.7%)</w:t>
            </w:r>
          </w:p>
        </w:tc>
        <w:tc>
          <w:tcPr>
            <w:tcW w:w="0" w:type="auto"/>
            <w:noWrap/>
          </w:tcPr>
          <w:p w14:paraId="465970A9"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0/506 (0%)</w:t>
            </w:r>
          </w:p>
        </w:tc>
        <w:tc>
          <w:tcPr>
            <w:tcW w:w="0" w:type="auto"/>
            <w:noWrap/>
          </w:tcPr>
          <w:p w14:paraId="7043DC7B"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2/1,891 (0.1%)</w:t>
            </w:r>
          </w:p>
        </w:tc>
        <w:tc>
          <w:tcPr>
            <w:tcW w:w="0" w:type="auto"/>
            <w:noWrap/>
          </w:tcPr>
          <w:p w14:paraId="766E59C2"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117/1,005 (11.6%)</w:t>
            </w:r>
          </w:p>
        </w:tc>
        <w:tc>
          <w:tcPr>
            <w:tcW w:w="0" w:type="auto"/>
            <w:noWrap/>
          </w:tcPr>
          <w:p w14:paraId="02766A15"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0/1,009 (0%)</w:t>
            </w:r>
          </w:p>
        </w:tc>
      </w:tr>
      <w:tr w:rsidR="005D131D" w:rsidRPr="004B723C" w14:paraId="28C96B96" w14:textId="77777777" w:rsidTr="00812B6B">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38F986DE" w14:textId="77777777" w:rsidR="005D131D" w:rsidRPr="004B723C" w:rsidRDefault="005D131D" w:rsidP="00C72C10">
            <w:pPr>
              <w:spacing w:line="276" w:lineRule="auto"/>
              <w:rPr>
                <w:rFonts w:eastAsia="Times New Roman" w:cs="Times New Roman"/>
                <w:b/>
                <w:bCs/>
                <w:color w:val="000000"/>
                <w:sz w:val="18"/>
                <w:szCs w:val="18"/>
                <w:lang w:eastAsia="en-GB"/>
              </w:rPr>
            </w:pPr>
            <w:r w:rsidRPr="004B723C">
              <w:rPr>
                <w:rFonts w:cs="Times New Roman"/>
                <w:color w:val="000000"/>
                <w:sz w:val="18"/>
                <w:szCs w:val="18"/>
              </w:rPr>
              <w:t>Unknown</w:t>
            </w:r>
            <w:r w:rsidRPr="004B723C">
              <w:rPr>
                <w:rFonts w:cs="Times New Roman"/>
                <w:color w:val="000000"/>
                <w:sz w:val="18"/>
                <w:szCs w:val="18"/>
                <w:vertAlign w:val="superscript"/>
              </w:rPr>
              <w:t>3</w:t>
            </w:r>
          </w:p>
        </w:tc>
        <w:tc>
          <w:tcPr>
            <w:tcW w:w="0" w:type="auto"/>
            <w:noWrap/>
          </w:tcPr>
          <w:p w14:paraId="57B7B961"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6/4,411 (0.1%)</w:t>
            </w:r>
          </w:p>
        </w:tc>
        <w:tc>
          <w:tcPr>
            <w:tcW w:w="0" w:type="auto"/>
            <w:noWrap/>
          </w:tcPr>
          <w:p w14:paraId="3E4FAA0F"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0/506 (0%)</w:t>
            </w:r>
          </w:p>
        </w:tc>
        <w:tc>
          <w:tcPr>
            <w:tcW w:w="0" w:type="auto"/>
            <w:noWrap/>
          </w:tcPr>
          <w:p w14:paraId="113BE9E7"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0/1,891 (0%)</w:t>
            </w:r>
          </w:p>
        </w:tc>
        <w:tc>
          <w:tcPr>
            <w:tcW w:w="0" w:type="auto"/>
            <w:noWrap/>
          </w:tcPr>
          <w:p w14:paraId="4288FE56"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0/1,005 (0%)</w:t>
            </w:r>
          </w:p>
        </w:tc>
        <w:tc>
          <w:tcPr>
            <w:tcW w:w="0" w:type="auto"/>
            <w:noWrap/>
          </w:tcPr>
          <w:p w14:paraId="1C9204A8"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6/1,009 (0.6%)</w:t>
            </w:r>
          </w:p>
        </w:tc>
      </w:tr>
      <w:tr w:rsidR="005D131D" w:rsidRPr="004B723C" w14:paraId="35644663" w14:textId="77777777" w:rsidTr="00812B6B">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52312911" w14:textId="77777777" w:rsidR="005D131D" w:rsidRPr="004B723C" w:rsidRDefault="005D131D" w:rsidP="00C72C10">
            <w:pPr>
              <w:spacing w:line="276" w:lineRule="auto"/>
              <w:rPr>
                <w:rFonts w:eastAsia="Times New Roman" w:cs="Times New Roman"/>
                <w:b/>
                <w:bCs/>
                <w:color w:val="000000"/>
                <w:sz w:val="18"/>
                <w:szCs w:val="18"/>
                <w:lang w:eastAsia="en-GB"/>
              </w:rPr>
            </w:pPr>
            <w:r w:rsidRPr="004B723C">
              <w:rPr>
                <w:rFonts w:cs="Times New Roman"/>
                <w:color w:val="000000"/>
                <w:sz w:val="18"/>
                <w:szCs w:val="18"/>
              </w:rPr>
              <w:t>TAC–MMF–CS</w:t>
            </w:r>
            <w:r w:rsidRPr="004B723C">
              <w:rPr>
                <w:rFonts w:cs="Times New Roman"/>
                <w:color w:val="000000"/>
                <w:sz w:val="18"/>
                <w:szCs w:val="18"/>
                <w:vertAlign w:val="superscript"/>
              </w:rPr>
              <w:t>4</w:t>
            </w:r>
          </w:p>
        </w:tc>
        <w:tc>
          <w:tcPr>
            <w:tcW w:w="0" w:type="auto"/>
            <w:noWrap/>
          </w:tcPr>
          <w:p w14:paraId="43014745"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4,169/4,405 (94.6%)</w:t>
            </w:r>
          </w:p>
        </w:tc>
        <w:tc>
          <w:tcPr>
            <w:tcW w:w="0" w:type="auto"/>
            <w:noWrap/>
          </w:tcPr>
          <w:p w14:paraId="2317F098"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502/506 (99.2%)</w:t>
            </w:r>
          </w:p>
        </w:tc>
        <w:tc>
          <w:tcPr>
            <w:tcW w:w="0" w:type="auto"/>
            <w:noWrap/>
          </w:tcPr>
          <w:p w14:paraId="6875B87B"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1,729/1,891 (91.4%)</w:t>
            </w:r>
          </w:p>
        </w:tc>
        <w:tc>
          <w:tcPr>
            <w:tcW w:w="0" w:type="auto"/>
            <w:noWrap/>
          </w:tcPr>
          <w:p w14:paraId="0733288B"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955/1,005 (95%)</w:t>
            </w:r>
          </w:p>
        </w:tc>
        <w:tc>
          <w:tcPr>
            <w:tcW w:w="0" w:type="auto"/>
            <w:noWrap/>
          </w:tcPr>
          <w:p w14:paraId="50A71883"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983/1,003 (98%)</w:t>
            </w:r>
          </w:p>
        </w:tc>
      </w:tr>
      <w:tr w:rsidR="005D131D" w:rsidRPr="004B723C" w14:paraId="2A853CFA" w14:textId="77777777" w:rsidTr="00812B6B">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62ED13E9" w14:textId="77777777" w:rsidR="005D131D" w:rsidRPr="004B723C" w:rsidRDefault="005D131D" w:rsidP="00C72C10">
            <w:pPr>
              <w:spacing w:line="276" w:lineRule="auto"/>
              <w:rPr>
                <w:rFonts w:eastAsia="Times New Roman" w:cs="Times New Roman"/>
                <w:b/>
                <w:bCs/>
                <w:color w:val="000000"/>
                <w:sz w:val="18"/>
                <w:szCs w:val="18"/>
                <w:lang w:eastAsia="en-GB"/>
              </w:rPr>
            </w:pPr>
            <w:r w:rsidRPr="004B723C">
              <w:rPr>
                <w:rFonts w:cs="Times New Roman"/>
                <w:color w:val="000000"/>
                <w:sz w:val="18"/>
                <w:szCs w:val="18"/>
              </w:rPr>
              <w:lastRenderedPageBreak/>
              <w:t>Other maintenance therapy</w:t>
            </w:r>
          </w:p>
        </w:tc>
        <w:tc>
          <w:tcPr>
            <w:tcW w:w="0" w:type="auto"/>
            <w:noWrap/>
          </w:tcPr>
          <w:p w14:paraId="3C21CA94"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236/4,405 (5.4%)</w:t>
            </w:r>
          </w:p>
        </w:tc>
        <w:tc>
          <w:tcPr>
            <w:tcW w:w="0" w:type="auto"/>
            <w:noWrap/>
          </w:tcPr>
          <w:p w14:paraId="7765700C"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4/506 (0.8%)</w:t>
            </w:r>
          </w:p>
        </w:tc>
        <w:tc>
          <w:tcPr>
            <w:tcW w:w="0" w:type="auto"/>
            <w:noWrap/>
          </w:tcPr>
          <w:p w14:paraId="098865DD"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162/1,891 (8.6%)</w:t>
            </w:r>
          </w:p>
        </w:tc>
        <w:tc>
          <w:tcPr>
            <w:tcW w:w="0" w:type="auto"/>
            <w:noWrap/>
          </w:tcPr>
          <w:p w14:paraId="50B8792B"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50/1,005 (5%)</w:t>
            </w:r>
          </w:p>
        </w:tc>
        <w:tc>
          <w:tcPr>
            <w:tcW w:w="0" w:type="auto"/>
            <w:noWrap/>
          </w:tcPr>
          <w:p w14:paraId="500D5511" w14:textId="77777777" w:rsidR="005D131D" w:rsidRPr="004B723C" w:rsidRDefault="005D13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20/1,003 (2%)</w:t>
            </w:r>
          </w:p>
        </w:tc>
      </w:tr>
    </w:tbl>
    <w:p w14:paraId="676982F0" w14:textId="77777777" w:rsidR="006C56E6" w:rsidRPr="004B723C" w:rsidRDefault="006C56E6" w:rsidP="006C56E6">
      <w:pPr>
        <w:spacing w:before="240" w:line="480" w:lineRule="auto"/>
      </w:pPr>
      <w:r w:rsidRPr="004B723C">
        <w:t>Data are median (IQR), mean (SD), or n/N (%).</w:t>
      </w:r>
    </w:p>
    <w:p w14:paraId="55D13237" w14:textId="77777777" w:rsidR="006C56E6" w:rsidRPr="004B723C" w:rsidRDefault="006C56E6" w:rsidP="006C56E6">
      <w:pPr>
        <w:spacing w:line="480" w:lineRule="auto"/>
      </w:pPr>
      <w:r w:rsidRPr="004B723C">
        <w:t>Abbreviations</w:t>
      </w:r>
      <w:r w:rsidRPr="004B723C">
        <w:rPr>
          <w:b/>
          <w:bCs/>
        </w:rPr>
        <w:t xml:space="preserve">: </w:t>
      </w:r>
      <w:r w:rsidRPr="004B723C">
        <w:t>ATG: anti-thymocyte globulin; CMV: cytomegalovirus; CS: corticosteroids; D+/R+: CMV-seropositive donor to CMV-seropositive recipient; D+/R−: CMV-seropositive donor to CMV-seronegative recipient; D−/R+: CMV-seronegative donor to CMV-seropositive recipient; D−/R−: CMV-seronegative donor to CMV-seronegative recipient; DSA: donor-specific antibody; HLA: human leukocyte antigen; IL2R: interleukin-2 receptor; MMF: mycophenolate mofetil; RTX: rituximab; TAC: tacrolimus.</w:t>
      </w:r>
    </w:p>
    <w:p w14:paraId="55803994" w14:textId="77777777" w:rsidR="006C56E6" w:rsidRPr="004B723C" w:rsidRDefault="006C56E6" w:rsidP="006C56E6">
      <w:r w:rsidRPr="004B723C">
        <w:t>Missing</w:t>
      </w:r>
      <w:r w:rsidRPr="004B723C">
        <w:rPr>
          <w:b/>
          <w:bCs/>
        </w:rPr>
        <w:t xml:space="preserve"> </w:t>
      </w:r>
      <w:r w:rsidRPr="004B723C">
        <w:t>data</w:t>
      </w:r>
      <w:r w:rsidRPr="004B723C">
        <w:rPr>
          <w:b/>
          <w:bCs/>
        </w:rPr>
        <w:t>:</w:t>
      </w:r>
      <w:r w:rsidRPr="004B723C">
        <w:t xml:space="preserve"> cold ischemia time</w:t>
      </w:r>
      <w:r w:rsidRPr="004B723C">
        <w:rPr>
          <w:vertAlign w:val="superscript"/>
        </w:rPr>
        <w:t>1</w:t>
      </w:r>
      <w:r w:rsidRPr="004B723C">
        <w:t xml:space="preserve"> (16 transplants); HLA-DSA at transplantation</w:t>
      </w:r>
      <w:r w:rsidRPr="004B723C">
        <w:rPr>
          <w:vertAlign w:val="superscript"/>
        </w:rPr>
        <w:t>2</w:t>
      </w:r>
      <w:r w:rsidRPr="004B723C">
        <w:t xml:space="preserve"> (4); induction type</w:t>
      </w:r>
      <w:r w:rsidRPr="004B723C">
        <w:rPr>
          <w:vertAlign w:val="superscript"/>
        </w:rPr>
        <w:t>3</w:t>
      </w:r>
      <w:r w:rsidRPr="004B723C">
        <w:t xml:space="preserve"> (6); maintenance immunosuppression</w:t>
      </w:r>
      <w:r w:rsidRPr="004B723C">
        <w:rPr>
          <w:vertAlign w:val="superscript"/>
        </w:rPr>
        <w:t>4</w:t>
      </w:r>
      <w:r w:rsidRPr="004B723C">
        <w:t xml:space="preserve"> (6).</w:t>
      </w:r>
    </w:p>
    <w:p w14:paraId="0DD0170A" w14:textId="77777777" w:rsidR="006C56E6" w:rsidRPr="004B723C" w:rsidRDefault="006C56E6" w:rsidP="005D131D"/>
    <w:p w14:paraId="11536039" w14:textId="77777777" w:rsidR="006C56E6" w:rsidRPr="004B723C" w:rsidRDefault="006C56E6" w:rsidP="007F3A2D">
      <w:pPr>
        <w:sectPr w:rsidR="006C56E6" w:rsidRPr="004B723C" w:rsidSect="00380509">
          <w:pgSz w:w="16838" w:h="11906" w:orient="landscape"/>
          <w:pgMar w:top="1417" w:right="1417" w:bottom="1417" w:left="1417" w:header="708" w:footer="708" w:gutter="0"/>
          <w:cols w:space="708"/>
          <w:docGrid w:linePitch="360"/>
        </w:sectPr>
      </w:pPr>
    </w:p>
    <w:p w14:paraId="591B8910" w14:textId="4485526D" w:rsidR="00596FDE" w:rsidRPr="004B723C" w:rsidRDefault="00C3786A" w:rsidP="007F3A2D">
      <w:pPr>
        <w:pStyle w:val="Heading2"/>
      </w:pPr>
      <w:bookmarkStart w:id="1" w:name="_Toc216645087"/>
      <w:bookmarkStart w:id="2" w:name="_Hlk209536428"/>
      <w:r w:rsidRPr="004B723C">
        <w:lastRenderedPageBreak/>
        <w:t xml:space="preserve">Table </w:t>
      </w:r>
      <w:r w:rsidR="003C01B3" w:rsidRPr="004B723C">
        <w:t>S</w:t>
      </w:r>
      <w:r w:rsidR="00267FED" w:rsidRPr="004B723C">
        <w:t>2</w:t>
      </w:r>
      <w:r w:rsidRPr="004B723C">
        <w:t xml:space="preserve">: </w:t>
      </w:r>
      <w:r w:rsidR="009F76DB" w:rsidRPr="004B723C">
        <w:t>Fi</w:t>
      </w:r>
      <w:r w:rsidR="007266D3" w:rsidRPr="004B723C">
        <w:t>r</w:t>
      </w:r>
      <w:r w:rsidR="009F76DB" w:rsidRPr="004B723C">
        <w:t>st MVI b</w:t>
      </w:r>
      <w:r w:rsidR="00814F36" w:rsidRPr="004B723C">
        <w:t xml:space="preserve">iopsy characteristics </w:t>
      </w:r>
      <w:r w:rsidR="009D6106" w:rsidRPr="004B723C">
        <w:t>by CMV</w:t>
      </w:r>
      <w:r w:rsidR="003E69C3" w:rsidRPr="004B723C">
        <w:t xml:space="preserve"> </w:t>
      </w:r>
      <w:r w:rsidR="002F3F95" w:rsidRPr="004B723C">
        <w:t>serostatus</w:t>
      </w:r>
      <w:bookmarkEnd w:id="1"/>
    </w:p>
    <w:tbl>
      <w:tblPr>
        <w:tblStyle w:val="Nature"/>
        <w:tblW w:w="0" w:type="auto"/>
        <w:jc w:val="center"/>
        <w:tblLook w:val="04A0" w:firstRow="1" w:lastRow="0" w:firstColumn="1" w:lastColumn="0" w:noHBand="0" w:noVBand="1"/>
      </w:tblPr>
      <w:tblGrid>
        <w:gridCol w:w="3341"/>
        <w:gridCol w:w="1706"/>
        <w:gridCol w:w="1571"/>
        <w:gridCol w:w="1436"/>
        <w:gridCol w:w="1571"/>
        <w:gridCol w:w="1436"/>
      </w:tblGrid>
      <w:tr w:rsidR="0069702A" w:rsidRPr="004B723C" w14:paraId="7231B9A3" w14:textId="77777777" w:rsidTr="007F3A2D">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75346D40" w14:textId="1EFD176E" w:rsidR="0069702A" w:rsidRPr="004B723C" w:rsidRDefault="0069702A" w:rsidP="00C72C10">
            <w:pPr>
              <w:spacing w:line="276" w:lineRule="auto"/>
              <w:jc w:val="center"/>
              <w:rPr>
                <w:rFonts w:ascii="Times" w:eastAsia="Times New Roman" w:hAnsi="Times" w:cs="Times"/>
                <w:b/>
                <w:bCs/>
                <w:i w:val="0"/>
                <w:iCs w:val="0"/>
                <w:color w:val="000000"/>
                <w:sz w:val="18"/>
                <w:szCs w:val="18"/>
                <w:highlight w:val="yellow"/>
                <w:lang w:eastAsia="en-GB"/>
              </w:rPr>
            </w:pPr>
            <w:r w:rsidRPr="004B723C">
              <w:rPr>
                <w:rFonts w:ascii="Times" w:eastAsia="Times New Roman" w:hAnsi="Times" w:cs="Times"/>
                <w:b/>
                <w:bCs/>
                <w:color w:val="000000"/>
                <w:sz w:val="18"/>
                <w:szCs w:val="18"/>
                <w:lang w:eastAsia="en-GB"/>
              </w:rPr>
              <w:t>Variable</w:t>
            </w:r>
          </w:p>
        </w:tc>
        <w:tc>
          <w:tcPr>
            <w:tcW w:w="0" w:type="auto"/>
            <w:noWrap/>
          </w:tcPr>
          <w:p w14:paraId="77502A4E" w14:textId="0E17282B" w:rsidR="0069702A" w:rsidRPr="004B723C" w:rsidRDefault="0069702A" w:rsidP="00C72C1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w:eastAsia="Times New Roman" w:hAnsi="Times" w:cs="Times"/>
                <w:b/>
                <w:bCs/>
                <w:i w:val="0"/>
                <w:iCs w:val="0"/>
                <w:color w:val="000000"/>
                <w:sz w:val="18"/>
                <w:szCs w:val="18"/>
                <w:highlight w:val="yellow"/>
                <w:lang w:eastAsia="en-GB"/>
              </w:rPr>
            </w:pPr>
            <w:r w:rsidRPr="004B723C">
              <w:rPr>
                <w:rFonts w:ascii="Times" w:eastAsia="Times New Roman" w:hAnsi="Times" w:cs="Times"/>
                <w:b/>
                <w:bCs/>
                <w:color w:val="000000"/>
                <w:sz w:val="18"/>
                <w:szCs w:val="18"/>
                <w:lang w:eastAsia="en-GB"/>
              </w:rPr>
              <w:t>Full Cohort</w:t>
            </w:r>
            <w:r w:rsidRPr="004B723C">
              <w:rPr>
                <w:rFonts w:ascii="Times" w:eastAsia="Times New Roman" w:hAnsi="Times" w:cs="Times"/>
                <w:b/>
                <w:bCs/>
                <w:color w:val="000000"/>
                <w:sz w:val="18"/>
                <w:szCs w:val="18"/>
                <w:lang w:eastAsia="en-GB"/>
              </w:rPr>
              <w:br/>
              <w:t>(n</w:t>
            </w:r>
            <w:r w:rsidR="00582CCD" w:rsidRPr="004B723C">
              <w:rPr>
                <w:rFonts w:ascii="Times" w:eastAsia="Times New Roman" w:hAnsi="Times" w:cs="Times"/>
                <w:b/>
                <w:bCs/>
                <w:color w:val="000000"/>
                <w:sz w:val="18"/>
                <w:szCs w:val="18"/>
                <w:lang w:eastAsia="en-GB"/>
              </w:rPr>
              <w:t xml:space="preserve">: </w:t>
            </w:r>
            <w:r w:rsidRPr="004B723C">
              <w:rPr>
                <w:rFonts w:ascii="Times" w:eastAsia="Times New Roman" w:hAnsi="Times" w:cs="Times"/>
                <w:b/>
                <w:bCs/>
                <w:color w:val="000000"/>
                <w:sz w:val="18"/>
                <w:szCs w:val="18"/>
                <w:lang w:eastAsia="en-GB"/>
              </w:rPr>
              <w:t>4</w:t>
            </w:r>
            <w:r w:rsidR="007657D8" w:rsidRPr="004B723C">
              <w:rPr>
                <w:rFonts w:ascii="Times" w:eastAsia="Times New Roman" w:hAnsi="Times" w:cs="Times"/>
                <w:b/>
                <w:bCs/>
                <w:color w:val="000000"/>
                <w:sz w:val="18"/>
                <w:szCs w:val="18"/>
                <w:lang w:eastAsia="en-GB"/>
              </w:rPr>
              <w:t>,</w:t>
            </w:r>
            <w:r w:rsidRPr="004B723C">
              <w:rPr>
                <w:rFonts w:ascii="Times" w:eastAsia="Times New Roman" w:hAnsi="Times" w:cs="Times"/>
                <w:b/>
                <w:bCs/>
                <w:color w:val="000000"/>
                <w:sz w:val="18"/>
                <w:szCs w:val="18"/>
                <w:lang w:eastAsia="en-GB"/>
              </w:rPr>
              <w:t>411)</w:t>
            </w:r>
          </w:p>
        </w:tc>
        <w:tc>
          <w:tcPr>
            <w:tcW w:w="0" w:type="auto"/>
            <w:noWrap/>
          </w:tcPr>
          <w:p w14:paraId="5973EE7E" w14:textId="296CA947" w:rsidR="0069702A" w:rsidRPr="004B723C" w:rsidRDefault="00E62AB7" w:rsidP="00C72C1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w:eastAsia="Times New Roman" w:hAnsi="Times" w:cs="Times"/>
                <w:b/>
                <w:bCs/>
                <w:i w:val="0"/>
                <w:iCs w:val="0"/>
                <w:color w:val="000000"/>
                <w:sz w:val="18"/>
                <w:szCs w:val="18"/>
                <w:highlight w:val="yellow"/>
                <w:lang w:eastAsia="en-GB"/>
              </w:rPr>
            </w:pPr>
            <w:r w:rsidRPr="004B723C">
              <w:rPr>
                <w:rFonts w:ascii="Times" w:eastAsia="Times New Roman" w:hAnsi="Times" w:cs="Times"/>
                <w:b/>
                <w:bCs/>
                <w:color w:val="000000"/>
                <w:sz w:val="18"/>
                <w:szCs w:val="18"/>
                <w:lang w:eastAsia="en-GB"/>
              </w:rPr>
              <w:t xml:space="preserve">CMV </w:t>
            </w:r>
            <w:r w:rsidR="0069702A" w:rsidRPr="004B723C">
              <w:rPr>
                <w:rFonts w:ascii="Times" w:eastAsia="Times New Roman" w:hAnsi="Times" w:cs="Times"/>
                <w:b/>
                <w:bCs/>
                <w:color w:val="000000"/>
                <w:sz w:val="18"/>
                <w:szCs w:val="18"/>
                <w:lang w:eastAsia="en-GB"/>
              </w:rPr>
              <w:t>D+/R+</w:t>
            </w:r>
            <w:r w:rsidR="0069702A" w:rsidRPr="004B723C">
              <w:rPr>
                <w:rFonts w:ascii="Times" w:eastAsia="Times New Roman" w:hAnsi="Times" w:cs="Times"/>
                <w:b/>
                <w:bCs/>
                <w:color w:val="000000"/>
                <w:sz w:val="18"/>
                <w:szCs w:val="18"/>
                <w:lang w:eastAsia="en-GB"/>
              </w:rPr>
              <w:br/>
              <w:t>(n</w:t>
            </w:r>
            <w:r w:rsidR="00582CCD" w:rsidRPr="004B723C">
              <w:rPr>
                <w:rFonts w:ascii="Times" w:eastAsia="Times New Roman" w:hAnsi="Times" w:cs="Times"/>
                <w:b/>
                <w:bCs/>
                <w:color w:val="000000"/>
                <w:sz w:val="18"/>
                <w:szCs w:val="18"/>
                <w:lang w:eastAsia="en-GB"/>
              </w:rPr>
              <w:t xml:space="preserve">: </w:t>
            </w:r>
            <w:r w:rsidR="0069702A" w:rsidRPr="004B723C">
              <w:rPr>
                <w:rFonts w:ascii="Times" w:eastAsia="Times New Roman" w:hAnsi="Times" w:cs="Times"/>
                <w:b/>
                <w:bCs/>
                <w:color w:val="000000"/>
                <w:sz w:val="18"/>
                <w:szCs w:val="18"/>
                <w:lang w:eastAsia="en-GB"/>
              </w:rPr>
              <w:t>1</w:t>
            </w:r>
            <w:r w:rsidR="007657D8" w:rsidRPr="004B723C">
              <w:rPr>
                <w:rFonts w:ascii="Times" w:eastAsia="Times New Roman" w:hAnsi="Times" w:cs="Times"/>
                <w:b/>
                <w:bCs/>
                <w:color w:val="000000"/>
                <w:sz w:val="18"/>
                <w:szCs w:val="18"/>
                <w:lang w:eastAsia="en-GB"/>
              </w:rPr>
              <w:t>,</w:t>
            </w:r>
            <w:r w:rsidR="0069702A" w:rsidRPr="004B723C">
              <w:rPr>
                <w:rFonts w:ascii="Times" w:eastAsia="Times New Roman" w:hAnsi="Times" w:cs="Times"/>
                <w:b/>
                <w:bCs/>
                <w:color w:val="000000"/>
                <w:sz w:val="18"/>
                <w:szCs w:val="18"/>
                <w:lang w:eastAsia="en-GB"/>
              </w:rPr>
              <w:t>673)</w:t>
            </w:r>
          </w:p>
        </w:tc>
        <w:tc>
          <w:tcPr>
            <w:tcW w:w="0" w:type="auto"/>
            <w:noWrap/>
          </w:tcPr>
          <w:p w14:paraId="4F9130DD" w14:textId="33CD127B" w:rsidR="0069702A" w:rsidRPr="004B723C" w:rsidRDefault="00E62AB7" w:rsidP="00C72C1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w:eastAsia="Times New Roman" w:hAnsi="Times" w:cs="Times"/>
                <w:b/>
                <w:bCs/>
                <w:i w:val="0"/>
                <w:iCs w:val="0"/>
                <w:color w:val="000000"/>
                <w:sz w:val="18"/>
                <w:szCs w:val="18"/>
                <w:highlight w:val="yellow"/>
                <w:lang w:eastAsia="en-GB"/>
              </w:rPr>
            </w:pPr>
            <w:r w:rsidRPr="004B723C">
              <w:rPr>
                <w:rFonts w:ascii="Times" w:eastAsia="Times New Roman" w:hAnsi="Times" w:cs="Times"/>
                <w:b/>
                <w:bCs/>
                <w:color w:val="000000"/>
                <w:sz w:val="18"/>
                <w:szCs w:val="18"/>
                <w:lang w:eastAsia="en-GB"/>
              </w:rPr>
              <w:t xml:space="preserve">CMV </w:t>
            </w:r>
            <w:r w:rsidR="0069702A" w:rsidRPr="004B723C">
              <w:rPr>
                <w:rFonts w:ascii="Times" w:eastAsia="Times New Roman" w:hAnsi="Times" w:cs="Times"/>
                <w:b/>
                <w:bCs/>
                <w:color w:val="000000"/>
                <w:sz w:val="18"/>
                <w:szCs w:val="18"/>
                <w:lang w:eastAsia="en-GB"/>
              </w:rPr>
              <w:t>D+/R-</w:t>
            </w:r>
            <w:r w:rsidR="0069702A" w:rsidRPr="004B723C">
              <w:rPr>
                <w:rFonts w:ascii="Times" w:eastAsia="Times New Roman" w:hAnsi="Times" w:cs="Times"/>
                <w:b/>
                <w:bCs/>
                <w:color w:val="000000"/>
                <w:sz w:val="18"/>
                <w:szCs w:val="18"/>
                <w:lang w:eastAsia="en-GB"/>
              </w:rPr>
              <w:br/>
              <w:t>(n</w:t>
            </w:r>
            <w:r w:rsidR="00582CCD" w:rsidRPr="004B723C">
              <w:rPr>
                <w:rFonts w:ascii="Times" w:eastAsia="Times New Roman" w:hAnsi="Times" w:cs="Times"/>
                <w:b/>
                <w:bCs/>
                <w:color w:val="000000"/>
                <w:sz w:val="18"/>
                <w:szCs w:val="18"/>
                <w:lang w:eastAsia="en-GB"/>
              </w:rPr>
              <w:t xml:space="preserve">: </w:t>
            </w:r>
            <w:r w:rsidR="0069702A" w:rsidRPr="004B723C">
              <w:rPr>
                <w:rFonts w:ascii="Times" w:eastAsia="Times New Roman" w:hAnsi="Times" w:cs="Times"/>
                <w:b/>
                <w:bCs/>
                <w:color w:val="000000"/>
                <w:sz w:val="18"/>
                <w:szCs w:val="18"/>
                <w:lang w:eastAsia="en-GB"/>
              </w:rPr>
              <w:t>864)</w:t>
            </w:r>
          </w:p>
        </w:tc>
        <w:tc>
          <w:tcPr>
            <w:tcW w:w="0" w:type="auto"/>
            <w:noWrap/>
          </w:tcPr>
          <w:p w14:paraId="100C6701" w14:textId="5D4AC09D" w:rsidR="0069702A" w:rsidRPr="004B723C" w:rsidRDefault="00E62AB7" w:rsidP="00C72C1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w:eastAsia="Times New Roman" w:hAnsi="Times" w:cs="Times"/>
                <w:b/>
                <w:bCs/>
                <w:i w:val="0"/>
                <w:iCs w:val="0"/>
                <w:color w:val="000000"/>
                <w:sz w:val="18"/>
                <w:szCs w:val="18"/>
                <w:highlight w:val="yellow"/>
                <w:lang w:eastAsia="en-GB"/>
              </w:rPr>
            </w:pPr>
            <w:r w:rsidRPr="004B723C">
              <w:rPr>
                <w:rFonts w:ascii="Times" w:eastAsia="Times New Roman" w:hAnsi="Times" w:cs="Times"/>
                <w:b/>
                <w:bCs/>
                <w:color w:val="000000"/>
                <w:sz w:val="18"/>
                <w:szCs w:val="18"/>
                <w:lang w:eastAsia="en-GB"/>
              </w:rPr>
              <w:t xml:space="preserve">CMV </w:t>
            </w:r>
            <w:r w:rsidR="0069702A" w:rsidRPr="004B723C">
              <w:rPr>
                <w:rFonts w:ascii="Times" w:eastAsia="Times New Roman" w:hAnsi="Times" w:cs="Times"/>
                <w:b/>
                <w:bCs/>
                <w:color w:val="000000"/>
                <w:sz w:val="18"/>
                <w:szCs w:val="18"/>
                <w:lang w:eastAsia="en-GB"/>
              </w:rPr>
              <w:t>D-/R+</w:t>
            </w:r>
            <w:r w:rsidR="0069702A" w:rsidRPr="004B723C">
              <w:rPr>
                <w:rFonts w:ascii="Times" w:eastAsia="Times New Roman" w:hAnsi="Times" w:cs="Times"/>
                <w:b/>
                <w:bCs/>
                <w:color w:val="000000"/>
                <w:sz w:val="18"/>
                <w:szCs w:val="18"/>
                <w:lang w:eastAsia="en-GB"/>
              </w:rPr>
              <w:br/>
              <w:t>(n</w:t>
            </w:r>
            <w:r w:rsidR="00582CCD" w:rsidRPr="004B723C">
              <w:rPr>
                <w:rFonts w:ascii="Times" w:eastAsia="Times New Roman" w:hAnsi="Times" w:cs="Times"/>
                <w:b/>
                <w:bCs/>
                <w:color w:val="000000"/>
                <w:sz w:val="18"/>
                <w:szCs w:val="18"/>
                <w:lang w:eastAsia="en-GB"/>
              </w:rPr>
              <w:t xml:space="preserve">: </w:t>
            </w:r>
            <w:r w:rsidR="0069702A" w:rsidRPr="004B723C">
              <w:rPr>
                <w:rFonts w:ascii="Times" w:eastAsia="Times New Roman" w:hAnsi="Times" w:cs="Times"/>
                <w:b/>
                <w:bCs/>
                <w:color w:val="000000"/>
                <w:sz w:val="18"/>
                <w:szCs w:val="18"/>
                <w:lang w:eastAsia="en-GB"/>
              </w:rPr>
              <w:t>1</w:t>
            </w:r>
            <w:r w:rsidR="00A31D9D" w:rsidRPr="004B723C">
              <w:rPr>
                <w:rFonts w:ascii="Times" w:eastAsia="Times New Roman" w:hAnsi="Times" w:cs="Times"/>
                <w:b/>
                <w:bCs/>
                <w:color w:val="000000"/>
                <w:sz w:val="18"/>
                <w:szCs w:val="18"/>
                <w:lang w:eastAsia="en-GB"/>
              </w:rPr>
              <w:t>,</w:t>
            </w:r>
            <w:r w:rsidR="0069702A" w:rsidRPr="004B723C">
              <w:rPr>
                <w:rFonts w:ascii="Times" w:eastAsia="Times New Roman" w:hAnsi="Times" w:cs="Times"/>
                <w:b/>
                <w:bCs/>
                <w:color w:val="000000"/>
                <w:sz w:val="18"/>
                <w:szCs w:val="18"/>
                <w:lang w:eastAsia="en-GB"/>
              </w:rPr>
              <w:t>042)</w:t>
            </w:r>
          </w:p>
        </w:tc>
        <w:tc>
          <w:tcPr>
            <w:tcW w:w="0" w:type="auto"/>
            <w:noWrap/>
          </w:tcPr>
          <w:p w14:paraId="46D8473D" w14:textId="17CC2F43" w:rsidR="0069702A" w:rsidRPr="004B723C" w:rsidRDefault="00E62AB7" w:rsidP="00C72C1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w:eastAsia="Times New Roman" w:hAnsi="Times" w:cs="Times"/>
                <w:b/>
                <w:bCs/>
                <w:i w:val="0"/>
                <w:iCs w:val="0"/>
                <w:color w:val="000000"/>
                <w:sz w:val="18"/>
                <w:szCs w:val="18"/>
                <w:highlight w:val="yellow"/>
                <w:lang w:eastAsia="en-GB"/>
              </w:rPr>
            </w:pPr>
            <w:r w:rsidRPr="004B723C">
              <w:rPr>
                <w:rFonts w:ascii="Times" w:eastAsia="Times New Roman" w:hAnsi="Times" w:cs="Times"/>
                <w:b/>
                <w:bCs/>
                <w:color w:val="000000"/>
                <w:sz w:val="18"/>
                <w:szCs w:val="18"/>
                <w:lang w:eastAsia="en-GB"/>
              </w:rPr>
              <w:t xml:space="preserve">CMV </w:t>
            </w:r>
            <w:r w:rsidR="0069702A" w:rsidRPr="004B723C">
              <w:rPr>
                <w:rFonts w:ascii="Times" w:eastAsia="Times New Roman" w:hAnsi="Times" w:cs="Times"/>
                <w:b/>
                <w:bCs/>
                <w:color w:val="000000"/>
                <w:sz w:val="18"/>
                <w:szCs w:val="18"/>
                <w:lang w:eastAsia="en-GB"/>
              </w:rPr>
              <w:t>D-/R-</w:t>
            </w:r>
            <w:r w:rsidR="0069702A" w:rsidRPr="004B723C">
              <w:rPr>
                <w:rFonts w:ascii="Times" w:eastAsia="Times New Roman" w:hAnsi="Times" w:cs="Times"/>
                <w:b/>
                <w:bCs/>
                <w:color w:val="000000"/>
                <w:sz w:val="18"/>
                <w:szCs w:val="18"/>
                <w:lang w:eastAsia="en-GB"/>
              </w:rPr>
              <w:br/>
              <w:t>(n</w:t>
            </w:r>
            <w:r w:rsidR="00582CCD" w:rsidRPr="004B723C">
              <w:rPr>
                <w:rFonts w:ascii="Times" w:eastAsia="Times New Roman" w:hAnsi="Times" w:cs="Times"/>
                <w:b/>
                <w:bCs/>
                <w:color w:val="000000"/>
                <w:sz w:val="18"/>
                <w:szCs w:val="18"/>
                <w:lang w:eastAsia="en-GB"/>
              </w:rPr>
              <w:t xml:space="preserve">: </w:t>
            </w:r>
            <w:r w:rsidR="0069702A" w:rsidRPr="004B723C">
              <w:rPr>
                <w:rFonts w:ascii="Times" w:eastAsia="Times New Roman" w:hAnsi="Times" w:cs="Times"/>
                <w:b/>
                <w:bCs/>
                <w:color w:val="000000"/>
                <w:sz w:val="18"/>
                <w:szCs w:val="18"/>
                <w:lang w:eastAsia="en-GB"/>
              </w:rPr>
              <w:t>832)</w:t>
            </w:r>
          </w:p>
        </w:tc>
      </w:tr>
      <w:tr w:rsidR="00596FDE" w:rsidRPr="004B723C" w14:paraId="67CD1B21" w14:textId="77777777" w:rsidTr="007F3A2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21A8710E" w14:textId="704468F3" w:rsidR="00596FDE" w:rsidRPr="004B723C" w:rsidRDefault="00596FDE" w:rsidP="00C72C10">
            <w:pPr>
              <w:spacing w:line="276" w:lineRule="auto"/>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 xml:space="preserve">Transplants with ≥1 </w:t>
            </w:r>
            <w:r w:rsidR="00CE156A" w:rsidRPr="004B723C">
              <w:rPr>
                <w:rFonts w:ascii="Times" w:eastAsia="Times New Roman" w:hAnsi="Times" w:cs="Times"/>
                <w:color w:val="000000"/>
                <w:sz w:val="18"/>
                <w:szCs w:val="18"/>
                <w:lang w:eastAsia="en-GB"/>
              </w:rPr>
              <w:t>post–transplant</w:t>
            </w:r>
            <w:r w:rsidRPr="004B723C">
              <w:rPr>
                <w:rFonts w:ascii="Times" w:eastAsia="Times New Roman" w:hAnsi="Times" w:cs="Times"/>
                <w:color w:val="000000"/>
                <w:sz w:val="18"/>
                <w:szCs w:val="18"/>
                <w:lang w:eastAsia="en-GB"/>
              </w:rPr>
              <w:t xml:space="preserve"> biopsy</w:t>
            </w:r>
          </w:p>
        </w:tc>
        <w:tc>
          <w:tcPr>
            <w:tcW w:w="0" w:type="auto"/>
            <w:noWrap/>
            <w:hideMark/>
          </w:tcPr>
          <w:p w14:paraId="5605F835" w14:textId="49B7EAE6"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3</w:t>
            </w:r>
            <w:r w:rsidR="00A31D9D"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713/4</w:t>
            </w:r>
            <w:r w:rsidR="00A31D9D"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411 (84</w:t>
            </w:r>
            <w:r w:rsidR="009B49E1"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2%)</w:t>
            </w:r>
          </w:p>
        </w:tc>
        <w:tc>
          <w:tcPr>
            <w:tcW w:w="0" w:type="auto"/>
            <w:noWrap/>
            <w:hideMark/>
          </w:tcPr>
          <w:p w14:paraId="3E0FE617" w14:textId="274550BA"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1</w:t>
            </w:r>
            <w:r w:rsidR="00A31D9D"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372/1</w:t>
            </w:r>
            <w:r w:rsidR="00A31D9D"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673 (82%)</w:t>
            </w:r>
          </w:p>
        </w:tc>
        <w:tc>
          <w:tcPr>
            <w:tcW w:w="0" w:type="auto"/>
            <w:noWrap/>
            <w:hideMark/>
          </w:tcPr>
          <w:p w14:paraId="02FADC39" w14:textId="2FBB6873"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724/864 (83</w:t>
            </w:r>
            <w:r w:rsidR="009B49E1"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8%)</w:t>
            </w:r>
          </w:p>
        </w:tc>
        <w:tc>
          <w:tcPr>
            <w:tcW w:w="0" w:type="auto"/>
            <w:noWrap/>
            <w:hideMark/>
          </w:tcPr>
          <w:p w14:paraId="6CDF1E57" w14:textId="43A2D706"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874/1</w:t>
            </w:r>
            <w:r w:rsidR="00A31D9D"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042 (83</w:t>
            </w:r>
            <w:r w:rsidR="009B49E1"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9%)</w:t>
            </w:r>
          </w:p>
        </w:tc>
        <w:tc>
          <w:tcPr>
            <w:tcW w:w="0" w:type="auto"/>
            <w:noWrap/>
            <w:hideMark/>
          </w:tcPr>
          <w:p w14:paraId="469BF32F" w14:textId="591FD373"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743/832 (89</w:t>
            </w:r>
            <w:r w:rsidR="009B49E1"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3%)</w:t>
            </w:r>
          </w:p>
        </w:tc>
      </w:tr>
      <w:tr w:rsidR="00596FDE" w:rsidRPr="004B723C" w14:paraId="3DAB71C5" w14:textId="77777777" w:rsidTr="007F3A2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1D1C8776" w14:textId="77777777" w:rsidR="00596FDE" w:rsidRPr="004B723C" w:rsidRDefault="00596FDE" w:rsidP="00C72C10">
            <w:pPr>
              <w:spacing w:line="276" w:lineRule="auto"/>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Number of biopsies</w:t>
            </w:r>
          </w:p>
        </w:tc>
        <w:tc>
          <w:tcPr>
            <w:tcW w:w="0" w:type="auto"/>
            <w:noWrap/>
            <w:hideMark/>
          </w:tcPr>
          <w:p w14:paraId="6A857EB9" w14:textId="547D6DD7"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2</w:t>
            </w:r>
            <w:r w:rsidR="009B49E1"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3 (1</w:t>
            </w:r>
            <w:r w:rsidR="009B49E1"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7)</w:t>
            </w:r>
          </w:p>
        </w:tc>
        <w:tc>
          <w:tcPr>
            <w:tcW w:w="0" w:type="auto"/>
            <w:noWrap/>
            <w:hideMark/>
          </w:tcPr>
          <w:p w14:paraId="1E5B7CA4" w14:textId="6AEBC637"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2 (1</w:t>
            </w:r>
            <w:r w:rsidR="009B49E1"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6)</w:t>
            </w:r>
          </w:p>
        </w:tc>
        <w:tc>
          <w:tcPr>
            <w:tcW w:w="0" w:type="auto"/>
            <w:noWrap/>
            <w:hideMark/>
          </w:tcPr>
          <w:p w14:paraId="36C9559A" w14:textId="56BEFF3B"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2</w:t>
            </w:r>
            <w:r w:rsidR="009B49E1"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3 (1</w:t>
            </w:r>
            <w:r w:rsidR="009B49E1"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7)</w:t>
            </w:r>
          </w:p>
        </w:tc>
        <w:tc>
          <w:tcPr>
            <w:tcW w:w="0" w:type="auto"/>
            <w:noWrap/>
            <w:hideMark/>
          </w:tcPr>
          <w:p w14:paraId="64E5CD5C" w14:textId="0D042A3D"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2</w:t>
            </w:r>
            <w:r w:rsidR="009B49E1"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5 (1</w:t>
            </w:r>
            <w:r w:rsidR="009B49E1"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8)</w:t>
            </w:r>
          </w:p>
        </w:tc>
        <w:tc>
          <w:tcPr>
            <w:tcW w:w="0" w:type="auto"/>
            <w:noWrap/>
            <w:hideMark/>
          </w:tcPr>
          <w:p w14:paraId="5F042926" w14:textId="518A50C8"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2</w:t>
            </w:r>
            <w:r w:rsidR="009B49E1"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7 (1</w:t>
            </w:r>
            <w:r w:rsidR="009B49E1"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7)</w:t>
            </w:r>
          </w:p>
        </w:tc>
      </w:tr>
      <w:tr w:rsidR="00596FDE" w:rsidRPr="004B723C" w14:paraId="762E77C9" w14:textId="77777777" w:rsidTr="007F3A2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753859AC" w14:textId="77777777" w:rsidR="00596FDE" w:rsidRPr="004B723C" w:rsidRDefault="00596FDE" w:rsidP="00C72C10">
            <w:pPr>
              <w:spacing w:line="276" w:lineRule="auto"/>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MVI</w:t>
            </w:r>
          </w:p>
        </w:tc>
        <w:tc>
          <w:tcPr>
            <w:tcW w:w="0" w:type="auto"/>
            <w:noWrap/>
            <w:hideMark/>
          </w:tcPr>
          <w:p w14:paraId="0DD503CA" w14:textId="4249F261"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547/3</w:t>
            </w:r>
            <w:r w:rsidR="00A31D9D"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713 (14</w:t>
            </w:r>
            <w:r w:rsidR="009B49E1"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7%)</w:t>
            </w:r>
          </w:p>
        </w:tc>
        <w:tc>
          <w:tcPr>
            <w:tcW w:w="0" w:type="auto"/>
            <w:noWrap/>
            <w:hideMark/>
          </w:tcPr>
          <w:p w14:paraId="3FFF09DD" w14:textId="29E45865"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207/1</w:t>
            </w:r>
            <w:r w:rsidR="00A31D9D"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372 (15</w:t>
            </w:r>
            <w:r w:rsidR="009B49E1"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1%)</w:t>
            </w:r>
          </w:p>
        </w:tc>
        <w:tc>
          <w:tcPr>
            <w:tcW w:w="0" w:type="auto"/>
            <w:noWrap/>
            <w:hideMark/>
          </w:tcPr>
          <w:p w14:paraId="362A46F1" w14:textId="381FD669"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104/724 (14</w:t>
            </w:r>
            <w:r w:rsidR="009B49E1"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4%)</w:t>
            </w:r>
          </w:p>
        </w:tc>
        <w:tc>
          <w:tcPr>
            <w:tcW w:w="0" w:type="auto"/>
            <w:noWrap/>
            <w:hideMark/>
          </w:tcPr>
          <w:p w14:paraId="0EF0555C" w14:textId="77777777"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166/874 (19%)</w:t>
            </w:r>
          </w:p>
        </w:tc>
        <w:tc>
          <w:tcPr>
            <w:tcW w:w="0" w:type="auto"/>
            <w:noWrap/>
            <w:hideMark/>
          </w:tcPr>
          <w:p w14:paraId="35075AAD" w14:textId="38714B11"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70/743 (9</w:t>
            </w:r>
            <w:r w:rsidR="009B49E1"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4%)</w:t>
            </w:r>
          </w:p>
        </w:tc>
      </w:tr>
      <w:tr w:rsidR="00596FDE" w:rsidRPr="004B723C" w14:paraId="7DAFA5F2" w14:textId="77777777" w:rsidTr="007F3A2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6FB64B29" w14:textId="77777777" w:rsidR="00596FDE" w:rsidRPr="004B723C" w:rsidRDefault="00596FDE" w:rsidP="00C72C10">
            <w:pPr>
              <w:spacing w:line="276" w:lineRule="auto"/>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Time to MVI</w:t>
            </w:r>
          </w:p>
        </w:tc>
        <w:tc>
          <w:tcPr>
            <w:tcW w:w="0" w:type="auto"/>
            <w:noWrap/>
            <w:hideMark/>
          </w:tcPr>
          <w:p w14:paraId="3F6E4886" w14:textId="77777777"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365 (93–736)</w:t>
            </w:r>
          </w:p>
        </w:tc>
        <w:tc>
          <w:tcPr>
            <w:tcW w:w="0" w:type="auto"/>
            <w:noWrap/>
            <w:hideMark/>
          </w:tcPr>
          <w:p w14:paraId="04E1146D" w14:textId="241950BF"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155 (84</w:t>
            </w:r>
            <w:r w:rsidR="009B49E1"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8–480</w:t>
            </w:r>
            <w:r w:rsidR="009B49E1"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5)</w:t>
            </w:r>
          </w:p>
        </w:tc>
        <w:tc>
          <w:tcPr>
            <w:tcW w:w="0" w:type="auto"/>
            <w:noWrap/>
            <w:hideMark/>
          </w:tcPr>
          <w:p w14:paraId="49D9419C" w14:textId="77777777"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367 (93–739)</w:t>
            </w:r>
          </w:p>
        </w:tc>
        <w:tc>
          <w:tcPr>
            <w:tcW w:w="0" w:type="auto"/>
            <w:noWrap/>
            <w:hideMark/>
          </w:tcPr>
          <w:p w14:paraId="2EB6D75D" w14:textId="5665E643"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372</w:t>
            </w:r>
            <w:r w:rsidR="009B49E1"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5 (93</w:t>
            </w:r>
            <w:r w:rsidR="009B49E1"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2–746)</w:t>
            </w:r>
          </w:p>
        </w:tc>
        <w:tc>
          <w:tcPr>
            <w:tcW w:w="0" w:type="auto"/>
            <w:noWrap/>
            <w:hideMark/>
          </w:tcPr>
          <w:p w14:paraId="3770CE85" w14:textId="1E3F7F5E"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423 (174</w:t>
            </w:r>
            <w:r w:rsidR="009B49E1"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5–759)</w:t>
            </w:r>
          </w:p>
        </w:tc>
      </w:tr>
      <w:tr w:rsidR="00596FDE" w:rsidRPr="004B723C" w14:paraId="66514480" w14:textId="77777777" w:rsidTr="007F3A2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567E28C1" w14:textId="4E1B4580" w:rsidR="00596FDE" w:rsidRPr="004B723C" w:rsidRDefault="00596FDE" w:rsidP="00C72C10">
            <w:pPr>
              <w:spacing w:line="276" w:lineRule="auto"/>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MVI without</w:t>
            </w:r>
            <w:r w:rsidR="00264E2A" w:rsidRPr="004B723C">
              <w:rPr>
                <w:rFonts w:ascii="Times" w:eastAsia="Times New Roman" w:hAnsi="Times" w:cs="Times"/>
                <w:color w:val="000000"/>
                <w:sz w:val="18"/>
                <w:szCs w:val="18"/>
                <w:lang w:eastAsia="en-GB"/>
              </w:rPr>
              <w:t xml:space="preserve"> glomerulitis criterion</w:t>
            </w:r>
          </w:p>
        </w:tc>
        <w:tc>
          <w:tcPr>
            <w:tcW w:w="0" w:type="auto"/>
            <w:noWrap/>
            <w:hideMark/>
          </w:tcPr>
          <w:p w14:paraId="40EE470F" w14:textId="050609A0"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653/3</w:t>
            </w:r>
            <w:r w:rsidR="00A31D9D"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713 (17</w:t>
            </w:r>
            <w:r w:rsidR="009B49E1"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6%)</w:t>
            </w:r>
          </w:p>
        </w:tc>
        <w:tc>
          <w:tcPr>
            <w:tcW w:w="0" w:type="auto"/>
            <w:noWrap/>
            <w:hideMark/>
          </w:tcPr>
          <w:p w14:paraId="1028E737" w14:textId="53ABF5BF"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255/1</w:t>
            </w:r>
            <w:r w:rsidR="00A31D9D"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372 (18</w:t>
            </w:r>
            <w:r w:rsidR="009B49E1"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6%)</w:t>
            </w:r>
          </w:p>
        </w:tc>
        <w:tc>
          <w:tcPr>
            <w:tcW w:w="0" w:type="auto"/>
            <w:noWrap/>
            <w:hideMark/>
          </w:tcPr>
          <w:p w14:paraId="0C3AD784" w14:textId="06FF8A30"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122/724 (16</w:t>
            </w:r>
            <w:r w:rsidR="009B49E1"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9%)</w:t>
            </w:r>
          </w:p>
        </w:tc>
        <w:tc>
          <w:tcPr>
            <w:tcW w:w="0" w:type="auto"/>
            <w:noWrap/>
            <w:hideMark/>
          </w:tcPr>
          <w:p w14:paraId="486A8EB6" w14:textId="14651933"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189/874 (21</w:t>
            </w:r>
            <w:r w:rsidR="009B49E1"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6%)</w:t>
            </w:r>
          </w:p>
        </w:tc>
        <w:tc>
          <w:tcPr>
            <w:tcW w:w="0" w:type="auto"/>
            <w:noWrap/>
            <w:hideMark/>
          </w:tcPr>
          <w:p w14:paraId="3AF1B8F4" w14:textId="05847121"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87/743 (11</w:t>
            </w:r>
            <w:r w:rsidR="009B49E1"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7%)</w:t>
            </w:r>
          </w:p>
        </w:tc>
      </w:tr>
      <w:tr w:rsidR="00596FDE" w:rsidRPr="004B723C" w14:paraId="2D45D36C" w14:textId="77777777" w:rsidTr="007F3A2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56BDD6DD" w14:textId="187317A1" w:rsidR="00596FDE" w:rsidRPr="004B723C" w:rsidRDefault="00596FDE" w:rsidP="00C72C10">
            <w:pPr>
              <w:spacing w:line="276" w:lineRule="auto"/>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 xml:space="preserve">Time to MVI without </w:t>
            </w:r>
            <w:r w:rsidR="00264E2A" w:rsidRPr="004B723C">
              <w:rPr>
                <w:rFonts w:ascii="Times" w:eastAsia="Times New Roman" w:hAnsi="Times" w:cs="Times"/>
                <w:color w:val="000000"/>
                <w:sz w:val="18"/>
                <w:szCs w:val="18"/>
                <w:lang w:eastAsia="en-GB"/>
              </w:rPr>
              <w:t>glomerulitis criterion</w:t>
            </w:r>
          </w:p>
        </w:tc>
        <w:tc>
          <w:tcPr>
            <w:tcW w:w="0" w:type="auto"/>
            <w:noWrap/>
            <w:hideMark/>
          </w:tcPr>
          <w:p w14:paraId="4BE8B97F" w14:textId="77777777"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359 (91–734)</w:t>
            </w:r>
          </w:p>
        </w:tc>
        <w:tc>
          <w:tcPr>
            <w:tcW w:w="0" w:type="auto"/>
            <w:noWrap/>
            <w:hideMark/>
          </w:tcPr>
          <w:p w14:paraId="3A21157A" w14:textId="79279FA4"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140</w:t>
            </w:r>
            <w:r w:rsidR="009B49E1"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5 (78</w:t>
            </w:r>
            <w:r w:rsidR="009B49E1"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8–429)</w:t>
            </w:r>
          </w:p>
        </w:tc>
        <w:tc>
          <w:tcPr>
            <w:tcW w:w="0" w:type="auto"/>
            <w:noWrap/>
            <w:hideMark/>
          </w:tcPr>
          <w:p w14:paraId="2241C915" w14:textId="77777777"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365 (92–735)</w:t>
            </w:r>
          </w:p>
        </w:tc>
        <w:tc>
          <w:tcPr>
            <w:tcW w:w="0" w:type="auto"/>
            <w:noWrap/>
            <w:hideMark/>
          </w:tcPr>
          <w:p w14:paraId="50CBE359" w14:textId="77777777"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369 (92–743)</w:t>
            </w:r>
          </w:p>
        </w:tc>
        <w:tc>
          <w:tcPr>
            <w:tcW w:w="0" w:type="auto"/>
            <w:noWrap/>
            <w:hideMark/>
          </w:tcPr>
          <w:p w14:paraId="38DDBA6E" w14:textId="00245FC7"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408 (127</w:t>
            </w:r>
            <w:r w:rsidR="009B49E1"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5–757)</w:t>
            </w:r>
          </w:p>
        </w:tc>
      </w:tr>
      <w:tr w:rsidR="00596FDE" w:rsidRPr="004B723C" w14:paraId="24AD9082" w14:textId="77777777" w:rsidTr="007F3A2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6ACC9852" w14:textId="77777777" w:rsidR="00596FDE" w:rsidRPr="004B723C" w:rsidRDefault="00596FDE" w:rsidP="00C72C10">
            <w:pPr>
              <w:spacing w:line="276" w:lineRule="auto"/>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Current/historic DSA positive</w:t>
            </w:r>
          </w:p>
        </w:tc>
        <w:tc>
          <w:tcPr>
            <w:tcW w:w="0" w:type="auto"/>
            <w:noWrap/>
            <w:hideMark/>
          </w:tcPr>
          <w:p w14:paraId="45FC6392" w14:textId="0E7AF8E3"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194/547 (35</w:t>
            </w:r>
            <w:r w:rsidR="009B49E1"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5%)</w:t>
            </w:r>
          </w:p>
        </w:tc>
        <w:tc>
          <w:tcPr>
            <w:tcW w:w="0" w:type="auto"/>
            <w:noWrap/>
            <w:hideMark/>
          </w:tcPr>
          <w:p w14:paraId="7E84B386" w14:textId="1EAADAA9"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75/207 (36</w:t>
            </w:r>
            <w:r w:rsidR="009B49E1"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2%)</w:t>
            </w:r>
          </w:p>
        </w:tc>
        <w:tc>
          <w:tcPr>
            <w:tcW w:w="0" w:type="auto"/>
            <w:noWrap/>
            <w:hideMark/>
          </w:tcPr>
          <w:p w14:paraId="43E81391" w14:textId="1B933E19"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33/104 (31</w:t>
            </w:r>
            <w:r w:rsidR="009B49E1"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7%)</w:t>
            </w:r>
          </w:p>
        </w:tc>
        <w:tc>
          <w:tcPr>
            <w:tcW w:w="0" w:type="auto"/>
            <w:noWrap/>
            <w:hideMark/>
          </w:tcPr>
          <w:p w14:paraId="39436D21" w14:textId="7AC213AE"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58/166 (34</w:t>
            </w:r>
            <w:r w:rsidR="009B49E1"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9%)</w:t>
            </w:r>
          </w:p>
        </w:tc>
        <w:tc>
          <w:tcPr>
            <w:tcW w:w="0" w:type="auto"/>
            <w:noWrap/>
            <w:hideMark/>
          </w:tcPr>
          <w:p w14:paraId="6ABE6174" w14:textId="77777777"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28/70 (40%)</w:t>
            </w:r>
          </w:p>
        </w:tc>
      </w:tr>
      <w:tr w:rsidR="00596FDE" w:rsidRPr="004B723C" w14:paraId="263AA8ED" w14:textId="77777777" w:rsidTr="007F3A2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318D9E40" w14:textId="77777777" w:rsidR="00596FDE" w:rsidRPr="00521D6F" w:rsidRDefault="00596FDE" w:rsidP="00C72C10">
            <w:pPr>
              <w:spacing w:line="276" w:lineRule="auto"/>
              <w:rPr>
                <w:rFonts w:ascii="Times" w:eastAsia="Times New Roman" w:hAnsi="Times" w:cs="Times"/>
                <w:color w:val="000000"/>
                <w:sz w:val="18"/>
                <w:szCs w:val="18"/>
                <w:lang w:val="fr-BE" w:eastAsia="en-GB"/>
              </w:rPr>
            </w:pPr>
            <w:r w:rsidRPr="00521D6F">
              <w:rPr>
                <w:rFonts w:ascii="Times" w:eastAsia="Times New Roman" w:hAnsi="Times" w:cs="Times"/>
                <w:color w:val="000000"/>
                <w:sz w:val="18"/>
                <w:szCs w:val="18"/>
                <w:lang w:val="fr-BE" w:eastAsia="en-GB"/>
              </w:rPr>
              <w:t>Current de novo DSA positive</w:t>
            </w:r>
          </w:p>
        </w:tc>
        <w:tc>
          <w:tcPr>
            <w:tcW w:w="0" w:type="auto"/>
            <w:noWrap/>
            <w:hideMark/>
          </w:tcPr>
          <w:p w14:paraId="20FCBA9E" w14:textId="0279E8CF"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42/547 (7</w:t>
            </w:r>
            <w:r w:rsidR="009B49E1"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7%)</w:t>
            </w:r>
          </w:p>
        </w:tc>
        <w:tc>
          <w:tcPr>
            <w:tcW w:w="0" w:type="auto"/>
            <w:noWrap/>
            <w:hideMark/>
          </w:tcPr>
          <w:p w14:paraId="1A90102C" w14:textId="19E50493"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8/207 (3</w:t>
            </w:r>
            <w:r w:rsidR="009B49E1"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9%)</w:t>
            </w:r>
          </w:p>
        </w:tc>
        <w:tc>
          <w:tcPr>
            <w:tcW w:w="0" w:type="auto"/>
            <w:noWrap/>
            <w:hideMark/>
          </w:tcPr>
          <w:p w14:paraId="23C93A7C" w14:textId="01ED37CD"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14/104 (13</w:t>
            </w:r>
            <w:r w:rsidR="009B49E1"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5%)</w:t>
            </w:r>
          </w:p>
        </w:tc>
        <w:tc>
          <w:tcPr>
            <w:tcW w:w="0" w:type="auto"/>
            <w:noWrap/>
            <w:hideMark/>
          </w:tcPr>
          <w:p w14:paraId="79D559FF" w14:textId="04826707"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14/166 (8</w:t>
            </w:r>
            <w:r w:rsidR="009B49E1"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4%)</w:t>
            </w:r>
          </w:p>
        </w:tc>
        <w:tc>
          <w:tcPr>
            <w:tcW w:w="0" w:type="auto"/>
            <w:noWrap/>
            <w:hideMark/>
          </w:tcPr>
          <w:p w14:paraId="08EA7943" w14:textId="19B729D3"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6/70 (8</w:t>
            </w:r>
            <w:r w:rsidR="009B49E1"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6%)</w:t>
            </w:r>
          </w:p>
        </w:tc>
      </w:tr>
      <w:tr w:rsidR="00596FDE" w:rsidRPr="004B723C" w14:paraId="35A09798" w14:textId="77777777" w:rsidTr="007F3A2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336F5EAB" w14:textId="77777777" w:rsidR="00596FDE" w:rsidRPr="004B723C" w:rsidRDefault="00596FDE" w:rsidP="00C72C10">
            <w:pPr>
              <w:spacing w:line="276" w:lineRule="auto"/>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C4d deposition</w:t>
            </w:r>
          </w:p>
        </w:tc>
        <w:tc>
          <w:tcPr>
            <w:tcW w:w="0" w:type="auto"/>
            <w:noWrap/>
            <w:hideMark/>
          </w:tcPr>
          <w:p w14:paraId="528FA667" w14:textId="22CC498E"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113/547 (20</w:t>
            </w:r>
            <w:r w:rsidR="009B49E1"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7%)</w:t>
            </w:r>
          </w:p>
        </w:tc>
        <w:tc>
          <w:tcPr>
            <w:tcW w:w="0" w:type="auto"/>
            <w:noWrap/>
            <w:hideMark/>
          </w:tcPr>
          <w:p w14:paraId="6BEFA6EA" w14:textId="122E82E0"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41/207 (19</w:t>
            </w:r>
            <w:r w:rsidR="009B49E1"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8%)</w:t>
            </w:r>
          </w:p>
        </w:tc>
        <w:tc>
          <w:tcPr>
            <w:tcW w:w="0" w:type="auto"/>
            <w:noWrap/>
            <w:hideMark/>
          </w:tcPr>
          <w:p w14:paraId="63E3559E" w14:textId="1D5F82A3"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24/104 (23</w:t>
            </w:r>
            <w:r w:rsidR="009B49E1"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1%)</w:t>
            </w:r>
          </w:p>
        </w:tc>
        <w:tc>
          <w:tcPr>
            <w:tcW w:w="0" w:type="auto"/>
            <w:noWrap/>
            <w:hideMark/>
          </w:tcPr>
          <w:p w14:paraId="23587CEB" w14:textId="74236C55"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27/166 (16</w:t>
            </w:r>
            <w:r w:rsidR="009B49E1"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3%)</w:t>
            </w:r>
          </w:p>
        </w:tc>
        <w:tc>
          <w:tcPr>
            <w:tcW w:w="0" w:type="auto"/>
            <w:noWrap/>
            <w:hideMark/>
          </w:tcPr>
          <w:p w14:paraId="14BD1A24" w14:textId="77777777"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21/70 (30%)</w:t>
            </w:r>
          </w:p>
        </w:tc>
      </w:tr>
      <w:tr w:rsidR="00596FDE" w:rsidRPr="004B723C" w14:paraId="5B25BD0B" w14:textId="77777777" w:rsidTr="007F3A2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6CE464C1" w14:textId="77777777" w:rsidR="00596FDE" w:rsidRPr="004B723C" w:rsidRDefault="00596FDE" w:rsidP="00C72C10">
            <w:pPr>
              <w:spacing w:line="276" w:lineRule="auto"/>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C4d deposition, IHC</w:t>
            </w:r>
          </w:p>
        </w:tc>
        <w:tc>
          <w:tcPr>
            <w:tcW w:w="0" w:type="auto"/>
            <w:noWrap/>
            <w:hideMark/>
          </w:tcPr>
          <w:p w14:paraId="10FA2558" w14:textId="0DFFFB85"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100/547 (18</w:t>
            </w:r>
            <w:r w:rsidR="009B49E1"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3%)</w:t>
            </w:r>
          </w:p>
        </w:tc>
        <w:tc>
          <w:tcPr>
            <w:tcW w:w="0" w:type="auto"/>
            <w:noWrap/>
            <w:hideMark/>
          </w:tcPr>
          <w:p w14:paraId="677763BA" w14:textId="3060D823"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36/207 (17</w:t>
            </w:r>
            <w:r w:rsidR="009B49E1"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4%)</w:t>
            </w:r>
          </w:p>
        </w:tc>
        <w:tc>
          <w:tcPr>
            <w:tcW w:w="0" w:type="auto"/>
            <w:noWrap/>
            <w:hideMark/>
          </w:tcPr>
          <w:p w14:paraId="6A39D0B4" w14:textId="0E5080BF"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19/104 (18</w:t>
            </w:r>
            <w:r w:rsidR="009B49E1"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3%)</w:t>
            </w:r>
          </w:p>
        </w:tc>
        <w:tc>
          <w:tcPr>
            <w:tcW w:w="0" w:type="auto"/>
            <w:noWrap/>
            <w:hideMark/>
          </w:tcPr>
          <w:p w14:paraId="47086614" w14:textId="4167E48C"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25/166 (15</w:t>
            </w:r>
            <w:r w:rsidR="009B49E1"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1%)</w:t>
            </w:r>
          </w:p>
        </w:tc>
        <w:tc>
          <w:tcPr>
            <w:tcW w:w="0" w:type="auto"/>
            <w:noWrap/>
            <w:hideMark/>
          </w:tcPr>
          <w:p w14:paraId="2840DB31" w14:textId="49B79B70"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20/70 (28</w:t>
            </w:r>
            <w:r w:rsidR="009B49E1"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6%)</w:t>
            </w:r>
          </w:p>
        </w:tc>
      </w:tr>
      <w:tr w:rsidR="00596FDE" w:rsidRPr="004B723C" w14:paraId="6BD19497" w14:textId="77777777" w:rsidTr="007F3A2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51D22B75" w14:textId="77777777" w:rsidR="00596FDE" w:rsidRPr="004B723C" w:rsidRDefault="00596FDE" w:rsidP="00C72C10">
            <w:pPr>
              <w:spacing w:line="276" w:lineRule="auto"/>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C4d deposition, IF</w:t>
            </w:r>
          </w:p>
        </w:tc>
        <w:tc>
          <w:tcPr>
            <w:tcW w:w="0" w:type="auto"/>
            <w:noWrap/>
            <w:hideMark/>
          </w:tcPr>
          <w:p w14:paraId="06DA06E4" w14:textId="23D2E398"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13/547 (2</w:t>
            </w:r>
            <w:r w:rsidR="009B49E1"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4%)</w:t>
            </w:r>
          </w:p>
        </w:tc>
        <w:tc>
          <w:tcPr>
            <w:tcW w:w="0" w:type="auto"/>
            <w:noWrap/>
            <w:hideMark/>
          </w:tcPr>
          <w:p w14:paraId="75471511" w14:textId="6C71F1C4"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5/207 (2</w:t>
            </w:r>
            <w:r w:rsidR="009B49E1"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4%)</w:t>
            </w:r>
          </w:p>
        </w:tc>
        <w:tc>
          <w:tcPr>
            <w:tcW w:w="0" w:type="auto"/>
            <w:noWrap/>
            <w:hideMark/>
          </w:tcPr>
          <w:p w14:paraId="43002EE0" w14:textId="6A54EB34"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5/104 (4</w:t>
            </w:r>
            <w:r w:rsidR="009B49E1"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8%)</w:t>
            </w:r>
          </w:p>
        </w:tc>
        <w:tc>
          <w:tcPr>
            <w:tcW w:w="0" w:type="auto"/>
            <w:noWrap/>
            <w:hideMark/>
          </w:tcPr>
          <w:p w14:paraId="79133165" w14:textId="56D02599"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2/166 (1</w:t>
            </w:r>
            <w:r w:rsidR="009B49E1"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2%)</w:t>
            </w:r>
          </w:p>
        </w:tc>
        <w:tc>
          <w:tcPr>
            <w:tcW w:w="0" w:type="auto"/>
            <w:noWrap/>
            <w:hideMark/>
          </w:tcPr>
          <w:p w14:paraId="705AF0B7" w14:textId="0A3F3427"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1/70 (1</w:t>
            </w:r>
            <w:r w:rsidR="009B49E1"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4%)</w:t>
            </w:r>
          </w:p>
        </w:tc>
      </w:tr>
      <w:tr w:rsidR="00596FDE" w:rsidRPr="004B723C" w14:paraId="58DA1820" w14:textId="77777777" w:rsidTr="007F3A2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623E4549" w14:textId="77777777" w:rsidR="00596FDE" w:rsidRPr="004B723C" w:rsidRDefault="00596FDE" w:rsidP="00C72C10">
            <w:pPr>
              <w:spacing w:line="276" w:lineRule="auto"/>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No C4d deposition</w:t>
            </w:r>
          </w:p>
        </w:tc>
        <w:tc>
          <w:tcPr>
            <w:tcW w:w="0" w:type="auto"/>
            <w:noWrap/>
            <w:hideMark/>
          </w:tcPr>
          <w:p w14:paraId="09F4F909" w14:textId="35C08047"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434/547 (79</w:t>
            </w:r>
            <w:r w:rsidR="009B49E1"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3%)</w:t>
            </w:r>
          </w:p>
        </w:tc>
        <w:tc>
          <w:tcPr>
            <w:tcW w:w="0" w:type="auto"/>
            <w:noWrap/>
            <w:hideMark/>
          </w:tcPr>
          <w:p w14:paraId="160276E2" w14:textId="350601E7"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166/207 (80</w:t>
            </w:r>
            <w:r w:rsidR="009B49E1"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2%)</w:t>
            </w:r>
          </w:p>
        </w:tc>
        <w:tc>
          <w:tcPr>
            <w:tcW w:w="0" w:type="auto"/>
            <w:noWrap/>
            <w:hideMark/>
          </w:tcPr>
          <w:p w14:paraId="779780CF" w14:textId="4283DA27"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80/104 (76</w:t>
            </w:r>
            <w:r w:rsidR="009B49E1"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9%)</w:t>
            </w:r>
          </w:p>
        </w:tc>
        <w:tc>
          <w:tcPr>
            <w:tcW w:w="0" w:type="auto"/>
            <w:noWrap/>
            <w:hideMark/>
          </w:tcPr>
          <w:p w14:paraId="0A3574B2" w14:textId="5754DED6"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139/166 (83</w:t>
            </w:r>
            <w:r w:rsidR="009B49E1"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7%)</w:t>
            </w:r>
          </w:p>
        </w:tc>
        <w:tc>
          <w:tcPr>
            <w:tcW w:w="0" w:type="auto"/>
            <w:noWrap/>
            <w:hideMark/>
          </w:tcPr>
          <w:p w14:paraId="3FCA8EEE" w14:textId="77777777"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49/70 (70%)</w:t>
            </w:r>
          </w:p>
        </w:tc>
      </w:tr>
      <w:tr w:rsidR="00596FDE" w:rsidRPr="004B723C" w14:paraId="6CAB81F3" w14:textId="77777777" w:rsidTr="007F3A2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41DC7165" w14:textId="0B9E4ACB" w:rsidR="00596FDE" w:rsidRPr="004B723C" w:rsidRDefault="00596FDE" w:rsidP="00C72C10">
            <w:pPr>
              <w:spacing w:line="276" w:lineRule="auto"/>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DSA−/C4d−/MVI</w:t>
            </w:r>
          </w:p>
        </w:tc>
        <w:tc>
          <w:tcPr>
            <w:tcW w:w="0" w:type="auto"/>
            <w:noWrap/>
            <w:hideMark/>
          </w:tcPr>
          <w:p w14:paraId="40F70D80" w14:textId="6DF59B52"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306/547 (55</w:t>
            </w:r>
            <w:r w:rsidR="009B49E1"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9%)</w:t>
            </w:r>
          </w:p>
        </w:tc>
        <w:tc>
          <w:tcPr>
            <w:tcW w:w="0" w:type="auto"/>
            <w:noWrap/>
            <w:hideMark/>
          </w:tcPr>
          <w:p w14:paraId="60CDD139" w14:textId="025481FE"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113/207 (54</w:t>
            </w:r>
            <w:r w:rsidR="009B49E1"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6%)</w:t>
            </w:r>
          </w:p>
        </w:tc>
        <w:tc>
          <w:tcPr>
            <w:tcW w:w="0" w:type="auto"/>
            <w:noWrap/>
            <w:hideMark/>
          </w:tcPr>
          <w:p w14:paraId="52E05CDC" w14:textId="7F0BA1A5"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61/104 (58</w:t>
            </w:r>
            <w:r w:rsidR="009B49E1"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7%)</w:t>
            </w:r>
          </w:p>
        </w:tc>
        <w:tc>
          <w:tcPr>
            <w:tcW w:w="0" w:type="auto"/>
            <w:noWrap/>
            <w:hideMark/>
          </w:tcPr>
          <w:p w14:paraId="04574602" w14:textId="77777777"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98/166 (59%)</w:t>
            </w:r>
          </w:p>
        </w:tc>
        <w:tc>
          <w:tcPr>
            <w:tcW w:w="0" w:type="auto"/>
            <w:noWrap/>
            <w:hideMark/>
          </w:tcPr>
          <w:p w14:paraId="2325654A" w14:textId="7C4535DE"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34/70 (48</w:t>
            </w:r>
            <w:r w:rsidR="009B49E1"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6%)</w:t>
            </w:r>
          </w:p>
        </w:tc>
      </w:tr>
      <w:tr w:rsidR="00F47165" w:rsidRPr="004B723C" w14:paraId="1E49A0C2" w14:textId="77777777" w:rsidTr="007F3A2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AA53EB7" w14:textId="4C1A2AC7" w:rsidR="00F47165" w:rsidRPr="004B723C" w:rsidRDefault="00FE68FF" w:rsidP="00C72C10">
            <w:pPr>
              <w:spacing w:line="276" w:lineRule="auto"/>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AMR</w:t>
            </w:r>
          </w:p>
        </w:tc>
        <w:tc>
          <w:tcPr>
            <w:tcW w:w="0" w:type="auto"/>
            <w:noWrap/>
            <w:hideMark/>
          </w:tcPr>
          <w:p w14:paraId="0063BAA4" w14:textId="22E7EEA9" w:rsidR="00F47165" w:rsidRPr="004B723C" w:rsidRDefault="00F47165"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241/547 (44</w:t>
            </w:r>
            <w:r w:rsidR="009B49E1"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1%)</w:t>
            </w:r>
          </w:p>
        </w:tc>
        <w:tc>
          <w:tcPr>
            <w:tcW w:w="0" w:type="auto"/>
            <w:noWrap/>
            <w:hideMark/>
          </w:tcPr>
          <w:p w14:paraId="0CFBD5FC" w14:textId="36BB7F1E" w:rsidR="00F47165" w:rsidRPr="004B723C" w:rsidRDefault="00F47165"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94/207 (45</w:t>
            </w:r>
            <w:r w:rsidR="009B49E1"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4%)</w:t>
            </w:r>
          </w:p>
        </w:tc>
        <w:tc>
          <w:tcPr>
            <w:tcW w:w="0" w:type="auto"/>
            <w:noWrap/>
            <w:hideMark/>
          </w:tcPr>
          <w:p w14:paraId="344CE510" w14:textId="520884CE" w:rsidR="00F47165" w:rsidRPr="004B723C" w:rsidRDefault="00F47165"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43/104 (41</w:t>
            </w:r>
            <w:r w:rsidR="009B49E1"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3%)</w:t>
            </w:r>
          </w:p>
        </w:tc>
        <w:tc>
          <w:tcPr>
            <w:tcW w:w="0" w:type="auto"/>
            <w:noWrap/>
            <w:hideMark/>
          </w:tcPr>
          <w:p w14:paraId="04FC67BB" w14:textId="77777777" w:rsidR="00F47165" w:rsidRPr="004B723C" w:rsidRDefault="00F47165"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68/166 (41%)</w:t>
            </w:r>
          </w:p>
        </w:tc>
        <w:tc>
          <w:tcPr>
            <w:tcW w:w="0" w:type="auto"/>
            <w:noWrap/>
            <w:hideMark/>
          </w:tcPr>
          <w:p w14:paraId="62241BC1" w14:textId="2BDBA3AF" w:rsidR="00F47165" w:rsidRPr="004B723C" w:rsidRDefault="00F47165"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36/70 (51</w:t>
            </w:r>
            <w:r w:rsidR="009B49E1"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4%)</w:t>
            </w:r>
          </w:p>
        </w:tc>
      </w:tr>
      <w:tr w:rsidR="00596FDE" w:rsidRPr="004B723C" w14:paraId="449FF4E3" w14:textId="77777777" w:rsidTr="007F3A2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9A8E1FC" w14:textId="0F3DEA38" w:rsidR="00596FDE" w:rsidRPr="004B723C" w:rsidRDefault="00596FDE" w:rsidP="00C72C10">
            <w:pPr>
              <w:spacing w:line="276" w:lineRule="auto"/>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g</w:t>
            </w:r>
            <w:r w:rsidR="000A78F2" w:rsidRPr="004B723C">
              <w:rPr>
                <w:rFonts w:ascii="Times" w:eastAsia="Times New Roman" w:hAnsi="Times" w:cs="Times"/>
                <w:color w:val="000000"/>
                <w:sz w:val="18"/>
                <w:szCs w:val="18"/>
                <w:lang w:eastAsia="en-GB"/>
              </w:rPr>
              <w:t>lomerulitis</w:t>
            </w:r>
            <w:r w:rsidRPr="004B723C">
              <w:rPr>
                <w:rFonts w:ascii="Times" w:eastAsia="Times New Roman" w:hAnsi="Times" w:cs="Times"/>
                <w:color w:val="000000"/>
                <w:sz w:val="18"/>
                <w:szCs w:val="18"/>
                <w:lang w:eastAsia="en-GB"/>
              </w:rPr>
              <w:t xml:space="preserve"> score </w:t>
            </w:r>
            <w:r w:rsidR="00582CCD" w:rsidRPr="004B723C">
              <w:rPr>
                <w:rFonts w:ascii="Times" w:eastAsia="Times New Roman" w:hAnsi="Times" w:cs="Times"/>
                <w:color w:val="000000"/>
                <w:sz w:val="18"/>
                <w:szCs w:val="18"/>
                <w:lang w:eastAsia="en-GB"/>
              </w:rPr>
              <w:t xml:space="preserve">: </w:t>
            </w:r>
            <w:r w:rsidRPr="004B723C">
              <w:rPr>
                <w:rFonts w:ascii="Times" w:eastAsia="Times New Roman" w:hAnsi="Times" w:cs="Times"/>
                <w:color w:val="000000"/>
                <w:sz w:val="18"/>
                <w:szCs w:val="18"/>
                <w:lang w:eastAsia="en-GB"/>
              </w:rPr>
              <w:t xml:space="preserve"> 0</w:t>
            </w:r>
          </w:p>
        </w:tc>
        <w:tc>
          <w:tcPr>
            <w:tcW w:w="0" w:type="auto"/>
            <w:noWrap/>
            <w:hideMark/>
          </w:tcPr>
          <w:p w14:paraId="2EF23A2B" w14:textId="77777777"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115/547 (21%)</w:t>
            </w:r>
          </w:p>
        </w:tc>
        <w:tc>
          <w:tcPr>
            <w:tcW w:w="0" w:type="auto"/>
            <w:noWrap/>
            <w:hideMark/>
          </w:tcPr>
          <w:p w14:paraId="1DAE5140" w14:textId="24234A0A"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38/207 (18</w:t>
            </w:r>
            <w:r w:rsidR="009B49E1"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4%)</w:t>
            </w:r>
          </w:p>
        </w:tc>
        <w:tc>
          <w:tcPr>
            <w:tcW w:w="0" w:type="auto"/>
            <w:noWrap/>
            <w:hideMark/>
          </w:tcPr>
          <w:p w14:paraId="436FBE9F" w14:textId="78DC36D3"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22/104 (21</w:t>
            </w:r>
            <w:r w:rsidR="009B49E1"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2%)</w:t>
            </w:r>
          </w:p>
        </w:tc>
        <w:tc>
          <w:tcPr>
            <w:tcW w:w="0" w:type="auto"/>
            <w:noWrap/>
            <w:hideMark/>
          </w:tcPr>
          <w:p w14:paraId="30F0A058" w14:textId="33302AA6"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35/166 (21</w:t>
            </w:r>
            <w:r w:rsidR="009B49E1"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1%)</w:t>
            </w:r>
          </w:p>
        </w:tc>
        <w:tc>
          <w:tcPr>
            <w:tcW w:w="0" w:type="auto"/>
            <w:noWrap/>
            <w:hideMark/>
          </w:tcPr>
          <w:p w14:paraId="1A442DDB" w14:textId="59E0EEA8"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20/70 (28</w:t>
            </w:r>
            <w:r w:rsidR="009B49E1"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6%)</w:t>
            </w:r>
          </w:p>
        </w:tc>
      </w:tr>
      <w:tr w:rsidR="00596FDE" w:rsidRPr="004B723C" w14:paraId="2554CAA8" w14:textId="77777777" w:rsidTr="007F3A2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4782897F" w14:textId="554F27C1" w:rsidR="00596FDE" w:rsidRPr="004B723C" w:rsidRDefault="000A78F2" w:rsidP="00C72C10">
            <w:pPr>
              <w:spacing w:line="276" w:lineRule="auto"/>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 xml:space="preserve">glomerulitis score </w:t>
            </w:r>
            <w:r w:rsidR="00582CCD" w:rsidRPr="004B723C">
              <w:rPr>
                <w:rFonts w:ascii="Times" w:eastAsia="Times New Roman" w:hAnsi="Times" w:cs="Times"/>
                <w:color w:val="000000"/>
                <w:sz w:val="18"/>
                <w:szCs w:val="18"/>
                <w:lang w:eastAsia="en-GB"/>
              </w:rPr>
              <w:t xml:space="preserve">: </w:t>
            </w:r>
            <w:r w:rsidR="00596FDE" w:rsidRPr="004B723C">
              <w:rPr>
                <w:rFonts w:ascii="Times" w:eastAsia="Times New Roman" w:hAnsi="Times" w:cs="Times"/>
                <w:color w:val="000000"/>
                <w:sz w:val="18"/>
                <w:szCs w:val="18"/>
                <w:lang w:eastAsia="en-GB"/>
              </w:rPr>
              <w:t xml:space="preserve"> 1</w:t>
            </w:r>
          </w:p>
        </w:tc>
        <w:tc>
          <w:tcPr>
            <w:tcW w:w="0" w:type="auto"/>
            <w:noWrap/>
            <w:hideMark/>
          </w:tcPr>
          <w:p w14:paraId="75E1AF97" w14:textId="25308065"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150/547 (27</w:t>
            </w:r>
            <w:r w:rsidR="009B49E1"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4%)</w:t>
            </w:r>
          </w:p>
        </w:tc>
        <w:tc>
          <w:tcPr>
            <w:tcW w:w="0" w:type="auto"/>
            <w:noWrap/>
            <w:hideMark/>
          </w:tcPr>
          <w:p w14:paraId="6E1A279E" w14:textId="50BA629B"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56/207 (27</w:t>
            </w:r>
            <w:r w:rsidR="009B49E1"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1%)</w:t>
            </w:r>
          </w:p>
        </w:tc>
        <w:tc>
          <w:tcPr>
            <w:tcW w:w="0" w:type="auto"/>
            <w:noWrap/>
            <w:hideMark/>
          </w:tcPr>
          <w:p w14:paraId="7C6ECAA9" w14:textId="1965ABD4"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37/104 (35</w:t>
            </w:r>
            <w:r w:rsidR="009B49E1"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6%)</w:t>
            </w:r>
          </w:p>
        </w:tc>
        <w:tc>
          <w:tcPr>
            <w:tcW w:w="0" w:type="auto"/>
            <w:noWrap/>
            <w:hideMark/>
          </w:tcPr>
          <w:p w14:paraId="4161B5BF" w14:textId="6C7D9D7C"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42/166 (25</w:t>
            </w:r>
            <w:r w:rsidR="009B49E1"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3%)</w:t>
            </w:r>
          </w:p>
        </w:tc>
        <w:tc>
          <w:tcPr>
            <w:tcW w:w="0" w:type="auto"/>
            <w:noWrap/>
            <w:hideMark/>
          </w:tcPr>
          <w:p w14:paraId="5C864012" w14:textId="2A0F841A"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15/70 (21</w:t>
            </w:r>
            <w:r w:rsidR="009B49E1"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4%)</w:t>
            </w:r>
          </w:p>
        </w:tc>
      </w:tr>
      <w:tr w:rsidR="00596FDE" w:rsidRPr="004B723C" w14:paraId="10113701" w14:textId="77777777" w:rsidTr="007F3A2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40EF59E3" w14:textId="58B506E8" w:rsidR="00596FDE" w:rsidRPr="004B723C" w:rsidRDefault="000A78F2" w:rsidP="00C72C10">
            <w:pPr>
              <w:spacing w:line="276" w:lineRule="auto"/>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 xml:space="preserve">glomerulitis score </w:t>
            </w:r>
            <w:r w:rsidR="00582CCD" w:rsidRPr="004B723C">
              <w:rPr>
                <w:rFonts w:ascii="Times" w:eastAsia="Times New Roman" w:hAnsi="Times" w:cs="Times"/>
                <w:color w:val="000000"/>
                <w:sz w:val="18"/>
                <w:szCs w:val="18"/>
                <w:lang w:eastAsia="en-GB"/>
              </w:rPr>
              <w:t xml:space="preserve">: </w:t>
            </w:r>
            <w:r w:rsidR="00596FDE" w:rsidRPr="004B723C">
              <w:rPr>
                <w:rFonts w:ascii="Times" w:eastAsia="Times New Roman" w:hAnsi="Times" w:cs="Times"/>
                <w:color w:val="000000"/>
                <w:sz w:val="18"/>
                <w:szCs w:val="18"/>
                <w:lang w:eastAsia="en-GB"/>
              </w:rPr>
              <w:t xml:space="preserve"> 2</w:t>
            </w:r>
          </w:p>
        </w:tc>
        <w:tc>
          <w:tcPr>
            <w:tcW w:w="0" w:type="auto"/>
            <w:noWrap/>
            <w:hideMark/>
          </w:tcPr>
          <w:p w14:paraId="39581E8D" w14:textId="304B9C35"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179/547 (32</w:t>
            </w:r>
            <w:r w:rsidR="009B49E1"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7%)</w:t>
            </w:r>
          </w:p>
        </w:tc>
        <w:tc>
          <w:tcPr>
            <w:tcW w:w="0" w:type="auto"/>
            <w:noWrap/>
            <w:hideMark/>
          </w:tcPr>
          <w:p w14:paraId="0498CCD6" w14:textId="5FB47106"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71/207 (34</w:t>
            </w:r>
            <w:r w:rsidR="009B49E1"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3%)</w:t>
            </w:r>
          </w:p>
        </w:tc>
        <w:tc>
          <w:tcPr>
            <w:tcW w:w="0" w:type="auto"/>
            <w:noWrap/>
            <w:hideMark/>
          </w:tcPr>
          <w:p w14:paraId="74F6D766" w14:textId="2860CFDE"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30/104 (28</w:t>
            </w:r>
            <w:r w:rsidR="009B49E1"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8%)</w:t>
            </w:r>
          </w:p>
        </w:tc>
        <w:tc>
          <w:tcPr>
            <w:tcW w:w="0" w:type="auto"/>
            <w:noWrap/>
            <w:hideMark/>
          </w:tcPr>
          <w:p w14:paraId="3CB263F5" w14:textId="25134593"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53/166 (31</w:t>
            </w:r>
            <w:r w:rsidR="009B49E1"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9%)</w:t>
            </w:r>
          </w:p>
        </w:tc>
        <w:tc>
          <w:tcPr>
            <w:tcW w:w="0" w:type="auto"/>
            <w:noWrap/>
            <w:hideMark/>
          </w:tcPr>
          <w:p w14:paraId="22B18A3E" w14:textId="6F60EEA4"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25/70 (35</w:t>
            </w:r>
            <w:r w:rsidR="009B49E1"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7%)</w:t>
            </w:r>
          </w:p>
        </w:tc>
      </w:tr>
      <w:tr w:rsidR="00596FDE" w:rsidRPr="004B723C" w14:paraId="78042CCC" w14:textId="77777777" w:rsidTr="007F3A2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7F77E9F7" w14:textId="33D6CC6C" w:rsidR="00596FDE" w:rsidRPr="004B723C" w:rsidRDefault="000A78F2" w:rsidP="00C72C10">
            <w:pPr>
              <w:spacing w:line="276" w:lineRule="auto"/>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 xml:space="preserve">glomerulitis score </w:t>
            </w:r>
            <w:r w:rsidR="00582CCD" w:rsidRPr="004B723C">
              <w:rPr>
                <w:rFonts w:ascii="Times" w:eastAsia="Times New Roman" w:hAnsi="Times" w:cs="Times"/>
                <w:color w:val="000000"/>
                <w:sz w:val="18"/>
                <w:szCs w:val="18"/>
                <w:lang w:eastAsia="en-GB"/>
              </w:rPr>
              <w:t xml:space="preserve">: </w:t>
            </w:r>
            <w:r w:rsidR="00596FDE" w:rsidRPr="004B723C">
              <w:rPr>
                <w:rFonts w:ascii="Times" w:eastAsia="Times New Roman" w:hAnsi="Times" w:cs="Times"/>
                <w:color w:val="000000"/>
                <w:sz w:val="18"/>
                <w:szCs w:val="18"/>
                <w:lang w:eastAsia="en-GB"/>
              </w:rPr>
              <w:t xml:space="preserve"> 3</w:t>
            </w:r>
          </w:p>
        </w:tc>
        <w:tc>
          <w:tcPr>
            <w:tcW w:w="0" w:type="auto"/>
            <w:noWrap/>
            <w:hideMark/>
          </w:tcPr>
          <w:p w14:paraId="3657A94F" w14:textId="74B00C66"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103/547 (18</w:t>
            </w:r>
            <w:r w:rsidR="009B49E1"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8%)</w:t>
            </w:r>
          </w:p>
        </w:tc>
        <w:tc>
          <w:tcPr>
            <w:tcW w:w="0" w:type="auto"/>
            <w:noWrap/>
            <w:hideMark/>
          </w:tcPr>
          <w:p w14:paraId="5C0709D9" w14:textId="20D8AAF4"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42/207 (20</w:t>
            </w:r>
            <w:r w:rsidR="009B49E1"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3%)</w:t>
            </w:r>
          </w:p>
        </w:tc>
        <w:tc>
          <w:tcPr>
            <w:tcW w:w="0" w:type="auto"/>
            <w:noWrap/>
            <w:hideMark/>
          </w:tcPr>
          <w:p w14:paraId="1511B4FC" w14:textId="33231CE5"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15/104 (14</w:t>
            </w:r>
            <w:r w:rsidR="009B49E1"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4%)</w:t>
            </w:r>
          </w:p>
        </w:tc>
        <w:tc>
          <w:tcPr>
            <w:tcW w:w="0" w:type="auto"/>
            <w:noWrap/>
            <w:hideMark/>
          </w:tcPr>
          <w:p w14:paraId="6358D148" w14:textId="65185741"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36/166 (21</w:t>
            </w:r>
            <w:r w:rsidR="009B49E1"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7%)</w:t>
            </w:r>
          </w:p>
        </w:tc>
        <w:tc>
          <w:tcPr>
            <w:tcW w:w="0" w:type="auto"/>
            <w:noWrap/>
            <w:hideMark/>
          </w:tcPr>
          <w:p w14:paraId="616197AA" w14:textId="71D83F30"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10/70 (14</w:t>
            </w:r>
            <w:r w:rsidR="009B49E1"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3%)</w:t>
            </w:r>
          </w:p>
        </w:tc>
      </w:tr>
      <w:tr w:rsidR="00596FDE" w:rsidRPr="004B723C" w14:paraId="517D869D" w14:textId="77777777" w:rsidTr="007F3A2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5337785B" w14:textId="526D126A" w:rsidR="00596FDE" w:rsidRPr="004B723C" w:rsidRDefault="00540487" w:rsidP="00C72C10">
            <w:pPr>
              <w:spacing w:line="276" w:lineRule="auto"/>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 xml:space="preserve">peritubular </w:t>
            </w:r>
            <w:proofErr w:type="spellStart"/>
            <w:r w:rsidRPr="004B723C">
              <w:rPr>
                <w:rFonts w:ascii="Times" w:eastAsia="Times New Roman" w:hAnsi="Times" w:cs="Times"/>
                <w:color w:val="000000"/>
                <w:sz w:val="18"/>
                <w:szCs w:val="18"/>
                <w:lang w:eastAsia="en-GB"/>
              </w:rPr>
              <w:t>capillaritis</w:t>
            </w:r>
            <w:proofErr w:type="spellEnd"/>
            <w:r w:rsidR="00596FDE" w:rsidRPr="004B723C">
              <w:rPr>
                <w:rFonts w:ascii="Times" w:eastAsia="Times New Roman" w:hAnsi="Times" w:cs="Times"/>
                <w:color w:val="000000"/>
                <w:sz w:val="18"/>
                <w:szCs w:val="18"/>
                <w:lang w:eastAsia="en-GB"/>
              </w:rPr>
              <w:t xml:space="preserve"> score </w:t>
            </w:r>
            <w:r w:rsidR="00582CCD" w:rsidRPr="004B723C">
              <w:rPr>
                <w:rFonts w:ascii="Times" w:eastAsia="Times New Roman" w:hAnsi="Times" w:cs="Times"/>
                <w:color w:val="000000"/>
                <w:sz w:val="18"/>
                <w:szCs w:val="18"/>
                <w:lang w:eastAsia="en-GB"/>
              </w:rPr>
              <w:t xml:space="preserve">: </w:t>
            </w:r>
            <w:r w:rsidR="00596FDE" w:rsidRPr="004B723C">
              <w:rPr>
                <w:rFonts w:ascii="Times" w:eastAsia="Times New Roman" w:hAnsi="Times" w:cs="Times"/>
                <w:color w:val="000000"/>
                <w:sz w:val="18"/>
                <w:szCs w:val="18"/>
                <w:lang w:eastAsia="en-GB"/>
              </w:rPr>
              <w:t xml:space="preserve"> 0</w:t>
            </w:r>
          </w:p>
        </w:tc>
        <w:tc>
          <w:tcPr>
            <w:tcW w:w="0" w:type="auto"/>
            <w:noWrap/>
            <w:hideMark/>
          </w:tcPr>
          <w:p w14:paraId="12112AC8" w14:textId="0FFD07D5"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128/547 (23</w:t>
            </w:r>
            <w:r w:rsidR="009B49E1"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4%)</w:t>
            </w:r>
          </w:p>
        </w:tc>
        <w:tc>
          <w:tcPr>
            <w:tcW w:w="0" w:type="auto"/>
            <w:noWrap/>
            <w:hideMark/>
          </w:tcPr>
          <w:p w14:paraId="37A2E777" w14:textId="79221F5D"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44/207 (21</w:t>
            </w:r>
            <w:r w:rsidR="009B49E1"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3%)</w:t>
            </w:r>
          </w:p>
        </w:tc>
        <w:tc>
          <w:tcPr>
            <w:tcW w:w="0" w:type="auto"/>
            <w:noWrap/>
            <w:hideMark/>
          </w:tcPr>
          <w:p w14:paraId="7F968B88" w14:textId="77777777"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25/104 (24%)</w:t>
            </w:r>
          </w:p>
        </w:tc>
        <w:tc>
          <w:tcPr>
            <w:tcW w:w="0" w:type="auto"/>
            <w:noWrap/>
            <w:hideMark/>
          </w:tcPr>
          <w:p w14:paraId="4D73CF4D" w14:textId="2D1A1A56"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45/166 (27</w:t>
            </w:r>
            <w:r w:rsidR="009B49E1"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1%)</w:t>
            </w:r>
          </w:p>
        </w:tc>
        <w:tc>
          <w:tcPr>
            <w:tcW w:w="0" w:type="auto"/>
            <w:noWrap/>
            <w:hideMark/>
          </w:tcPr>
          <w:p w14:paraId="6EE49037" w14:textId="77777777"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14/70 (20%)</w:t>
            </w:r>
          </w:p>
        </w:tc>
      </w:tr>
      <w:tr w:rsidR="00596FDE" w:rsidRPr="004B723C" w14:paraId="6C4F05A9" w14:textId="77777777" w:rsidTr="007F3A2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57A21FF5" w14:textId="3D685BC7" w:rsidR="00596FDE" w:rsidRPr="004B723C" w:rsidRDefault="00540487" w:rsidP="00C72C10">
            <w:pPr>
              <w:spacing w:line="276" w:lineRule="auto"/>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 xml:space="preserve">peritubular </w:t>
            </w:r>
            <w:proofErr w:type="spellStart"/>
            <w:r w:rsidRPr="004B723C">
              <w:rPr>
                <w:rFonts w:ascii="Times" w:eastAsia="Times New Roman" w:hAnsi="Times" w:cs="Times"/>
                <w:color w:val="000000"/>
                <w:sz w:val="18"/>
                <w:szCs w:val="18"/>
                <w:lang w:eastAsia="en-GB"/>
              </w:rPr>
              <w:t>capillaritis</w:t>
            </w:r>
            <w:proofErr w:type="spellEnd"/>
            <w:r w:rsidRPr="004B723C">
              <w:rPr>
                <w:rFonts w:ascii="Times" w:eastAsia="Times New Roman" w:hAnsi="Times" w:cs="Times"/>
                <w:color w:val="000000"/>
                <w:sz w:val="18"/>
                <w:szCs w:val="18"/>
                <w:lang w:eastAsia="en-GB"/>
              </w:rPr>
              <w:t xml:space="preserve"> score </w:t>
            </w:r>
            <w:r w:rsidR="00582CCD" w:rsidRPr="004B723C">
              <w:rPr>
                <w:rFonts w:ascii="Times" w:eastAsia="Times New Roman" w:hAnsi="Times" w:cs="Times"/>
                <w:color w:val="000000"/>
                <w:sz w:val="18"/>
                <w:szCs w:val="18"/>
                <w:lang w:eastAsia="en-GB"/>
              </w:rPr>
              <w:t xml:space="preserve">: </w:t>
            </w:r>
            <w:r w:rsidR="00596FDE" w:rsidRPr="004B723C">
              <w:rPr>
                <w:rFonts w:ascii="Times" w:eastAsia="Times New Roman" w:hAnsi="Times" w:cs="Times"/>
                <w:color w:val="000000"/>
                <w:sz w:val="18"/>
                <w:szCs w:val="18"/>
                <w:lang w:eastAsia="en-GB"/>
              </w:rPr>
              <w:t xml:space="preserve"> 1</w:t>
            </w:r>
          </w:p>
        </w:tc>
        <w:tc>
          <w:tcPr>
            <w:tcW w:w="0" w:type="auto"/>
            <w:noWrap/>
            <w:hideMark/>
          </w:tcPr>
          <w:p w14:paraId="01B0DB91" w14:textId="5D713047"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127/547 (23</w:t>
            </w:r>
            <w:r w:rsidR="009B49E1"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2%)</w:t>
            </w:r>
          </w:p>
        </w:tc>
        <w:tc>
          <w:tcPr>
            <w:tcW w:w="0" w:type="auto"/>
            <w:noWrap/>
            <w:hideMark/>
          </w:tcPr>
          <w:p w14:paraId="78E3E9D1" w14:textId="5A56083B"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57/207 (27</w:t>
            </w:r>
            <w:r w:rsidR="009B49E1"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5%)</w:t>
            </w:r>
          </w:p>
        </w:tc>
        <w:tc>
          <w:tcPr>
            <w:tcW w:w="0" w:type="auto"/>
            <w:noWrap/>
            <w:hideMark/>
          </w:tcPr>
          <w:p w14:paraId="5A8DF435" w14:textId="3186A39D"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24/104 (23</w:t>
            </w:r>
            <w:r w:rsidR="009B49E1"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1%)</w:t>
            </w:r>
          </w:p>
        </w:tc>
        <w:tc>
          <w:tcPr>
            <w:tcW w:w="0" w:type="auto"/>
            <w:noWrap/>
            <w:hideMark/>
          </w:tcPr>
          <w:p w14:paraId="12DE7AC9" w14:textId="153F9242"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30/166 (18</w:t>
            </w:r>
            <w:r w:rsidR="009B49E1"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1%)</w:t>
            </w:r>
          </w:p>
        </w:tc>
        <w:tc>
          <w:tcPr>
            <w:tcW w:w="0" w:type="auto"/>
            <w:noWrap/>
            <w:hideMark/>
          </w:tcPr>
          <w:p w14:paraId="7C192936" w14:textId="42DAA7BF"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16/70 (22</w:t>
            </w:r>
            <w:r w:rsidR="009B49E1"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9%)</w:t>
            </w:r>
          </w:p>
        </w:tc>
      </w:tr>
      <w:tr w:rsidR="00596FDE" w:rsidRPr="004B723C" w14:paraId="042470A0" w14:textId="77777777" w:rsidTr="007F3A2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2E9906C7" w14:textId="6795B104" w:rsidR="00596FDE" w:rsidRPr="004B723C" w:rsidRDefault="00540487" w:rsidP="00C72C10">
            <w:pPr>
              <w:spacing w:line="276" w:lineRule="auto"/>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 xml:space="preserve">peritubular </w:t>
            </w:r>
            <w:proofErr w:type="spellStart"/>
            <w:r w:rsidRPr="004B723C">
              <w:rPr>
                <w:rFonts w:ascii="Times" w:eastAsia="Times New Roman" w:hAnsi="Times" w:cs="Times"/>
                <w:color w:val="000000"/>
                <w:sz w:val="18"/>
                <w:szCs w:val="18"/>
                <w:lang w:eastAsia="en-GB"/>
              </w:rPr>
              <w:t>capillaritis</w:t>
            </w:r>
            <w:proofErr w:type="spellEnd"/>
            <w:r w:rsidRPr="004B723C">
              <w:rPr>
                <w:rFonts w:ascii="Times" w:eastAsia="Times New Roman" w:hAnsi="Times" w:cs="Times"/>
                <w:color w:val="000000"/>
                <w:sz w:val="18"/>
                <w:szCs w:val="18"/>
                <w:lang w:eastAsia="en-GB"/>
              </w:rPr>
              <w:t xml:space="preserve"> score </w:t>
            </w:r>
            <w:r w:rsidR="00582CCD" w:rsidRPr="004B723C">
              <w:rPr>
                <w:rFonts w:ascii="Times" w:eastAsia="Times New Roman" w:hAnsi="Times" w:cs="Times"/>
                <w:color w:val="000000"/>
                <w:sz w:val="18"/>
                <w:szCs w:val="18"/>
                <w:lang w:eastAsia="en-GB"/>
              </w:rPr>
              <w:t xml:space="preserve">: </w:t>
            </w:r>
            <w:r w:rsidR="00596FDE" w:rsidRPr="004B723C">
              <w:rPr>
                <w:rFonts w:ascii="Times" w:eastAsia="Times New Roman" w:hAnsi="Times" w:cs="Times"/>
                <w:color w:val="000000"/>
                <w:sz w:val="18"/>
                <w:szCs w:val="18"/>
                <w:lang w:eastAsia="en-GB"/>
              </w:rPr>
              <w:t xml:space="preserve"> 2</w:t>
            </w:r>
          </w:p>
        </w:tc>
        <w:tc>
          <w:tcPr>
            <w:tcW w:w="0" w:type="auto"/>
            <w:noWrap/>
            <w:hideMark/>
          </w:tcPr>
          <w:p w14:paraId="3FA5C6CD" w14:textId="77777777"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235/547 (43%)</w:t>
            </w:r>
          </w:p>
        </w:tc>
        <w:tc>
          <w:tcPr>
            <w:tcW w:w="0" w:type="auto"/>
            <w:noWrap/>
            <w:hideMark/>
          </w:tcPr>
          <w:p w14:paraId="55C87D63" w14:textId="596225F3"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79/207 (38</w:t>
            </w:r>
            <w:r w:rsidR="009B49E1"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2%)</w:t>
            </w:r>
          </w:p>
        </w:tc>
        <w:tc>
          <w:tcPr>
            <w:tcW w:w="0" w:type="auto"/>
            <w:noWrap/>
            <w:hideMark/>
          </w:tcPr>
          <w:p w14:paraId="077F33C8" w14:textId="2556B3C5"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46/104 (44</w:t>
            </w:r>
            <w:r w:rsidR="009B49E1"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2%)</w:t>
            </w:r>
          </w:p>
        </w:tc>
        <w:tc>
          <w:tcPr>
            <w:tcW w:w="0" w:type="auto"/>
            <w:noWrap/>
            <w:hideMark/>
          </w:tcPr>
          <w:p w14:paraId="35F239F4" w14:textId="0A3B53E7"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74/166 (44</w:t>
            </w:r>
            <w:r w:rsidR="009B49E1"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6%)</w:t>
            </w:r>
          </w:p>
        </w:tc>
        <w:tc>
          <w:tcPr>
            <w:tcW w:w="0" w:type="auto"/>
            <w:noWrap/>
            <w:hideMark/>
          </w:tcPr>
          <w:p w14:paraId="28A60542" w14:textId="210E7566"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36/70 (51</w:t>
            </w:r>
            <w:r w:rsidR="009B49E1"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4%)</w:t>
            </w:r>
          </w:p>
        </w:tc>
      </w:tr>
      <w:tr w:rsidR="00596FDE" w:rsidRPr="004B723C" w14:paraId="30D52B8A" w14:textId="77777777" w:rsidTr="007F3A2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5014DB8" w14:textId="74B4CA7B" w:rsidR="00596FDE" w:rsidRPr="004B723C" w:rsidRDefault="00540487" w:rsidP="00C72C10">
            <w:pPr>
              <w:spacing w:line="276" w:lineRule="auto"/>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 xml:space="preserve">peritubular </w:t>
            </w:r>
            <w:proofErr w:type="spellStart"/>
            <w:r w:rsidRPr="004B723C">
              <w:rPr>
                <w:rFonts w:ascii="Times" w:eastAsia="Times New Roman" w:hAnsi="Times" w:cs="Times"/>
                <w:color w:val="000000"/>
                <w:sz w:val="18"/>
                <w:szCs w:val="18"/>
                <w:lang w:eastAsia="en-GB"/>
              </w:rPr>
              <w:t>capillaritis</w:t>
            </w:r>
            <w:proofErr w:type="spellEnd"/>
            <w:r w:rsidRPr="004B723C">
              <w:rPr>
                <w:rFonts w:ascii="Times" w:eastAsia="Times New Roman" w:hAnsi="Times" w:cs="Times"/>
                <w:color w:val="000000"/>
                <w:sz w:val="18"/>
                <w:szCs w:val="18"/>
                <w:lang w:eastAsia="en-GB"/>
              </w:rPr>
              <w:t xml:space="preserve"> score </w:t>
            </w:r>
            <w:r w:rsidR="00582CCD" w:rsidRPr="004B723C">
              <w:rPr>
                <w:rFonts w:ascii="Times" w:eastAsia="Times New Roman" w:hAnsi="Times" w:cs="Times"/>
                <w:color w:val="000000"/>
                <w:sz w:val="18"/>
                <w:szCs w:val="18"/>
                <w:lang w:eastAsia="en-GB"/>
              </w:rPr>
              <w:t xml:space="preserve">: </w:t>
            </w:r>
            <w:r w:rsidR="00596FDE" w:rsidRPr="004B723C">
              <w:rPr>
                <w:rFonts w:ascii="Times" w:eastAsia="Times New Roman" w:hAnsi="Times" w:cs="Times"/>
                <w:color w:val="000000"/>
                <w:sz w:val="18"/>
                <w:szCs w:val="18"/>
                <w:lang w:eastAsia="en-GB"/>
              </w:rPr>
              <w:t xml:space="preserve"> 3</w:t>
            </w:r>
          </w:p>
        </w:tc>
        <w:tc>
          <w:tcPr>
            <w:tcW w:w="0" w:type="auto"/>
            <w:noWrap/>
            <w:hideMark/>
          </w:tcPr>
          <w:p w14:paraId="1E0F4A09" w14:textId="42BA9189"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57/547 (10</w:t>
            </w:r>
            <w:r w:rsidR="009B49E1"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4%)</w:t>
            </w:r>
          </w:p>
        </w:tc>
        <w:tc>
          <w:tcPr>
            <w:tcW w:w="0" w:type="auto"/>
            <w:noWrap/>
            <w:hideMark/>
          </w:tcPr>
          <w:p w14:paraId="4B980BF8" w14:textId="77777777"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27/207 (13%)</w:t>
            </w:r>
          </w:p>
        </w:tc>
        <w:tc>
          <w:tcPr>
            <w:tcW w:w="0" w:type="auto"/>
            <w:noWrap/>
            <w:hideMark/>
          </w:tcPr>
          <w:p w14:paraId="230FF4A0" w14:textId="0A6E198D"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9/104 (8</w:t>
            </w:r>
            <w:r w:rsidR="009B49E1"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7%)</w:t>
            </w:r>
          </w:p>
        </w:tc>
        <w:tc>
          <w:tcPr>
            <w:tcW w:w="0" w:type="auto"/>
            <w:noWrap/>
            <w:hideMark/>
          </w:tcPr>
          <w:p w14:paraId="36285533" w14:textId="3CD6F576"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17/166 (10</w:t>
            </w:r>
            <w:r w:rsidR="009B49E1"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2%)</w:t>
            </w:r>
          </w:p>
        </w:tc>
        <w:tc>
          <w:tcPr>
            <w:tcW w:w="0" w:type="auto"/>
            <w:noWrap/>
            <w:hideMark/>
          </w:tcPr>
          <w:p w14:paraId="44594C69" w14:textId="1D939566" w:rsidR="00596FDE" w:rsidRPr="004B723C" w:rsidRDefault="00596FDE"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rFonts w:ascii="Times" w:eastAsia="Times New Roman" w:hAnsi="Times" w:cs="Times"/>
                <w:color w:val="000000"/>
                <w:sz w:val="18"/>
                <w:szCs w:val="18"/>
                <w:lang w:eastAsia="en-GB"/>
              </w:rPr>
              <w:t>4/70 (5</w:t>
            </w:r>
            <w:r w:rsidR="009B49E1" w:rsidRPr="004B723C">
              <w:rPr>
                <w:rFonts w:ascii="Times" w:eastAsia="Times New Roman" w:hAnsi="Times" w:cs="Times"/>
                <w:color w:val="000000"/>
                <w:sz w:val="18"/>
                <w:szCs w:val="18"/>
                <w:lang w:eastAsia="en-GB"/>
              </w:rPr>
              <w:t>.</w:t>
            </w:r>
            <w:r w:rsidRPr="004B723C">
              <w:rPr>
                <w:rFonts w:ascii="Times" w:eastAsia="Times New Roman" w:hAnsi="Times" w:cs="Times"/>
                <w:color w:val="000000"/>
                <w:sz w:val="18"/>
                <w:szCs w:val="18"/>
                <w:lang w:eastAsia="en-GB"/>
              </w:rPr>
              <w:t>7%)</w:t>
            </w:r>
          </w:p>
        </w:tc>
      </w:tr>
      <w:tr w:rsidR="00E94334" w:rsidRPr="004B723C" w14:paraId="28FD349C" w14:textId="77777777" w:rsidTr="007F3A2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33C00AC2" w14:textId="6E1427E3" w:rsidR="00E94334" w:rsidRPr="004B723C" w:rsidRDefault="00540487" w:rsidP="00C72C10">
            <w:pPr>
              <w:spacing w:line="276" w:lineRule="auto"/>
              <w:rPr>
                <w:rFonts w:ascii="Times" w:eastAsia="Times New Roman" w:hAnsi="Times" w:cs="Times"/>
                <w:color w:val="000000"/>
                <w:sz w:val="18"/>
                <w:szCs w:val="18"/>
                <w:lang w:eastAsia="en-GB"/>
              </w:rPr>
            </w:pPr>
            <w:r w:rsidRPr="004B723C">
              <w:rPr>
                <w:sz w:val="18"/>
                <w:szCs w:val="18"/>
              </w:rPr>
              <w:t xml:space="preserve">Total </w:t>
            </w:r>
            <w:r w:rsidR="00867E2D" w:rsidRPr="004B723C">
              <w:rPr>
                <w:sz w:val="18"/>
                <w:szCs w:val="18"/>
              </w:rPr>
              <w:t>MVI</w:t>
            </w:r>
            <w:r w:rsidR="00E94334" w:rsidRPr="004B723C">
              <w:rPr>
                <w:sz w:val="18"/>
                <w:szCs w:val="18"/>
              </w:rPr>
              <w:t xml:space="preserve"> </w:t>
            </w:r>
            <w:r w:rsidR="00867E2D" w:rsidRPr="004B723C">
              <w:rPr>
                <w:sz w:val="18"/>
                <w:szCs w:val="18"/>
              </w:rPr>
              <w:t xml:space="preserve">score </w:t>
            </w:r>
            <w:r w:rsidR="00582CCD" w:rsidRPr="004B723C">
              <w:rPr>
                <w:sz w:val="18"/>
                <w:szCs w:val="18"/>
              </w:rPr>
              <w:t xml:space="preserve">: </w:t>
            </w:r>
            <w:r w:rsidR="00E94334" w:rsidRPr="004B723C">
              <w:rPr>
                <w:sz w:val="18"/>
                <w:szCs w:val="18"/>
              </w:rPr>
              <w:t xml:space="preserve"> 2</w:t>
            </w:r>
          </w:p>
        </w:tc>
        <w:tc>
          <w:tcPr>
            <w:tcW w:w="0" w:type="auto"/>
            <w:noWrap/>
          </w:tcPr>
          <w:p w14:paraId="696996A1" w14:textId="41D72240" w:rsidR="00E94334" w:rsidRPr="004B723C" w:rsidRDefault="00E94334"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sz w:val="18"/>
                <w:szCs w:val="18"/>
              </w:rPr>
              <w:t>267/547 (48</w:t>
            </w:r>
            <w:r w:rsidR="009B49E1" w:rsidRPr="004B723C">
              <w:rPr>
                <w:sz w:val="18"/>
                <w:szCs w:val="18"/>
              </w:rPr>
              <w:t>.</w:t>
            </w:r>
            <w:r w:rsidRPr="004B723C">
              <w:rPr>
                <w:sz w:val="18"/>
                <w:szCs w:val="18"/>
              </w:rPr>
              <w:t>8%)</w:t>
            </w:r>
          </w:p>
        </w:tc>
        <w:tc>
          <w:tcPr>
            <w:tcW w:w="0" w:type="auto"/>
            <w:noWrap/>
          </w:tcPr>
          <w:p w14:paraId="12C49CBF" w14:textId="7549D3ED" w:rsidR="00E94334" w:rsidRPr="004B723C" w:rsidRDefault="00E94334"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sz w:val="18"/>
                <w:szCs w:val="18"/>
              </w:rPr>
              <w:t>95/207 (45</w:t>
            </w:r>
            <w:r w:rsidR="009B49E1" w:rsidRPr="004B723C">
              <w:rPr>
                <w:sz w:val="18"/>
                <w:szCs w:val="18"/>
              </w:rPr>
              <w:t>.</w:t>
            </w:r>
            <w:r w:rsidRPr="004B723C">
              <w:rPr>
                <w:sz w:val="18"/>
                <w:szCs w:val="18"/>
              </w:rPr>
              <w:t>9%)</w:t>
            </w:r>
          </w:p>
        </w:tc>
        <w:tc>
          <w:tcPr>
            <w:tcW w:w="0" w:type="auto"/>
            <w:noWrap/>
          </w:tcPr>
          <w:p w14:paraId="1BBE0156" w14:textId="2C5433C5" w:rsidR="00E94334" w:rsidRPr="004B723C" w:rsidRDefault="00E94334"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sz w:val="18"/>
                <w:szCs w:val="18"/>
              </w:rPr>
              <w:t>56/104 (53</w:t>
            </w:r>
            <w:r w:rsidR="009B49E1" w:rsidRPr="004B723C">
              <w:rPr>
                <w:sz w:val="18"/>
                <w:szCs w:val="18"/>
              </w:rPr>
              <w:t>.</w:t>
            </w:r>
            <w:r w:rsidRPr="004B723C">
              <w:rPr>
                <w:sz w:val="18"/>
                <w:szCs w:val="18"/>
              </w:rPr>
              <w:t>8%)</w:t>
            </w:r>
          </w:p>
        </w:tc>
        <w:tc>
          <w:tcPr>
            <w:tcW w:w="0" w:type="auto"/>
            <w:noWrap/>
          </w:tcPr>
          <w:p w14:paraId="634611B0" w14:textId="3552CC08" w:rsidR="00E94334" w:rsidRPr="004B723C" w:rsidRDefault="00E94334"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sz w:val="18"/>
                <w:szCs w:val="18"/>
              </w:rPr>
              <w:t>79/166 (47</w:t>
            </w:r>
            <w:r w:rsidR="009B49E1" w:rsidRPr="004B723C">
              <w:rPr>
                <w:sz w:val="18"/>
                <w:szCs w:val="18"/>
              </w:rPr>
              <w:t>.</w:t>
            </w:r>
            <w:r w:rsidRPr="004B723C">
              <w:rPr>
                <w:sz w:val="18"/>
                <w:szCs w:val="18"/>
              </w:rPr>
              <w:t>6%)</w:t>
            </w:r>
          </w:p>
        </w:tc>
        <w:tc>
          <w:tcPr>
            <w:tcW w:w="0" w:type="auto"/>
            <w:noWrap/>
          </w:tcPr>
          <w:p w14:paraId="122177CA" w14:textId="446A22FA" w:rsidR="00E94334" w:rsidRPr="004B723C" w:rsidRDefault="00E94334"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sz w:val="18"/>
                <w:szCs w:val="18"/>
              </w:rPr>
              <w:t>37/70 (52</w:t>
            </w:r>
            <w:r w:rsidR="009B49E1" w:rsidRPr="004B723C">
              <w:rPr>
                <w:sz w:val="18"/>
                <w:szCs w:val="18"/>
              </w:rPr>
              <w:t>.</w:t>
            </w:r>
            <w:r w:rsidRPr="004B723C">
              <w:rPr>
                <w:sz w:val="18"/>
                <w:szCs w:val="18"/>
              </w:rPr>
              <w:t>9%)</w:t>
            </w:r>
          </w:p>
        </w:tc>
      </w:tr>
      <w:tr w:rsidR="00E94334" w:rsidRPr="004B723C" w14:paraId="0953C295" w14:textId="77777777" w:rsidTr="007F3A2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725313AE" w14:textId="5A3699B7" w:rsidR="00E94334" w:rsidRPr="004B723C" w:rsidRDefault="00540487" w:rsidP="00C72C10">
            <w:pPr>
              <w:spacing w:line="276" w:lineRule="auto"/>
              <w:rPr>
                <w:rFonts w:ascii="Times" w:eastAsia="Times New Roman" w:hAnsi="Times" w:cs="Times"/>
                <w:color w:val="000000"/>
                <w:sz w:val="18"/>
                <w:szCs w:val="18"/>
                <w:lang w:eastAsia="en-GB"/>
              </w:rPr>
            </w:pPr>
            <w:r w:rsidRPr="004B723C">
              <w:rPr>
                <w:sz w:val="18"/>
                <w:szCs w:val="18"/>
              </w:rPr>
              <w:t xml:space="preserve">Total </w:t>
            </w:r>
            <w:r w:rsidR="00867E2D" w:rsidRPr="004B723C">
              <w:rPr>
                <w:sz w:val="18"/>
                <w:szCs w:val="18"/>
              </w:rPr>
              <w:t xml:space="preserve">MVI score </w:t>
            </w:r>
            <w:r w:rsidR="00582CCD" w:rsidRPr="004B723C">
              <w:rPr>
                <w:sz w:val="18"/>
                <w:szCs w:val="18"/>
              </w:rPr>
              <w:t xml:space="preserve">: </w:t>
            </w:r>
            <w:r w:rsidR="00E94334" w:rsidRPr="004B723C">
              <w:rPr>
                <w:sz w:val="18"/>
                <w:szCs w:val="18"/>
              </w:rPr>
              <w:t xml:space="preserve"> 3</w:t>
            </w:r>
          </w:p>
        </w:tc>
        <w:tc>
          <w:tcPr>
            <w:tcW w:w="0" w:type="auto"/>
            <w:noWrap/>
          </w:tcPr>
          <w:p w14:paraId="7826FBE9" w14:textId="36CCA304" w:rsidR="00E94334" w:rsidRPr="004B723C" w:rsidRDefault="00E94334"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sz w:val="18"/>
                <w:szCs w:val="18"/>
              </w:rPr>
              <w:t>144/547 (26</w:t>
            </w:r>
            <w:r w:rsidR="009B49E1" w:rsidRPr="004B723C">
              <w:rPr>
                <w:sz w:val="18"/>
                <w:szCs w:val="18"/>
              </w:rPr>
              <w:t>.</w:t>
            </w:r>
            <w:r w:rsidRPr="004B723C">
              <w:rPr>
                <w:sz w:val="18"/>
                <w:szCs w:val="18"/>
              </w:rPr>
              <w:t>3%)</w:t>
            </w:r>
          </w:p>
        </w:tc>
        <w:tc>
          <w:tcPr>
            <w:tcW w:w="0" w:type="auto"/>
            <w:noWrap/>
          </w:tcPr>
          <w:p w14:paraId="0A9B03AC" w14:textId="6396B441" w:rsidR="00E94334" w:rsidRPr="004B723C" w:rsidRDefault="00E94334"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sz w:val="18"/>
                <w:szCs w:val="18"/>
              </w:rPr>
              <w:t>53/207 (25</w:t>
            </w:r>
            <w:r w:rsidR="009B49E1" w:rsidRPr="004B723C">
              <w:rPr>
                <w:sz w:val="18"/>
                <w:szCs w:val="18"/>
              </w:rPr>
              <w:t>.</w:t>
            </w:r>
            <w:r w:rsidRPr="004B723C">
              <w:rPr>
                <w:sz w:val="18"/>
                <w:szCs w:val="18"/>
              </w:rPr>
              <w:t>6%)</w:t>
            </w:r>
          </w:p>
        </w:tc>
        <w:tc>
          <w:tcPr>
            <w:tcW w:w="0" w:type="auto"/>
            <w:noWrap/>
          </w:tcPr>
          <w:p w14:paraId="77E891DB" w14:textId="70F3D74F" w:rsidR="00E94334" w:rsidRPr="004B723C" w:rsidRDefault="00E94334"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sz w:val="18"/>
                <w:szCs w:val="18"/>
              </w:rPr>
              <w:t>27/104 (26%)</w:t>
            </w:r>
          </w:p>
        </w:tc>
        <w:tc>
          <w:tcPr>
            <w:tcW w:w="0" w:type="auto"/>
            <w:noWrap/>
          </w:tcPr>
          <w:p w14:paraId="30307D7D" w14:textId="278E1FB8" w:rsidR="00E94334" w:rsidRPr="004B723C" w:rsidRDefault="00E94334"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sz w:val="18"/>
                <w:szCs w:val="18"/>
              </w:rPr>
              <w:t>46/166 (27</w:t>
            </w:r>
            <w:r w:rsidR="009B49E1" w:rsidRPr="004B723C">
              <w:rPr>
                <w:sz w:val="18"/>
                <w:szCs w:val="18"/>
              </w:rPr>
              <w:t>.</w:t>
            </w:r>
            <w:r w:rsidRPr="004B723C">
              <w:rPr>
                <w:sz w:val="18"/>
                <w:szCs w:val="18"/>
              </w:rPr>
              <w:t>7%)</w:t>
            </w:r>
          </w:p>
        </w:tc>
        <w:tc>
          <w:tcPr>
            <w:tcW w:w="0" w:type="auto"/>
            <w:noWrap/>
          </w:tcPr>
          <w:p w14:paraId="4F4AF2DC" w14:textId="1263A439" w:rsidR="00E94334" w:rsidRPr="004B723C" w:rsidRDefault="00E94334"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sz w:val="18"/>
                <w:szCs w:val="18"/>
              </w:rPr>
              <w:t>18/70 (25</w:t>
            </w:r>
            <w:r w:rsidR="009B49E1" w:rsidRPr="004B723C">
              <w:rPr>
                <w:sz w:val="18"/>
                <w:szCs w:val="18"/>
              </w:rPr>
              <w:t>.</w:t>
            </w:r>
            <w:r w:rsidRPr="004B723C">
              <w:rPr>
                <w:sz w:val="18"/>
                <w:szCs w:val="18"/>
              </w:rPr>
              <w:t>7%)</w:t>
            </w:r>
          </w:p>
        </w:tc>
      </w:tr>
      <w:tr w:rsidR="00E94334" w:rsidRPr="004B723C" w14:paraId="23B9E01E" w14:textId="77777777" w:rsidTr="007F3A2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418FC55C" w14:textId="36641019" w:rsidR="00E94334" w:rsidRPr="004B723C" w:rsidRDefault="00867E2D" w:rsidP="00C72C10">
            <w:pPr>
              <w:spacing w:line="276" w:lineRule="auto"/>
              <w:rPr>
                <w:rFonts w:ascii="Times" w:eastAsia="Times New Roman" w:hAnsi="Times" w:cs="Times"/>
                <w:color w:val="000000"/>
                <w:sz w:val="18"/>
                <w:szCs w:val="18"/>
                <w:lang w:eastAsia="en-GB"/>
              </w:rPr>
            </w:pPr>
            <w:r w:rsidRPr="004B723C">
              <w:rPr>
                <w:sz w:val="18"/>
                <w:szCs w:val="18"/>
              </w:rPr>
              <w:lastRenderedPageBreak/>
              <w:t xml:space="preserve">Total MVI score </w:t>
            </w:r>
            <w:r w:rsidR="00582CCD" w:rsidRPr="004B723C">
              <w:rPr>
                <w:sz w:val="18"/>
                <w:szCs w:val="18"/>
              </w:rPr>
              <w:t xml:space="preserve">: </w:t>
            </w:r>
            <w:r w:rsidR="00E94334" w:rsidRPr="004B723C">
              <w:rPr>
                <w:sz w:val="18"/>
                <w:szCs w:val="18"/>
              </w:rPr>
              <w:t xml:space="preserve"> 4</w:t>
            </w:r>
          </w:p>
        </w:tc>
        <w:tc>
          <w:tcPr>
            <w:tcW w:w="0" w:type="auto"/>
            <w:noWrap/>
          </w:tcPr>
          <w:p w14:paraId="43932EB7" w14:textId="139FD209" w:rsidR="00E94334" w:rsidRPr="004B723C" w:rsidRDefault="00E94334"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sz w:val="18"/>
                <w:szCs w:val="18"/>
              </w:rPr>
              <w:t>77/547 (14</w:t>
            </w:r>
            <w:r w:rsidR="009B49E1" w:rsidRPr="004B723C">
              <w:rPr>
                <w:sz w:val="18"/>
                <w:szCs w:val="18"/>
              </w:rPr>
              <w:t>.</w:t>
            </w:r>
            <w:r w:rsidRPr="004B723C">
              <w:rPr>
                <w:sz w:val="18"/>
                <w:szCs w:val="18"/>
              </w:rPr>
              <w:t>1%)</w:t>
            </w:r>
          </w:p>
        </w:tc>
        <w:tc>
          <w:tcPr>
            <w:tcW w:w="0" w:type="auto"/>
            <w:noWrap/>
          </w:tcPr>
          <w:p w14:paraId="00740996" w14:textId="75496700" w:rsidR="00E94334" w:rsidRPr="004B723C" w:rsidRDefault="00E94334"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sz w:val="18"/>
                <w:szCs w:val="18"/>
              </w:rPr>
              <w:t>32/207 (15</w:t>
            </w:r>
            <w:r w:rsidR="009B49E1" w:rsidRPr="004B723C">
              <w:rPr>
                <w:sz w:val="18"/>
                <w:szCs w:val="18"/>
              </w:rPr>
              <w:t>.</w:t>
            </w:r>
            <w:r w:rsidRPr="004B723C">
              <w:rPr>
                <w:sz w:val="18"/>
                <w:szCs w:val="18"/>
              </w:rPr>
              <w:t>5%)</w:t>
            </w:r>
          </w:p>
        </w:tc>
        <w:tc>
          <w:tcPr>
            <w:tcW w:w="0" w:type="auto"/>
            <w:noWrap/>
          </w:tcPr>
          <w:p w14:paraId="7EA07091" w14:textId="1C0172FF" w:rsidR="00E94334" w:rsidRPr="004B723C" w:rsidRDefault="00E94334"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sz w:val="18"/>
                <w:szCs w:val="18"/>
              </w:rPr>
              <w:t>14/104 (13</w:t>
            </w:r>
            <w:r w:rsidR="009B49E1" w:rsidRPr="004B723C">
              <w:rPr>
                <w:sz w:val="18"/>
                <w:szCs w:val="18"/>
              </w:rPr>
              <w:t>.</w:t>
            </w:r>
            <w:r w:rsidRPr="004B723C">
              <w:rPr>
                <w:sz w:val="18"/>
                <w:szCs w:val="18"/>
              </w:rPr>
              <w:t>5%)</w:t>
            </w:r>
          </w:p>
        </w:tc>
        <w:tc>
          <w:tcPr>
            <w:tcW w:w="0" w:type="auto"/>
            <w:noWrap/>
          </w:tcPr>
          <w:p w14:paraId="6C0B69E7" w14:textId="7EA56E2F" w:rsidR="00E94334" w:rsidRPr="004B723C" w:rsidRDefault="00E94334"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sz w:val="18"/>
                <w:szCs w:val="18"/>
              </w:rPr>
              <w:t>23/166 (13</w:t>
            </w:r>
            <w:r w:rsidR="009B49E1" w:rsidRPr="004B723C">
              <w:rPr>
                <w:sz w:val="18"/>
                <w:szCs w:val="18"/>
              </w:rPr>
              <w:t>.</w:t>
            </w:r>
            <w:r w:rsidRPr="004B723C">
              <w:rPr>
                <w:sz w:val="18"/>
                <w:szCs w:val="18"/>
              </w:rPr>
              <w:t>9%)</w:t>
            </w:r>
          </w:p>
        </w:tc>
        <w:tc>
          <w:tcPr>
            <w:tcW w:w="0" w:type="auto"/>
            <w:noWrap/>
          </w:tcPr>
          <w:p w14:paraId="0CEAB8A2" w14:textId="2B810134" w:rsidR="00E94334" w:rsidRPr="004B723C" w:rsidRDefault="00E94334"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sz w:val="18"/>
                <w:szCs w:val="18"/>
              </w:rPr>
              <w:t>8/70 (11</w:t>
            </w:r>
            <w:r w:rsidR="009B49E1" w:rsidRPr="004B723C">
              <w:rPr>
                <w:sz w:val="18"/>
                <w:szCs w:val="18"/>
              </w:rPr>
              <w:t>.</w:t>
            </w:r>
            <w:r w:rsidRPr="004B723C">
              <w:rPr>
                <w:sz w:val="18"/>
                <w:szCs w:val="18"/>
              </w:rPr>
              <w:t>4%)</w:t>
            </w:r>
          </w:p>
        </w:tc>
      </w:tr>
      <w:tr w:rsidR="00E94334" w:rsidRPr="004B723C" w14:paraId="59CBA49A" w14:textId="77777777" w:rsidTr="007F3A2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315AA426" w14:textId="67B6B256" w:rsidR="00E94334" w:rsidRPr="004B723C" w:rsidRDefault="00867E2D" w:rsidP="00C72C10">
            <w:pPr>
              <w:spacing w:line="276" w:lineRule="auto"/>
              <w:rPr>
                <w:rFonts w:ascii="Times" w:eastAsia="Times New Roman" w:hAnsi="Times" w:cs="Times"/>
                <w:color w:val="000000"/>
                <w:sz w:val="18"/>
                <w:szCs w:val="18"/>
                <w:lang w:eastAsia="en-GB"/>
              </w:rPr>
            </w:pPr>
            <w:r w:rsidRPr="004B723C">
              <w:rPr>
                <w:sz w:val="18"/>
                <w:szCs w:val="18"/>
              </w:rPr>
              <w:t xml:space="preserve">Total MVI score </w:t>
            </w:r>
            <w:r w:rsidR="00582CCD" w:rsidRPr="004B723C">
              <w:rPr>
                <w:sz w:val="18"/>
                <w:szCs w:val="18"/>
              </w:rPr>
              <w:t xml:space="preserve">: </w:t>
            </w:r>
            <w:r w:rsidR="00E94334" w:rsidRPr="004B723C">
              <w:rPr>
                <w:sz w:val="18"/>
                <w:szCs w:val="18"/>
              </w:rPr>
              <w:t xml:space="preserve"> 5</w:t>
            </w:r>
          </w:p>
        </w:tc>
        <w:tc>
          <w:tcPr>
            <w:tcW w:w="0" w:type="auto"/>
            <w:noWrap/>
          </w:tcPr>
          <w:p w14:paraId="7D58160D" w14:textId="0F17F2BF" w:rsidR="00E94334" w:rsidRPr="004B723C" w:rsidRDefault="00E94334"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sz w:val="18"/>
                <w:szCs w:val="18"/>
              </w:rPr>
              <w:t>47/547 (8</w:t>
            </w:r>
            <w:r w:rsidR="009B49E1" w:rsidRPr="004B723C">
              <w:rPr>
                <w:sz w:val="18"/>
                <w:szCs w:val="18"/>
              </w:rPr>
              <w:t>.</w:t>
            </w:r>
            <w:r w:rsidRPr="004B723C">
              <w:rPr>
                <w:sz w:val="18"/>
                <w:szCs w:val="18"/>
              </w:rPr>
              <w:t>6%)</w:t>
            </w:r>
          </w:p>
        </w:tc>
        <w:tc>
          <w:tcPr>
            <w:tcW w:w="0" w:type="auto"/>
            <w:noWrap/>
          </w:tcPr>
          <w:p w14:paraId="3752DF2B" w14:textId="24C84E79" w:rsidR="00E94334" w:rsidRPr="004B723C" w:rsidRDefault="00E94334"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sz w:val="18"/>
                <w:szCs w:val="18"/>
              </w:rPr>
              <w:t>19/207 (9</w:t>
            </w:r>
            <w:r w:rsidR="009B49E1" w:rsidRPr="004B723C">
              <w:rPr>
                <w:sz w:val="18"/>
                <w:szCs w:val="18"/>
              </w:rPr>
              <w:t>.</w:t>
            </w:r>
            <w:r w:rsidRPr="004B723C">
              <w:rPr>
                <w:sz w:val="18"/>
                <w:szCs w:val="18"/>
              </w:rPr>
              <w:t>2%)</w:t>
            </w:r>
          </w:p>
        </w:tc>
        <w:tc>
          <w:tcPr>
            <w:tcW w:w="0" w:type="auto"/>
            <w:noWrap/>
          </w:tcPr>
          <w:p w14:paraId="01484493" w14:textId="33773D91" w:rsidR="00E94334" w:rsidRPr="004B723C" w:rsidRDefault="00E94334"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sz w:val="18"/>
                <w:szCs w:val="18"/>
              </w:rPr>
              <w:t>6/104 (5</w:t>
            </w:r>
            <w:r w:rsidR="009B49E1" w:rsidRPr="004B723C">
              <w:rPr>
                <w:sz w:val="18"/>
                <w:szCs w:val="18"/>
              </w:rPr>
              <w:t>.</w:t>
            </w:r>
            <w:r w:rsidRPr="004B723C">
              <w:rPr>
                <w:sz w:val="18"/>
                <w:szCs w:val="18"/>
              </w:rPr>
              <w:t>8%)</w:t>
            </w:r>
          </w:p>
        </w:tc>
        <w:tc>
          <w:tcPr>
            <w:tcW w:w="0" w:type="auto"/>
            <w:noWrap/>
          </w:tcPr>
          <w:p w14:paraId="4C7B679C" w14:textId="09777784" w:rsidR="00E94334" w:rsidRPr="004B723C" w:rsidRDefault="00E94334"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sz w:val="18"/>
                <w:szCs w:val="18"/>
              </w:rPr>
              <w:t>15/166 (9%)</w:t>
            </w:r>
          </w:p>
        </w:tc>
        <w:tc>
          <w:tcPr>
            <w:tcW w:w="0" w:type="auto"/>
            <w:noWrap/>
          </w:tcPr>
          <w:p w14:paraId="3542ABF5" w14:textId="4730AF3C" w:rsidR="00E94334" w:rsidRPr="004B723C" w:rsidRDefault="00E94334"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sz w:val="18"/>
                <w:szCs w:val="18"/>
              </w:rPr>
              <w:t>7/70 (10%)</w:t>
            </w:r>
          </w:p>
        </w:tc>
      </w:tr>
      <w:tr w:rsidR="00E94334" w:rsidRPr="004B723C" w14:paraId="5272FE4B" w14:textId="77777777" w:rsidTr="007F3A2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2B38F9BD" w14:textId="180E1931" w:rsidR="00E94334" w:rsidRPr="004B723C" w:rsidRDefault="00867E2D" w:rsidP="00C72C10">
            <w:pPr>
              <w:spacing w:before="240" w:line="276" w:lineRule="auto"/>
              <w:rPr>
                <w:rFonts w:ascii="Times" w:eastAsia="Times New Roman" w:hAnsi="Times" w:cs="Times"/>
                <w:color w:val="000000"/>
                <w:sz w:val="18"/>
                <w:szCs w:val="18"/>
                <w:lang w:eastAsia="en-GB"/>
              </w:rPr>
            </w:pPr>
            <w:r w:rsidRPr="004B723C">
              <w:rPr>
                <w:sz w:val="18"/>
                <w:szCs w:val="18"/>
              </w:rPr>
              <w:t xml:space="preserve">Total MVI score </w:t>
            </w:r>
            <w:r w:rsidR="00582CCD" w:rsidRPr="004B723C">
              <w:rPr>
                <w:sz w:val="18"/>
                <w:szCs w:val="18"/>
              </w:rPr>
              <w:t xml:space="preserve">: </w:t>
            </w:r>
            <w:r w:rsidR="00E94334" w:rsidRPr="004B723C">
              <w:rPr>
                <w:sz w:val="18"/>
                <w:szCs w:val="18"/>
              </w:rPr>
              <w:t xml:space="preserve"> 6</w:t>
            </w:r>
          </w:p>
        </w:tc>
        <w:tc>
          <w:tcPr>
            <w:tcW w:w="0" w:type="auto"/>
            <w:noWrap/>
          </w:tcPr>
          <w:p w14:paraId="43D1A0D3" w14:textId="0081B3B4" w:rsidR="00E94334" w:rsidRPr="004B723C" w:rsidRDefault="00E94334" w:rsidP="00C72C10">
            <w:pPr>
              <w:spacing w:before="240"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sz w:val="18"/>
                <w:szCs w:val="18"/>
              </w:rPr>
              <w:t>12/547 (2</w:t>
            </w:r>
            <w:r w:rsidR="009B49E1" w:rsidRPr="004B723C">
              <w:rPr>
                <w:sz w:val="18"/>
                <w:szCs w:val="18"/>
              </w:rPr>
              <w:t>.</w:t>
            </w:r>
            <w:r w:rsidRPr="004B723C">
              <w:rPr>
                <w:sz w:val="18"/>
                <w:szCs w:val="18"/>
              </w:rPr>
              <w:t>2%)</w:t>
            </w:r>
          </w:p>
        </w:tc>
        <w:tc>
          <w:tcPr>
            <w:tcW w:w="0" w:type="auto"/>
            <w:noWrap/>
          </w:tcPr>
          <w:p w14:paraId="5C139E56" w14:textId="0AD7B392" w:rsidR="00E94334" w:rsidRPr="004B723C" w:rsidRDefault="00E94334" w:rsidP="00C72C10">
            <w:pPr>
              <w:spacing w:before="240"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sz w:val="18"/>
                <w:szCs w:val="18"/>
              </w:rPr>
              <w:t>8/207 (3</w:t>
            </w:r>
            <w:r w:rsidR="009B49E1" w:rsidRPr="004B723C">
              <w:rPr>
                <w:sz w:val="18"/>
                <w:szCs w:val="18"/>
              </w:rPr>
              <w:t>.</w:t>
            </w:r>
            <w:r w:rsidRPr="004B723C">
              <w:rPr>
                <w:sz w:val="18"/>
                <w:szCs w:val="18"/>
              </w:rPr>
              <w:t>9%)</w:t>
            </w:r>
          </w:p>
        </w:tc>
        <w:tc>
          <w:tcPr>
            <w:tcW w:w="0" w:type="auto"/>
            <w:noWrap/>
          </w:tcPr>
          <w:p w14:paraId="77AE215B" w14:textId="30EEBD15" w:rsidR="00E94334" w:rsidRPr="004B723C" w:rsidRDefault="00E94334" w:rsidP="00C72C10">
            <w:pPr>
              <w:spacing w:before="240"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sz w:val="18"/>
                <w:szCs w:val="18"/>
              </w:rPr>
              <w:t>1/104 (1%)</w:t>
            </w:r>
          </w:p>
        </w:tc>
        <w:tc>
          <w:tcPr>
            <w:tcW w:w="0" w:type="auto"/>
            <w:noWrap/>
          </w:tcPr>
          <w:p w14:paraId="6E429146" w14:textId="10109DD8" w:rsidR="00E94334" w:rsidRPr="004B723C" w:rsidRDefault="00E94334" w:rsidP="00C72C10">
            <w:pPr>
              <w:spacing w:before="240"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sz w:val="18"/>
                <w:szCs w:val="18"/>
              </w:rPr>
              <w:t>3/166 (1</w:t>
            </w:r>
            <w:r w:rsidR="009B49E1" w:rsidRPr="004B723C">
              <w:rPr>
                <w:sz w:val="18"/>
                <w:szCs w:val="18"/>
              </w:rPr>
              <w:t>.</w:t>
            </w:r>
            <w:r w:rsidRPr="004B723C">
              <w:rPr>
                <w:sz w:val="18"/>
                <w:szCs w:val="18"/>
              </w:rPr>
              <w:t>8%)</w:t>
            </w:r>
          </w:p>
        </w:tc>
        <w:tc>
          <w:tcPr>
            <w:tcW w:w="0" w:type="auto"/>
            <w:noWrap/>
          </w:tcPr>
          <w:p w14:paraId="0ACC15F5" w14:textId="7B2C2A28" w:rsidR="00E94334" w:rsidRPr="004B723C" w:rsidRDefault="00E94334" w:rsidP="00C72C10">
            <w:pPr>
              <w:spacing w:before="240"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color w:val="000000"/>
                <w:sz w:val="18"/>
                <w:szCs w:val="18"/>
                <w:lang w:eastAsia="en-GB"/>
              </w:rPr>
            </w:pPr>
            <w:r w:rsidRPr="004B723C">
              <w:rPr>
                <w:sz w:val="18"/>
                <w:szCs w:val="18"/>
              </w:rPr>
              <w:t>0/70 (0%)</w:t>
            </w:r>
          </w:p>
        </w:tc>
      </w:tr>
    </w:tbl>
    <w:p w14:paraId="05435591" w14:textId="3812074E" w:rsidR="00532B68" w:rsidRPr="004B723C" w:rsidRDefault="0015107B" w:rsidP="00532B68">
      <w:pPr>
        <w:spacing w:before="240" w:line="360" w:lineRule="auto"/>
      </w:pPr>
      <w:r w:rsidRPr="004B723C">
        <w:t xml:space="preserve">Abbreviations: </w:t>
      </w:r>
      <w:r w:rsidR="008E52B7" w:rsidRPr="004B723C">
        <w:t xml:space="preserve">AMR, antibody-mediated rejection; </w:t>
      </w:r>
      <w:r w:rsidR="00532B68" w:rsidRPr="004B723C">
        <w:t>C4d, complement split product C4d; CMV, cytomegalovirus; D, donor; DSA, donor-specific antibody; HLA, human leukocyte antigen; IF, immunofluorescence; IHC, immunohistochemistry; R, recipient.</w:t>
      </w:r>
    </w:p>
    <w:p w14:paraId="44E7E92A" w14:textId="77777777" w:rsidR="0015107B" w:rsidRPr="004B723C" w:rsidRDefault="0015107B" w:rsidP="007F3A2D">
      <w:pPr>
        <w:spacing w:line="360" w:lineRule="auto"/>
      </w:pPr>
    </w:p>
    <w:p w14:paraId="0FAB2D2F" w14:textId="52319264" w:rsidR="008F2DD5" w:rsidRPr="004B723C" w:rsidRDefault="008F2DD5" w:rsidP="007F3A2D">
      <w:pPr>
        <w:spacing w:line="360" w:lineRule="auto"/>
        <w:sectPr w:rsidR="008F2DD5" w:rsidRPr="004B723C" w:rsidSect="00380509">
          <w:pgSz w:w="16838" w:h="11906" w:orient="landscape"/>
          <w:pgMar w:top="1417" w:right="1417" w:bottom="1417" w:left="1417" w:header="708" w:footer="708" w:gutter="0"/>
          <w:cols w:space="708"/>
          <w:docGrid w:linePitch="360"/>
        </w:sectPr>
      </w:pPr>
    </w:p>
    <w:p w14:paraId="5B507348" w14:textId="426B1590" w:rsidR="00D75B12" w:rsidRPr="004B723C" w:rsidRDefault="00E57A7A" w:rsidP="007F3A2D">
      <w:pPr>
        <w:pStyle w:val="Heading2"/>
      </w:pPr>
      <w:bookmarkStart w:id="3" w:name="_Toc216645088"/>
      <w:r w:rsidRPr="004B723C">
        <w:lastRenderedPageBreak/>
        <w:t xml:space="preserve">Table </w:t>
      </w:r>
      <w:r w:rsidR="002855C7" w:rsidRPr="004B723C">
        <w:t>S</w:t>
      </w:r>
      <w:r w:rsidR="00267FED" w:rsidRPr="004B723C">
        <w:t>3</w:t>
      </w:r>
      <w:r w:rsidR="007731EB" w:rsidRPr="004B723C">
        <w:t>:</w:t>
      </w:r>
      <w:r w:rsidRPr="004B723C">
        <w:t xml:space="preserve"> </w:t>
      </w:r>
      <w:r w:rsidR="000B009C" w:rsidRPr="004B723C">
        <w:t>First</w:t>
      </w:r>
      <w:r w:rsidR="007A5E1A" w:rsidRPr="004B723C">
        <w:t xml:space="preserve"> MVI</w:t>
      </w:r>
      <w:r w:rsidR="002A3E6F" w:rsidRPr="004B723C">
        <w:t xml:space="preserve"> biopsy ch</w:t>
      </w:r>
      <w:r w:rsidRPr="004B723C">
        <w:t>aracteristics</w:t>
      </w:r>
      <w:r w:rsidR="002A3E6F" w:rsidRPr="004B723C">
        <w:t xml:space="preserve"> </w:t>
      </w:r>
      <w:r w:rsidRPr="004B723C">
        <w:t xml:space="preserve">by </w:t>
      </w:r>
      <w:bookmarkEnd w:id="2"/>
      <w:bookmarkEnd w:id="3"/>
      <w:r w:rsidR="000B009C" w:rsidRPr="004B723C">
        <w:t>center</w:t>
      </w:r>
    </w:p>
    <w:tbl>
      <w:tblPr>
        <w:tblStyle w:val="Nature"/>
        <w:tblW w:w="0" w:type="auto"/>
        <w:jc w:val="center"/>
        <w:tblLook w:val="04A0" w:firstRow="1" w:lastRow="0" w:firstColumn="1" w:lastColumn="0" w:noHBand="0" w:noVBand="1"/>
      </w:tblPr>
      <w:tblGrid>
        <w:gridCol w:w="3341"/>
        <w:gridCol w:w="1706"/>
        <w:gridCol w:w="1436"/>
        <w:gridCol w:w="1706"/>
        <w:gridCol w:w="1571"/>
        <w:gridCol w:w="1596"/>
      </w:tblGrid>
      <w:tr w:rsidR="00904194" w:rsidRPr="004B723C" w14:paraId="5C250E4E" w14:textId="77777777" w:rsidTr="007F3A2D">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6E09C3D5" w14:textId="77777777" w:rsidR="00904194" w:rsidRPr="004B723C" w:rsidRDefault="00904194" w:rsidP="00C72C10">
            <w:pPr>
              <w:spacing w:line="276" w:lineRule="auto"/>
              <w:jc w:val="center"/>
              <w:rPr>
                <w:rFonts w:eastAsia="Times New Roman" w:cs="Times New Roman"/>
                <w:b/>
                <w:bCs/>
                <w:i w:val="0"/>
                <w:iCs w:val="0"/>
                <w:color w:val="000000"/>
                <w:sz w:val="18"/>
                <w:szCs w:val="18"/>
                <w:lang w:eastAsia="en-GB"/>
              </w:rPr>
            </w:pPr>
            <w:r w:rsidRPr="004B723C">
              <w:rPr>
                <w:rFonts w:eastAsia="Times New Roman" w:cs="Times New Roman"/>
                <w:b/>
                <w:bCs/>
                <w:color w:val="000000"/>
                <w:sz w:val="18"/>
                <w:szCs w:val="18"/>
                <w:lang w:eastAsia="en-GB"/>
              </w:rPr>
              <w:t>Variable</w:t>
            </w:r>
          </w:p>
        </w:tc>
        <w:tc>
          <w:tcPr>
            <w:tcW w:w="0" w:type="auto"/>
            <w:noWrap/>
            <w:hideMark/>
          </w:tcPr>
          <w:p w14:paraId="07AAB0AD" w14:textId="19A979E9" w:rsidR="00904194" w:rsidRPr="004B723C" w:rsidRDefault="006A2B4F" w:rsidP="00C72C10">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i w:val="0"/>
                <w:iCs w:val="0"/>
                <w:color w:val="000000"/>
                <w:sz w:val="18"/>
                <w:szCs w:val="18"/>
                <w:lang w:eastAsia="en-GB"/>
              </w:rPr>
            </w:pPr>
            <w:r w:rsidRPr="004B723C">
              <w:rPr>
                <w:rFonts w:eastAsia="Times New Roman" w:cs="Times New Roman"/>
                <w:b/>
                <w:bCs/>
                <w:color w:val="000000"/>
                <w:sz w:val="18"/>
                <w:szCs w:val="18"/>
                <w:lang w:eastAsia="en-GB"/>
              </w:rPr>
              <w:t>Total</w:t>
            </w:r>
            <w:r w:rsidRPr="004B723C">
              <w:rPr>
                <w:rFonts w:eastAsia="Times New Roman" w:cs="Times New Roman"/>
                <w:b/>
                <w:bCs/>
                <w:color w:val="000000"/>
                <w:sz w:val="18"/>
                <w:szCs w:val="18"/>
                <w:lang w:eastAsia="en-GB"/>
              </w:rPr>
              <w:br/>
              <w:t>(n</w:t>
            </w:r>
            <w:r w:rsidR="00582CCD" w:rsidRPr="004B723C">
              <w:rPr>
                <w:rFonts w:eastAsia="Times New Roman" w:cs="Times New Roman"/>
                <w:b/>
                <w:bCs/>
                <w:color w:val="000000"/>
                <w:sz w:val="18"/>
                <w:szCs w:val="18"/>
                <w:lang w:eastAsia="en-GB"/>
              </w:rPr>
              <w:t xml:space="preserve">: </w:t>
            </w:r>
            <w:r w:rsidRPr="004B723C">
              <w:rPr>
                <w:rFonts w:eastAsia="Times New Roman" w:cs="Times New Roman"/>
                <w:b/>
                <w:bCs/>
                <w:color w:val="000000"/>
                <w:sz w:val="18"/>
                <w:szCs w:val="18"/>
                <w:lang w:eastAsia="en-GB"/>
              </w:rPr>
              <w:t>4</w:t>
            </w:r>
            <w:r w:rsidR="000B24E7" w:rsidRPr="004B723C">
              <w:rPr>
                <w:rFonts w:eastAsia="Times New Roman" w:cs="Times New Roman"/>
                <w:b/>
                <w:bCs/>
                <w:color w:val="000000"/>
                <w:sz w:val="18"/>
                <w:szCs w:val="18"/>
                <w:lang w:eastAsia="en-GB"/>
              </w:rPr>
              <w:t>,</w:t>
            </w:r>
            <w:r w:rsidRPr="004B723C">
              <w:rPr>
                <w:rFonts w:eastAsia="Times New Roman" w:cs="Times New Roman"/>
                <w:b/>
                <w:bCs/>
                <w:color w:val="000000"/>
                <w:sz w:val="18"/>
                <w:szCs w:val="18"/>
                <w:lang w:eastAsia="en-GB"/>
              </w:rPr>
              <w:t>411)</w:t>
            </w:r>
          </w:p>
        </w:tc>
        <w:tc>
          <w:tcPr>
            <w:tcW w:w="0" w:type="auto"/>
            <w:noWrap/>
            <w:hideMark/>
          </w:tcPr>
          <w:p w14:paraId="3A489EB6" w14:textId="15B68DBA" w:rsidR="00904194" w:rsidRPr="004B723C" w:rsidRDefault="00904194" w:rsidP="00C72C10">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i w:val="0"/>
                <w:iCs w:val="0"/>
                <w:color w:val="000000"/>
                <w:sz w:val="18"/>
                <w:szCs w:val="18"/>
                <w:lang w:eastAsia="en-GB"/>
              </w:rPr>
            </w:pPr>
            <w:r w:rsidRPr="004B723C">
              <w:rPr>
                <w:rFonts w:eastAsia="Times New Roman" w:cs="Times New Roman"/>
                <w:b/>
                <w:bCs/>
                <w:color w:val="000000"/>
                <w:sz w:val="18"/>
                <w:szCs w:val="18"/>
                <w:lang w:eastAsia="en-GB"/>
              </w:rPr>
              <w:t>Basel</w:t>
            </w:r>
            <w:r w:rsidR="006A2B4F" w:rsidRPr="004B723C">
              <w:rPr>
                <w:rFonts w:eastAsia="Times New Roman" w:cs="Times New Roman"/>
                <w:b/>
                <w:bCs/>
                <w:color w:val="000000"/>
                <w:sz w:val="18"/>
                <w:szCs w:val="18"/>
                <w:lang w:eastAsia="en-GB"/>
              </w:rPr>
              <w:br/>
              <w:t>(n</w:t>
            </w:r>
            <w:r w:rsidR="00582CCD" w:rsidRPr="004B723C">
              <w:rPr>
                <w:rFonts w:eastAsia="Times New Roman" w:cs="Times New Roman"/>
                <w:b/>
                <w:bCs/>
                <w:color w:val="000000"/>
                <w:sz w:val="18"/>
                <w:szCs w:val="18"/>
                <w:lang w:eastAsia="en-GB"/>
              </w:rPr>
              <w:t xml:space="preserve">: </w:t>
            </w:r>
            <w:r w:rsidR="006A2B4F" w:rsidRPr="004B723C">
              <w:rPr>
                <w:rFonts w:eastAsia="Times New Roman" w:cs="Times New Roman"/>
                <w:b/>
                <w:bCs/>
                <w:color w:val="000000"/>
                <w:sz w:val="18"/>
                <w:szCs w:val="18"/>
                <w:lang w:eastAsia="en-GB"/>
              </w:rPr>
              <w:t>506)</w:t>
            </w:r>
          </w:p>
        </w:tc>
        <w:tc>
          <w:tcPr>
            <w:tcW w:w="0" w:type="auto"/>
            <w:noWrap/>
            <w:hideMark/>
          </w:tcPr>
          <w:p w14:paraId="0EFD78FF" w14:textId="1767E73F" w:rsidR="00904194" w:rsidRPr="004B723C" w:rsidRDefault="00904194" w:rsidP="00C72C10">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i w:val="0"/>
                <w:iCs w:val="0"/>
                <w:color w:val="000000"/>
                <w:sz w:val="18"/>
                <w:szCs w:val="18"/>
                <w:lang w:eastAsia="en-GB"/>
              </w:rPr>
            </w:pPr>
            <w:r w:rsidRPr="004B723C">
              <w:rPr>
                <w:rFonts w:eastAsia="Times New Roman" w:cs="Times New Roman"/>
                <w:b/>
                <w:bCs/>
                <w:color w:val="000000"/>
                <w:sz w:val="18"/>
                <w:szCs w:val="18"/>
                <w:lang w:eastAsia="en-GB"/>
              </w:rPr>
              <w:t>Leuven</w:t>
            </w:r>
            <w:r w:rsidR="006A2B4F" w:rsidRPr="004B723C">
              <w:rPr>
                <w:rFonts w:eastAsia="Times New Roman" w:cs="Times New Roman"/>
                <w:b/>
                <w:bCs/>
                <w:color w:val="000000"/>
                <w:sz w:val="18"/>
                <w:szCs w:val="18"/>
                <w:lang w:eastAsia="en-GB"/>
              </w:rPr>
              <w:br/>
              <w:t>(n</w:t>
            </w:r>
            <w:r w:rsidR="00582CCD" w:rsidRPr="004B723C">
              <w:rPr>
                <w:rFonts w:eastAsia="Times New Roman" w:cs="Times New Roman"/>
                <w:b/>
                <w:bCs/>
                <w:color w:val="000000"/>
                <w:sz w:val="18"/>
                <w:szCs w:val="18"/>
                <w:lang w:eastAsia="en-GB"/>
              </w:rPr>
              <w:t xml:space="preserve">: </w:t>
            </w:r>
            <w:r w:rsidR="006A2B4F" w:rsidRPr="004B723C">
              <w:rPr>
                <w:rFonts w:eastAsia="Times New Roman" w:cs="Times New Roman"/>
                <w:b/>
                <w:bCs/>
                <w:color w:val="000000"/>
                <w:sz w:val="18"/>
                <w:szCs w:val="18"/>
                <w:lang w:eastAsia="en-GB"/>
              </w:rPr>
              <w:t>1</w:t>
            </w:r>
            <w:r w:rsidR="000B24E7" w:rsidRPr="004B723C">
              <w:rPr>
                <w:rFonts w:eastAsia="Times New Roman" w:cs="Times New Roman"/>
                <w:b/>
                <w:bCs/>
                <w:color w:val="000000"/>
                <w:sz w:val="18"/>
                <w:szCs w:val="18"/>
                <w:lang w:eastAsia="en-GB"/>
              </w:rPr>
              <w:t>,</w:t>
            </w:r>
            <w:r w:rsidR="006A2B4F" w:rsidRPr="004B723C">
              <w:rPr>
                <w:rFonts w:eastAsia="Times New Roman" w:cs="Times New Roman"/>
                <w:b/>
                <w:bCs/>
                <w:color w:val="000000"/>
                <w:sz w:val="18"/>
                <w:szCs w:val="18"/>
                <w:lang w:eastAsia="en-GB"/>
              </w:rPr>
              <w:t>891)</w:t>
            </w:r>
          </w:p>
        </w:tc>
        <w:tc>
          <w:tcPr>
            <w:tcW w:w="0" w:type="auto"/>
            <w:noWrap/>
            <w:hideMark/>
          </w:tcPr>
          <w:p w14:paraId="2D17900D" w14:textId="081F2B17" w:rsidR="00904194" w:rsidRPr="004B723C" w:rsidRDefault="00904194" w:rsidP="00C72C10">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i w:val="0"/>
                <w:iCs w:val="0"/>
                <w:color w:val="000000"/>
                <w:sz w:val="18"/>
                <w:szCs w:val="18"/>
                <w:lang w:eastAsia="en-GB"/>
              </w:rPr>
            </w:pPr>
            <w:r w:rsidRPr="004B723C">
              <w:rPr>
                <w:rFonts w:eastAsia="Times New Roman" w:cs="Times New Roman"/>
                <w:b/>
                <w:bCs/>
                <w:color w:val="000000"/>
                <w:sz w:val="18"/>
                <w:szCs w:val="18"/>
                <w:lang w:eastAsia="en-GB"/>
              </w:rPr>
              <w:t xml:space="preserve">Prague </w:t>
            </w:r>
            <w:r w:rsidR="006A2B4F" w:rsidRPr="004B723C">
              <w:rPr>
                <w:rFonts w:eastAsia="Times New Roman" w:cs="Times New Roman"/>
                <w:b/>
                <w:bCs/>
                <w:color w:val="000000"/>
                <w:sz w:val="18"/>
                <w:szCs w:val="18"/>
                <w:lang w:eastAsia="en-GB"/>
              </w:rPr>
              <w:br/>
              <w:t>(n</w:t>
            </w:r>
            <w:r w:rsidR="00582CCD" w:rsidRPr="004B723C">
              <w:rPr>
                <w:rFonts w:eastAsia="Times New Roman" w:cs="Times New Roman"/>
                <w:b/>
                <w:bCs/>
                <w:color w:val="000000"/>
                <w:sz w:val="18"/>
                <w:szCs w:val="18"/>
                <w:lang w:eastAsia="en-GB"/>
              </w:rPr>
              <w:t xml:space="preserve">: </w:t>
            </w:r>
            <w:r w:rsidR="006A2B4F" w:rsidRPr="004B723C">
              <w:rPr>
                <w:rFonts w:eastAsia="Times New Roman" w:cs="Times New Roman"/>
                <w:b/>
                <w:bCs/>
                <w:color w:val="000000"/>
                <w:sz w:val="18"/>
                <w:szCs w:val="18"/>
                <w:lang w:eastAsia="en-GB"/>
              </w:rPr>
              <w:t>1005)</w:t>
            </w:r>
          </w:p>
        </w:tc>
        <w:tc>
          <w:tcPr>
            <w:tcW w:w="0" w:type="auto"/>
            <w:noWrap/>
            <w:hideMark/>
          </w:tcPr>
          <w:p w14:paraId="7BFE0C26" w14:textId="2EC4C49C" w:rsidR="00904194" w:rsidRPr="004B723C" w:rsidRDefault="00904194" w:rsidP="00C72C10">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i w:val="0"/>
                <w:iCs w:val="0"/>
                <w:color w:val="000000"/>
                <w:sz w:val="18"/>
                <w:szCs w:val="18"/>
                <w:lang w:eastAsia="en-GB"/>
              </w:rPr>
            </w:pPr>
            <w:r w:rsidRPr="004B723C">
              <w:rPr>
                <w:rFonts w:eastAsia="Times New Roman" w:cs="Times New Roman"/>
                <w:b/>
                <w:bCs/>
                <w:color w:val="000000"/>
                <w:sz w:val="18"/>
                <w:szCs w:val="18"/>
                <w:lang w:eastAsia="en-GB"/>
              </w:rPr>
              <w:t>Vienna</w:t>
            </w:r>
            <w:r w:rsidR="002224C4" w:rsidRPr="004B723C">
              <w:rPr>
                <w:rFonts w:eastAsia="Times New Roman" w:cs="Times New Roman"/>
                <w:b/>
                <w:bCs/>
                <w:color w:val="000000"/>
                <w:sz w:val="18"/>
                <w:szCs w:val="18"/>
                <w:lang w:eastAsia="en-GB"/>
              </w:rPr>
              <w:br/>
              <w:t>(n</w:t>
            </w:r>
            <w:r w:rsidR="00582CCD" w:rsidRPr="004B723C">
              <w:rPr>
                <w:rFonts w:eastAsia="Times New Roman" w:cs="Times New Roman"/>
                <w:b/>
                <w:bCs/>
                <w:color w:val="000000"/>
                <w:sz w:val="18"/>
                <w:szCs w:val="18"/>
                <w:lang w:eastAsia="en-GB"/>
              </w:rPr>
              <w:t xml:space="preserve">: </w:t>
            </w:r>
            <w:r w:rsidR="002224C4" w:rsidRPr="004B723C">
              <w:rPr>
                <w:rFonts w:eastAsia="Times New Roman" w:cs="Times New Roman"/>
                <w:b/>
                <w:bCs/>
                <w:color w:val="000000"/>
                <w:sz w:val="18"/>
                <w:szCs w:val="18"/>
                <w:lang w:eastAsia="en-GB"/>
              </w:rPr>
              <w:t>1009)</w:t>
            </w:r>
          </w:p>
        </w:tc>
      </w:tr>
      <w:tr w:rsidR="00820648" w:rsidRPr="004B723C" w14:paraId="4996C2DE" w14:textId="77777777" w:rsidTr="007F3A2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170BC1A5" w14:textId="69BA8311" w:rsidR="00B872A1" w:rsidRPr="004B723C" w:rsidRDefault="00B872A1" w:rsidP="00C72C10">
            <w:pPr>
              <w:spacing w:line="276" w:lineRule="auto"/>
              <w:rPr>
                <w:rFonts w:eastAsia="Times New Roman" w:cs="Times New Roman"/>
                <w:b/>
                <w:bCs/>
                <w:color w:val="000000"/>
                <w:sz w:val="18"/>
                <w:szCs w:val="18"/>
                <w:lang w:eastAsia="en-GB"/>
              </w:rPr>
            </w:pPr>
            <w:r w:rsidRPr="004B723C">
              <w:rPr>
                <w:rFonts w:cs="Times New Roman"/>
                <w:color w:val="000000"/>
                <w:sz w:val="18"/>
                <w:szCs w:val="18"/>
              </w:rPr>
              <w:t xml:space="preserve">Transplants with ≥1 </w:t>
            </w:r>
            <w:r w:rsidR="00572867" w:rsidRPr="004B723C">
              <w:rPr>
                <w:rFonts w:cs="Times New Roman"/>
                <w:color w:val="000000"/>
                <w:sz w:val="18"/>
                <w:szCs w:val="18"/>
              </w:rPr>
              <w:t>post–transplant biopsy</w:t>
            </w:r>
          </w:p>
        </w:tc>
        <w:tc>
          <w:tcPr>
            <w:tcW w:w="0" w:type="auto"/>
            <w:noWrap/>
          </w:tcPr>
          <w:p w14:paraId="391085DA" w14:textId="1E9EFA32"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3,713/4,411 (84</w:t>
            </w:r>
            <w:r w:rsidR="009B49E1" w:rsidRPr="004B723C">
              <w:rPr>
                <w:rFonts w:cs="Times New Roman"/>
                <w:color w:val="000000"/>
                <w:sz w:val="18"/>
                <w:szCs w:val="18"/>
              </w:rPr>
              <w:t>.</w:t>
            </w:r>
            <w:r w:rsidRPr="004B723C">
              <w:rPr>
                <w:rFonts w:cs="Times New Roman"/>
                <w:color w:val="000000"/>
                <w:sz w:val="18"/>
                <w:szCs w:val="18"/>
              </w:rPr>
              <w:t>2%)</w:t>
            </w:r>
          </w:p>
        </w:tc>
        <w:tc>
          <w:tcPr>
            <w:tcW w:w="0" w:type="auto"/>
            <w:noWrap/>
          </w:tcPr>
          <w:p w14:paraId="49EBBB6F" w14:textId="53F114DF"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460/506 (90</w:t>
            </w:r>
            <w:r w:rsidR="009B49E1" w:rsidRPr="004B723C">
              <w:rPr>
                <w:rFonts w:cs="Times New Roman"/>
                <w:color w:val="000000"/>
                <w:sz w:val="18"/>
                <w:szCs w:val="18"/>
              </w:rPr>
              <w:t>.</w:t>
            </w:r>
            <w:r w:rsidRPr="004B723C">
              <w:rPr>
                <w:rFonts w:cs="Times New Roman"/>
                <w:color w:val="000000"/>
                <w:sz w:val="18"/>
                <w:szCs w:val="18"/>
              </w:rPr>
              <w:t>9%)</w:t>
            </w:r>
          </w:p>
        </w:tc>
        <w:tc>
          <w:tcPr>
            <w:tcW w:w="0" w:type="auto"/>
            <w:noWrap/>
          </w:tcPr>
          <w:p w14:paraId="738276D9" w14:textId="62BA9E81"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1,805/1,891 (95</w:t>
            </w:r>
            <w:r w:rsidR="009B49E1" w:rsidRPr="004B723C">
              <w:rPr>
                <w:rFonts w:cs="Times New Roman"/>
                <w:color w:val="000000"/>
                <w:sz w:val="18"/>
                <w:szCs w:val="18"/>
              </w:rPr>
              <w:t>.</w:t>
            </w:r>
            <w:r w:rsidRPr="004B723C">
              <w:rPr>
                <w:rFonts w:cs="Times New Roman"/>
                <w:color w:val="000000"/>
                <w:sz w:val="18"/>
                <w:szCs w:val="18"/>
              </w:rPr>
              <w:t>5%)</w:t>
            </w:r>
          </w:p>
        </w:tc>
        <w:tc>
          <w:tcPr>
            <w:tcW w:w="0" w:type="auto"/>
            <w:noWrap/>
          </w:tcPr>
          <w:p w14:paraId="6F1667C1" w14:textId="2C5F9F7E"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786/1,005 (78</w:t>
            </w:r>
            <w:r w:rsidR="009B49E1" w:rsidRPr="004B723C">
              <w:rPr>
                <w:rFonts w:cs="Times New Roman"/>
                <w:color w:val="000000"/>
                <w:sz w:val="18"/>
                <w:szCs w:val="18"/>
              </w:rPr>
              <w:t>.</w:t>
            </w:r>
            <w:r w:rsidRPr="004B723C">
              <w:rPr>
                <w:rFonts w:cs="Times New Roman"/>
                <w:color w:val="000000"/>
                <w:sz w:val="18"/>
                <w:szCs w:val="18"/>
              </w:rPr>
              <w:t>2%)</w:t>
            </w:r>
          </w:p>
        </w:tc>
        <w:tc>
          <w:tcPr>
            <w:tcW w:w="0" w:type="auto"/>
            <w:noWrap/>
          </w:tcPr>
          <w:p w14:paraId="499739F2" w14:textId="6B767C70"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662/1,009 (65</w:t>
            </w:r>
            <w:r w:rsidR="009B49E1" w:rsidRPr="004B723C">
              <w:rPr>
                <w:rFonts w:cs="Times New Roman"/>
                <w:color w:val="000000"/>
                <w:sz w:val="18"/>
                <w:szCs w:val="18"/>
              </w:rPr>
              <w:t>.</w:t>
            </w:r>
            <w:r w:rsidRPr="004B723C">
              <w:rPr>
                <w:rFonts w:cs="Times New Roman"/>
                <w:color w:val="000000"/>
                <w:sz w:val="18"/>
                <w:szCs w:val="18"/>
              </w:rPr>
              <w:t>6%)</w:t>
            </w:r>
          </w:p>
        </w:tc>
      </w:tr>
      <w:tr w:rsidR="00820648" w:rsidRPr="004B723C" w14:paraId="4DCDE10B" w14:textId="77777777" w:rsidTr="007F3A2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15800BA8" w14:textId="48E5FD01" w:rsidR="00B872A1" w:rsidRPr="004B723C" w:rsidRDefault="00B872A1" w:rsidP="00C72C10">
            <w:pPr>
              <w:spacing w:line="276" w:lineRule="auto"/>
              <w:rPr>
                <w:rFonts w:eastAsia="Times New Roman" w:cs="Times New Roman"/>
                <w:b/>
                <w:bCs/>
                <w:color w:val="000000"/>
                <w:sz w:val="18"/>
                <w:szCs w:val="18"/>
                <w:lang w:eastAsia="en-GB"/>
              </w:rPr>
            </w:pPr>
            <w:r w:rsidRPr="004B723C">
              <w:rPr>
                <w:rFonts w:cs="Times New Roman"/>
                <w:color w:val="000000"/>
                <w:sz w:val="18"/>
                <w:szCs w:val="18"/>
              </w:rPr>
              <w:t>Number of biopsies</w:t>
            </w:r>
          </w:p>
        </w:tc>
        <w:tc>
          <w:tcPr>
            <w:tcW w:w="0" w:type="auto"/>
            <w:noWrap/>
          </w:tcPr>
          <w:p w14:paraId="6C4BEC18" w14:textId="3B80E064"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w:t>
            </w:r>
            <w:r w:rsidR="009B49E1" w:rsidRPr="004B723C">
              <w:rPr>
                <w:rFonts w:cs="Times New Roman"/>
                <w:color w:val="000000"/>
                <w:sz w:val="18"/>
                <w:szCs w:val="18"/>
              </w:rPr>
              <w:t>.</w:t>
            </w:r>
            <w:r w:rsidRPr="004B723C">
              <w:rPr>
                <w:rFonts w:cs="Times New Roman"/>
                <w:color w:val="000000"/>
                <w:sz w:val="18"/>
                <w:szCs w:val="18"/>
              </w:rPr>
              <w:t>3 (1</w:t>
            </w:r>
            <w:r w:rsidR="009B49E1" w:rsidRPr="004B723C">
              <w:rPr>
                <w:rFonts w:cs="Times New Roman"/>
                <w:color w:val="000000"/>
                <w:sz w:val="18"/>
                <w:szCs w:val="18"/>
              </w:rPr>
              <w:t>.</w:t>
            </w:r>
            <w:r w:rsidRPr="004B723C">
              <w:rPr>
                <w:rFonts w:cs="Times New Roman"/>
                <w:color w:val="000000"/>
                <w:sz w:val="18"/>
                <w:szCs w:val="18"/>
              </w:rPr>
              <w:t>7)</w:t>
            </w:r>
          </w:p>
        </w:tc>
        <w:tc>
          <w:tcPr>
            <w:tcW w:w="0" w:type="auto"/>
            <w:noWrap/>
          </w:tcPr>
          <w:p w14:paraId="37AD3A2C" w14:textId="5A2D26A8"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 (1</w:t>
            </w:r>
            <w:r w:rsidR="009B49E1" w:rsidRPr="004B723C">
              <w:rPr>
                <w:rFonts w:cs="Times New Roman"/>
                <w:color w:val="000000"/>
                <w:sz w:val="18"/>
                <w:szCs w:val="18"/>
              </w:rPr>
              <w:t>.</w:t>
            </w:r>
            <w:r w:rsidRPr="004B723C">
              <w:rPr>
                <w:rFonts w:cs="Times New Roman"/>
                <w:color w:val="000000"/>
                <w:sz w:val="18"/>
                <w:szCs w:val="18"/>
              </w:rPr>
              <w:t>2)</w:t>
            </w:r>
          </w:p>
        </w:tc>
        <w:tc>
          <w:tcPr>
            <w:tcW w:w="0" w:type="auto"/>
            <w:noWrap/>
          </w:tcPr>
          <w:p w14:paraId="0B9D81BB" w14:textId="1A773445"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w:t>
            </w:r>
            <w:r w:rsidR="009B49E1" w:rsidRPr="004B723C">
              <w:rPr>
                <w:rFonts w:cs="Times New Roman"/>
                <w:color w:val="000000"/>
                <w:sz w:val="18"/>
                <w:szCs w:val="18"/>
              </w:rPr>
              <w:t>.</w:t>
            </w:r>
            <w:r w:rsidRPr="004B723C">
              <w:rPr>
                <w:rFonts w:cs="Times New Roman"/>
                <w:color w:val="000000"/>
                <w:sz w:val="18"/>
                <w:szCs w:val="18"/>
              </w:rPr>
              <w:t>3 (1</w:t>
            </w:r>
            <w:r w:rsidR="009B49E1" w:rsidRPr="004B723C">
              <w:rPr>
                <w:rFonts w:cs="Times New Roman"/>
                <w:color w:val="000000"/>
                <w:sz w:val="18"/>
                <w:szCs w:val="18"/>
              </w:rPr>
              <w:t>.</w:t>
            </w:r>
            <w:r w:rsidRPr="004B723C">
              <w:rPr>
                <w:rFonts w:cs="Times New Roman"/>
                <w:color w:val="000000"/>
                <w:sz w:val="18"/>
                <w:szCs w:val="18"/>
              </w:rPr>
              <w:t>6)</w:t>
            </w:r>
          </w:p>
        </w:tc>
        <w:tc>
          <w:tcPr>
            <w:tcW w:w="0" w:type="auto"/>
            <w:noWrap/>
          </w:tcPr>
          <w:p w14:paraId="34868AF2" w14:textId="76DAAF6B"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w:t>
            </w:r>
            <w:r w:rsidR="009B49E1" w:rsidRPr="004B723C">
              <w:rPr>
                <w:rFonts w:cs="Times New Roman"/>
                <w:color w:val="000000"/>
                <w:sz w:val="18"/>
                <w:szCs w:val="18"/>
              </w:rPr>
              <w:t>.</w:t>
            </w:r>
            <w:r w:rsidRPr="004B723C">
              <w:rPr>
                <w:rFonts w:cs="Times New Roman"/>
                <w:color w:val="000000"/>
                <w:sz w:val="18"/>
                <w:szCs w:val="18"/>
              </w:rPr>
              <w:t>5 (1</w:t>
            </w:r>
            <w:r w:rsidR="009B49E1" w:rsidRPr="004B723C">
              <w:rPr>
                <w:rFonts w:cs="Times New Roman"/>
                <w:color w:val="000000"/>
                <w:sz w:val="18"/>
                <w:szCs w:val="18"/>
              </w:rPr>
              <w:t>.</w:t>
            </w:r>
            <w:r w:rsidRPr="004B723C">
              <w:rPr>
                <w:rFonts w:cs="Times New Roman"/>
                <w:color w:val="000000"/>
                <w:sz w:val="18"/>
                <w:szCs w:val="18"/>
              </w:rPr>
              <w:t>2)</w:t>
            </w:r>
          </w:p>
        </w:tc>
        <w:tc>
          <w:tcPr>
            <w:tcW w:w="0" w:type="auto"/>
            <w:noWrap/>
          </w:tcPr>
          <w:p w14:paraId="288D3F9B" w14:textId="18CFE28D"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w:t>
            </w:r>
            <w:r w:rsidR="009B49E1" w:rsidRPr="004B723C">
              <w:rPr>
                <w:rFonts w:cs="Times New Roman"/>
                <w:color w:val="000000"/>
                <w:sz w:val="18"/>
                <w:szCs w:val="18"/>
              </w:rPr>
              <w:t>.</w:t>
            </w:r>
            <w:r w:rsidRPr="004B723C">
              <w:rPr>
                <w:rFonts w:cs="Times New Roman"/>
                <w:color w:val="000000"/>
                <w:sz w:val="18"/>
                <w:szCs w:val="18"/>
              </w:rPr>
              <w:t>4 (1</w:t>
            </w:r>
            <w:r w:rsidR="009B49E1" w:rsidRPr="004B723C">
              <w:rPr>
                <w:rFonts w:cs="Times New Roman"/>
                <w:color w:val="000000"/>
                <w:sz w:val="18"/>
                <w:szCs w:val="18"/>
              </w:rPr>
              <w:t>.</w:t>
            </w:r>
            <w:r w:rsidRPr="004B723C">
              <w:rPr>
                <w:rFonts w:cs="Times New Roman"/>
                <w:color w:val="000000"/>
                <w:sz w:val="18"/>
                <w:szCs w:val="18"/>
              </w:rPr>
              <w:t>4)</w:t>
            </w:r>
          </w:p>
        </w:tc>
      </w:tr>
      <w:tr w:rsidR="00820648" w:rsidRPr="004B723C" w14:paraId="5ED86BBA" w14:textId="77777777" w:rsidTr="007F3A2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6E3F44A0" w14:textId="1B542754" w:rsidR="00B872A1" w:rsidRPr="004B723C" w:rsidRDefault="00B872A1" w:rsidP="00C72C10">
            <w:pPr>
              <w:spacing w:line="276" w:lineRule="auto"/>
              <w:rPr>
                <w:rFonts w:eastAsia="Times New Roman" w:cs="Times New Roman"/>
                <w:b/>
                <w:bCs/>
                <w:color w:val="000000"/>
                <w:sz w:val="18"/>
                <w:szCs w:val="18"/>
                <w:lang w:eastAsia="en-GB"/>
              </w:rPr>
            </w:pPr>
            <w:r w:rsidRPr="004B723C">
              <w:rPr>
                <w:rFonts w:cs="Times New Roman"/>
                <w:color w:val="000000"/>
                <w:sz w:val="18"/>
                <w:szCs w:val="18"/>
              </w:rPr>
              <w:t>MVI</w:t>
            </w:r>
          </w:p>
        </w:tc>
        <w:tc>
          <w:tcPr>
            <w:tcW w:w="0" w:type="auto"/>
            <w:noWrap/>
          </w:tcPr>
          <w:p w14:paraId="0C38A1F8" w14:textId="7A32F0B8"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547/3,713 (14</w:t>
            </w:r>
            <w:r w:rsidR="009B49E1" w:rsidRPr="004B723C">
              <w:rPr>
                <w:rFonts w:cs="Times New Roman"/>
                <w:color w:val="000000"/>
                <w:sz w:val="18"/>
                <w:szCs w:val="18"/>
              </w:rPr>
              <w:t>.</w:t>
            </w:r>
            <w:r w:rsidRPr="004B723C">
              <w:rPr>
                <w:rFonts w:cs="Times New Roman"/>
                <w:color w:val="000000"/>
                <w:sz w:val="18"/>
                <w:szCs w:val="18"/>
              </w:rPr>
              <w:t>7%)</w:t>
            </w:r>
          </w:p>
        </w:tc>
        <w:tc>
          <w:tcPr>
            <w:tcW w:w="0" w:type="auto"/>
            <w:noWrap/>
          </w:tcPr>
          <w:p w14:paraId="73AA53AC" w14:textId="0F49B736"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66/460 (14</w:t>
            </w:r>
            <w:r w:rsidR="009B49E1" w:rsidRPr="004B723C">
              <w:rPr>
                <w:rFonts w:cs="Times New Roman"/>
                <w:color w:val="000000"/>
                <w:sz w:val="18"/>
                <w:szCs w:val="18"/>
              </w:rPr>
              <w:t>.</w:t>
            </w:r>
            <w:r w:rsidRPr="004B723C">
              <w:rPr>
                <w:rFonts w:cs="Times New Roman"/>
                <w:color w:val="000000"/>
                <w:sz w:val="18"/>
                <w:szCs w:val="18"/>
              </w:rPr>
              <w:t>3%)</w:t>
            </w:r>
          </w:p>
        </w:tc>
        <w:tc>
          <w:tcPr>
            <w:tcW w:w="0" w:type="auto"/>
            <w:noWrap/>
          </w:tcPr>
          <w:p w14:paraId="6858F09B" w14:textId="1A06498B"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308/1,805 (17</w:t>
            </w:r>
            <w:r w:rsidR="009B49E1" w:rsidRPr="004B723C">
              <w:rPr>
                <w:rFonts w:cs="Times New Roman"/>
                <w:color w:val="000000"/>
                <w:sz w:val="18"/>
                <w:szCs w:val="18"/>
              </w:rPr>
              <w:t>.</w:t>
            </w:r>
            <w:r w:rsidRPr="004B723C">
              <w:rPr>
                <w:rFonts w:cs="Times New Roman"/>
                <w:color w:val="000000"/>
                <w:sz w:val="18"/>
                <w:szCs w:val="18"/>
              </w:rPr>
              <w:t>1%)</w:t>
            </w:r>
          </w:p>
        </w:tc>
        <w:tc>
          <w:tcPr>
            <w:tcW w:w="0" w:type="auto"/>
            <w:noWrap/>
          </w:tcPr>
          <w:p w14:paraId="371365B7" w14:textId="7E401270"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67/786 (8</w:t>
            </w:r>
            <w:r w:rsidR="009B49E1" w:rsidRPr="004B723C">
              <w:rPr>
                <w:rFonts w:cs="Times New Roman"/>
                <w:color w:val="000000"/>
                <w:sz w:val="18"/>
                <w:szCs w:val="18"/>
              </w:rPr>
              <w:t>.</w:t>
            </w:r>
            <w:r w:rsidRPr="004B723C">
              <w:rPr>
                <w:rFonts w:cs="Times New Roman"/>
                <w:color w:val="000000"/>
                <w:sz w:val="18"/>
                <w:szCs w:val="18"/>
              </w:rPr>
              <w:t>5%)</w:t>
            </w:r>
          </w:p>
        </w:tc>
        <w:tc>
          <w:tcPr>
            <w:tcW w:w="0" w:type="auto"/>
            <w:noWrap/>
          </w:tcPr>
          <w:p w14:paraId="7E31FD89" w14:textId="076C7AF6"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106/662 (16%)</w:t>
            </w:r>
          </w:p>
        </w:tc>
      </w:tr>
      <w:tr w:rsidR="00820648" w:rsidRPr="004B723C" w14:paraId="3ED9C05F" w14:textId="77777777" w:rsidTr="007F3A2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2FA99B42" w14:textId="67B5D714" w:rsidR="00B872A1" w:rsidRPr="004B723C" w:rsidRDefault="00B872A1" w:rsidP="00C72C10">
            <w:pPr>
              <w:spacing w:line="276" w:lineRule="auto"/>
              <w:rPr>
                <w:rFonts w:eastAsia="Times New Roman" w:cs="Times New Roman"/>
                <w:b/>
                <w:bCs/>
                <w:color w:val="000000"/>
                <w:sz w:val="18"/>
                <w:szCs w:val="18"/>
                <w:lang w:eastAsia="en-GB"/>
              </w:rPr>
            </w:pPr>
            <w:r w:rsidRPr="004B723C">
              <w:rPr>
                <w:rFonts w:cs="Times New Roman"/>
                <w:color w:val="000000"/>
                <w:sz w:val="18"/>
                <w:szCs w:val="18"/>
              </w:rPr>
              <w:t>Time to MVI</w:t>
            </w:r>
          </w:p>
        </w:tc>
        <w:tc>
          <w:tcPr>
            <w:tcW w:w="0" w:type="auto"/>
            <w:noWrap/>
          </w:tcPr>
          <w:p w14:paraId="18B600E8" w14:textId="0959EBBC"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 xml:space="preserve">365 </w:t>
            </w:r>
            <w:r w:rsidR="00FB2EF6" w:rsidRPr="004B723C">
              <w:rPr>
                <w:rFonts w:cs="Times New Roman"/>
                <w:color w:val="000000"/>
                <w:sz w:val="18"/>
                <w:szCs w:val="18"/>
              </w:rPr>
              <w:t>(</w:t>
            </w:r>
            <w:r w:rsidRPr="004B723C">
              <w:rPr>
                <w:rFonts w:cs="Times New Roman"/>
                <w:color w:val="000000"/>
                <w:sz w:val="18"/>
                <w:szCs w:val="18"/>
              </w:rPr>
              <w:t>93–736</w:t>
            </w:r>
            <w:r w:rsidR="00FB2EF6" w:rsidRPr="004B723C">
              <w:rPr>
                <w:rFonts w:cs="Times New Roman"/>
                <w:color w:val="000000"/>
                <w:sz w:val="18"/>
                <w:szCs w:val="18"/>
              </w:rPr>
              <w:t>)</w:t>
            </w:r>
          </w:p>
        </w:tc>
        <w:tc>
          <w:tcPr>
            <w:tcW w:w="0" w:type="auto"/>
            <w:noWrap/>
          </w:tcPr>
          <w:p w14:paraId="194D742A" w14:textId="1883CB9F"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 xml:space="preserve">373 </w:t>
            </w:r>
            <w:r w:rsidR="00FB2EF6" w:rsidRPr="004B723C">
              <w:rPr>
                <w:rFonts w:cs="Times New Roman"/>
                <w:color w:val="000000"/>
                <w:sz w:val="18"/>
                <w:szCs w:val="18"/>
              </w:rPr>
              <w:t>(</w:t>
            </w:r>
            <w:r w:rsidRPr="004B723C">
              <w:rPr>
                <w:rFonts w:cs="Times New Roman"/>
                <w:color w:val="000000"/>
                <w:sz w:val="18"/>
                <w:szCs w:val="18"/>
              </w:rPr>
              <w:t>185–395</w:t>
            </w:r>
            <w:r w:rsidR="00FB2EF6" w:rsidRPr="004B723C">
              <w:rPr>
                <w:rFonts w:cs="Times New Roman"/>
                <w:color w:val="000000"/>
                <w:sz w:val="18"/>
                <w:szCs w:val="18"/>
              </w:rPr>
              <w:t>)</w:t>
            </w:r>
          </w:p>
        </w:tc>
        <w:tc>
          <w:tcPr>
            <w:tcW w:w="0" w:type="auto"/>
            <w:noWrap/>
          </w:tcPr>
          <w:p w14:paraId="4B6E255B" w14:textId="6878B8E5"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 xml:space="preserve">726 </w:t>
            </w:r>
            <w:r w:rsidR="00FB2EF6" w:rsidRPr="004B723C">
              <w:rPr>
                <w:rFonts w:cs="Times New Roman"/>
                <w:color w:val="000000"/>
                <w:sz w:val="18"/>
                <w:szCs w:val="18"/>
              </w:rPr>
              <w:t>(</w:t>
            </w:r>
            <w:r w:rsidRPr="004B723C">
              <w:rPr>
                <w:rFonts w:cs="Times New Roman"/>
                <w:color w:val="000000"/>
                <w:sz w:val="18"/>
                <w:szCs w:val="18"/>
              </w:rPr>
              <w:t>355–795</w:t>
            </w:r>
            <w:r w:rsidR="00FB2EF6" w:rsidRPr="004B723C">
              <w:rPr>
                <w:rFonts w:cs="Times New Roman"/>
                <w:color w:val="000000"/>
                <w:sz w:val="18"/>
                <w:szCs w:val="18"/>
              </w:rPr>
              <w:t>)</w:t>
            </w:r>
          </w:p>
        </w:tc>
        <w:tc>
          <w:tcPr>
            <w:tcW w:w="0" w:type="auto"/>
            <w:noWrap/>
          </w:tcPr>
          <w:p w14:paraId="5B9BF371" w14:textId="7B1054AF"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 xml:space="preserve">102 </w:t>
            </w:r>
            <w:r w:rsidR="00FB2EF6" w:rsidRPr="004B723C">
              <w:rPr>
                <w:rFonts w:cs="Times New Roman"/>
                <w:color w:val="000000"/>
                <w:sz w:val="18"/>
                <w:szCs w:val="18"/>
              </w:rPr>
              <w:t>(</w:t>
            </w:r>
            <w:r w:rsidRPr="004B723C">
              <w:rPr>
                <w:rFonts w:cs="Times New Roman"/>
                <w:color w:val="000000"/>
                <w:sz w:val="18"/>
                <w:szCs w:val="18"/>
              </w:rPr>
              <w:t>83–136</w:t>
            </w:r>
            <w:r w:rsidR="009B49E1" w:rsidRPr="004B723C">
              <w:rPr>
                <w:rFonts w:cs="Times New Roman"/>
                <w:color w:val="000000"/>
                <w:sz w:val="18"/>
                <w:szCs w:val="18"/>
              </w:rPr>
              <w:t>.</w:t>
            </w:r>
            <w:r w:rsidRPr="004B723C">
              <w:rPr>
                <w:rFonts w:cs="Times New Roman"/>
                <w:color w:val="000000"/>
                <w:sz w:val="18"/>
                <w:szCs w:val="18"/>
              </w:rPr>
              <w:t>2</w:t>
            </w:r>
            <w:r w:rsidR="00FB2EF6" w:rsidRPr="004B723C">
              <w:rPr>
                <w:rFonts w:cs="Times New Roman"/>
                <w:color w:val="000000"/>
                <w:sz w:val="18"/>
                <w:szCs w:val="18"/>
              </w:rPr>
              <w:t>)</w:t>
            </w:r>
          </w:p>
        </w:tc>
        <w:tc>
          <w:tcPr>
            <w:tcW w:w="0" w:type="auto"/>
            <w:noWrap/>
          </w:tcPr>
          <w:p w14:paraId="08D718A9" w14:textId="0F618C7E"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 xml:space="preserve">120 </w:t>
            </w:r>
            <w:r w:rsidR="00FB2EF6" w:rsidRPr="004B723C">
              <w:rPr>
                <w:rFonts w:cs="Times New Roman"/>
                <w:color w:val="000000"/>
                <w:sz w:val="18"/>
                <w:szCs w:val="18"/>
              </w:rPr>
              <w:t>(</w:t>
            </w:r>
            <w:r w:rsidRPr="004B723C">
              <w:rPr>
                <w:rFonts w:cs="Times New Roman"/>
                <w:color w:val="000000"/>
                <w:sz w:val="18"/>
                <w:szCs w:val="18"/>
              </w:rPr>
              <w:t>23–466</w:t>
            </w:r>
            <w:r w:rsidR="00FB2EF6" w:rsidRPr="004B723C">
              <w:rPr>
                <w:rFonts w:cs="Times New Roman"/>
                <w:color w:val="000000"/>
                <w:sz w:val="18"/>
                <w:szCs w:val="18"/>
              </w:rPr>
              <w:t>)</w:t>
            </w:r>
          </w:p>
        </w:tc>
      </w:tr>
      <w:tr w:rsidR="00820648" w:rsidRPr="004B723C" w14:paraId="376D293D" w14:textId="77777777" w:rsidTr="007F3A2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42B5C019" w14:textId="1A7CFA3E" w:rsidR="00B872A1" w:rsidRPr="004B723C" w:rsidRDefault="00B872A1" w:rsidP="00C72C10">
            <w:pPr>
              <w:spacing w:line="276" w:lineRule="auto"/>
              <w:rPr>
                <w:rFonts w:eastAsia="Times New Roman" w:cs="Times New Roman"/>
                <w:b/>
                <w:bCs/>
                <w:color w:val="000000"/>
                <w:sz w:val="18"/>
                <w:szCs w:val="18"/>
                <w:lang w:eastAsia="en-GB"/>
              </w:rPr>
            </w:pPr>
            <w:r w:rsidRPr="004B723C">
              <w:rPr>
                <w:rFonts w:cs="Times New Roman"/>
                <w:color w:val="000000"/>
                <w:sz w:val="18"/>
                <w:szCs w:val="18"/>
              </w:rPr>
              <w:t>MVI without glomerulitis criterion</w:t>
            </w:r>
          </w:p>
        </w:tc>
        <w:tc>
          <w:tcPr>
            <w:tcW w:w="0" w:type="auto"/>
            <w:noWrap/>
          </w:tcPr>
          <w:p w14:paraId="519752C7" w14:textId="3C8DC379"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653/3,713 (17</w:t>
            </w:r>
            <w:r w:rsidR="009B49E1" w:rsidRPr="004B723C">
              <w:rPr>
                <w:rFonts w:cs="Times New Roman"/>
                <w:color w:val="000000"/>
                <w:sz w:val="18"/>
                <w:szCs w:val="18"/>
              </w:rPr>
              <w:t>.</w:t>
            </w:r>
            <w:r w:rsidRPr="004B723C">
              <w:rPr>
                <w:rFonts w:cs="Times New Roman"/>
                <w:color w:val="000000"/>
                <w:sz w:val="18"/>
                <w:szCs w:val="18"/>
              </w:rPr>
              <w:t>6%)</w:t>
            </w:r>
          </w:p>
        </w:tc>
        <w:tc>
          <w:tcPr>
            <w:tcW w:w="0" w:type="auto"/>
            <w:noWrap/>
          </w:tcPr>
          <w:p w14:paraId="354F7203" w14:textId="2590C337"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84/460 (18</w:t>
            </w:r>
            <w:r w:rsidR="009B49E1" w:rsidRPr="004B723C">
              <w:rPr>
                <w:rFonts w:cs="Times New Roman"/>
                <w:color w:val="000000"/>
                <w:sz w:val="18"/>
                <w:szCs w:val="18"/>
              </w:rPr>
              <w:t>.</w:t>
            </w:r>
            <w:r w:rsidRPr="004B723C">
              <w:rPr>
                <w:rFonts w:cs="Times New Roman"/>
                <w:color w:val="000000"/>
                <w:sz w:val="18"/>
                <w:szCs w:val="18"/>
              </w:rPr>
              <w:t>3%)</w:t>
            </w:r>
          </w:p>
        </w:tc>
        <w:tc>
          <w:tcPr>
            <w:tcW w:w="0" w:type="auto"/>
            <w:noWrap/>
          </w:tcPr>
          <w:p w14:paraId="43D5AF23" w14:textId="3D9DC8AE"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383/1,805 (21</w:t>
            </w:r>
            <w:r w:rsidR="009B49E1" w:rsidRPr="004B723C">
              <w:rPr>
                <w:rFonts w:cs="Times New Roman"/>
                <w:color w:val="000000"/>
                <w:sz w:val="18"/>
                <w:szCs w:val="18"/>
              </w:rPr>
              <w:t>.</w:t>
            </w:r>
            <w:r w:rsidRPr="004B723C">
              <w:rPr>
                <w:rFonts w:cs="Times New Roman"/>
                <w:color w:val="000000"/>
                <w:sz w:val="18"/>
                <w:szCs w:val="18"/>
              </w:rPr>
              <w:t>2%)</w:t>
            </w:r>
          </w:p>
        </w:tc>
        <w:tc>
          <w:tcPr>
            <w:tcW w:w="0" w:type="auto"/>
            <w:noWrap/>
          </w:tcPr>
          <w:p w14:paraId="77ACA794" w14:textId="6928A1C9"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68/786 (8</w:t>
            </w:r>
            <w:r w:rsidR="009B49E1" w:rsidRPr="004B723C">
              <w:rPr>
                <w:rFonts w:cs="Times New Roman"/>
                <w:color w:val="000000"/>
                <w:sz w:val="18"/>
                <w:szCs w:val="18"/>
              </w:rPr>
              <w:t>.</w:t>
            </w:r>
            <w:r w:rsidRPr="004B723C">
              <w:rPr>
                <w:rFonts w:cs="Times New Roman"/>
                <w:color w:val="000000"/>
                <w:sz w:val="18"/>
                <w:szCs w:val="18"/>
              </w:rPr>
              <w:t>7%)</w:t>
            </w:r>
          </w:p>
        </w:tc>
        <w:tc>
          <w:tcPr>
            <w:tcW w:w="0" w:type="auto"/>
            <w:noWrap/>
          </w:tcPr>
          <w:p w14:paraId="35A5DF1D" w14:textId="56D38F68"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118/662 (17</w:t>
            </w:r>
            <w:r w:rsidR="009B49E1" w:rsidRPr="004B723C">
              <w:rPr>
                <w:rFonts w:cs="Times New Roman"/>
                <w:color w:val="000000"/>
                <w:sz w:val="18"/>
                <w:szCs w:val="18"/>
              </w:rPr>
              <w:t>.</w:t>
            </w:r>
            <w:r w:rsidRPr="004B723C">
              <w:rPr>
                <w:rFonts w:cs="Times New Roman"/>
                <w:color w:val="000000"/>
                <w:sz w:val="18"/>
                <w:szCs w:val="18"/>
              </w:rPr>
              <w:t>8%)</w:t>
            </w:r>
          </w:p>
        </w:tc>
      </w:tr>
      <w:tr w:rsidR="00820648" w:rsidRPr="004B723C" w14:paraId="301677FB" w14:textId="77777777" w:rsidTr="007F3A2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71D3CA7F" w14:textId="1941F2C5" w:rsidR="00B872A1" w:rsidRPr="004B723C" w:rsidRDefault="00B872A1" w:rsidP="00C72C10">
            <w:pPr>
              <w:spacing w:line="276" w:lineRule="auto"/>
              <w:rPr>
                <w:rFonts w:eastAsia="Times New Roman" w:cs="Times New Roman"/>
                <w:b/>
                <w:bCs/>
                <w:color w:val="000000"/>
                <w:sz w:val="18"/>
                <w:szCs w:val="18"/>
                <w:lang w:eastAsia="en-GB"/>
              </w:rPr>
            </w:pPr>
            <w:r w:rsidRPr="004B723C">
              <w:rPr>
                <w:rFonts w:cs="Times New Roman"/>
                <w:color w:val="000000"/>
                <w:sz w:val="18"/>
                <w:szCs w:val="18"/>
              </w:rPr>
              <w:t>Time to MVI without glomerulitis criterion</w:t>
            </w:r>
          </w:p>
        </w:tc>
        <w:tc>
          <w:tcPr>
            <w:tcW w:w="0" w:type="auto"/>
            <w:noWrap/>
          </w:tcPr>
          <w:p w14:paraId="650C52F6" w14:textId="34F06FC6"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 xml:space="preserve">359 </w:t>
            </w:r>
            <w:r w:rsidR="00FB2EF6" w:rsidRPr="004B723C">
              <w:rPr>
                <w:rFonts w:cs="Times New Roman"/>
                <w:color w:val="000000"/>
                <w:sz w:val="18"/>
                <w:szCs w:val="18"/>
              </w:rPr>
              <w:t>(</w:t>
            </w:r>
            <w:r w:rsidRPr="004B723C">
              <w:rPr>
                <w:rFonts w:cs="Times New Roman"/>
                <w:color w:val="000000"/>
                <w:sz w:val="18"/>
                <w:szCs w:val="18"/>
              </w:rPr>
              <w:t>91–734</w:t>
            </w:r>
            <w:r w:rsidR="00FB2EF6" w:rsidRPr="004B723C">
              <w:rPr>
                <w:rFonts w:cs="Times New Roman"/>
                <w:color w:val="000000"/>
                <w:sz w:val="18"/>
                <w:szCs w:val="18"/>
              </w:rPr>
              <w:t>)</w:t>
            </w:r>
          </w:p>
        </w:tc>
        <w:tc>
          <w:tcPr>
            <w:tcW w:w="0" w:type="auto"/>
            <w:noWrap/>
          </w:tcPr>
          <w:p w14:paraId="24D785B4" w14:textId="290CDDAB"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 xml:space="preserve">370 </w:t>
            </w:r>
            <w:r w:rsidR="00FB2EF6" w:rsidRPr="004B723C">
              <w:rPr>
                <w:rFonts w:cs="Times New Roman"/>
                <w:color w:val="000000"/>
                <w:sz w:val="18"/>
                <w:szCs w:val="18"/>
              </w:rPr>
              <w:t>(</w:t>
            </w:r>
            <w:r w:rsidRPr="004B723C">
              <w:rPr>
                <w:rFonts w:cs="Times New Roman"/>
                <w:color w:val="000000"/>
                <w:sz w:val="18"/>
                <w:szCs w:val="18"/>
              </w:rPr>
              <w:t>177–394</w:t>
            </w:r>
            <w:r w:rsidR="00FB2EF6" w:rsidRPr="004B723C">
              <w:rPr>
                <w:rFonts w:cs="Times New Roman"/>
                <w:color w:val="000000"/>
                <w:sz w:val="18"/>
                <w:szCs w:val="18"/>
              </w:rPr>
              <w:t>)</w:t>
            </w:r>
          </w:p>
        </w:tc>
        <w:tc>
          <w:tcPr>
            <w:tcW w:w="0" w:type="auto"/>
            <w:noWrap/>
          </w:tcPr>
          <w:p w14:paraId="7B31182A" w14:textId="48D1E6A8"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 xml:space="preserve">720 </w:t>
            </w:r>
            <w:r w:rsidR="00FB2EF6" w:rsidRPr="004B723C">
              <w:rPr>
                <w:rFonts w:cs="Times New Roman"/>
                <w:color w:val="000000"/>
                <w:sz w:val="18"/>
                <w:szCs w:val="18"/>
              </w:rPr>
              <w:t>(</w:t>
            </w:r>
            <w:r w:rsidRPr="004B723C">
              <w:rPr>
                <w:rFonts w:cs="Times New Roman"/>
                <w:color w:val="000000"/>
                <w:sz w:val="18"/>
                <w:szCs w:val="18"/>
              </w:rPr>
              <w:t>168–777</w:t>
            </w:r>
            <w:r w:rsidR="00FB2EF6" w:rsidRPr="004B723C">
              <w:rPr>
                <w:rFonts w:cs="Times New Roman"/>
                <w:color w:val="000000"/>
                <w:sz w:val="18"/>
                <w:szCs w:val="18"/>
              </w:rPr>
              <w:t>)</w:t>
            </w:r>
          </w:p>
        </w:tc>
        <w:tc>
          <w:tcPr>
            <w:tcW w:w="0" w:type="auto"/>
            <w:noWrap/>
          </w:tcPr>
          <w:p w14:paraId="2578F1EE" w14:textId="3ECE8F53"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101</w:t>
            </w:r>
            <w:r w:rsidR="009B49E1" w:rsidRPr="004B723C">
              <w:rPr>
                <w:rFonts w:cs="Times New Roman"/>
                <w:color w:val="000000"/>
                <w:sz w:val="18"/>
                <w:szCs w:val="18"/>
              </w:rPr>
              <w:t>.</w:t>
            </w:r>
            <w:r w:rsidRPr="004B723C">
              <w:rPr>
                <w:rFonts w:cs="Times New Roman"/>
                <w:color w:val="000000"/>
                <w:sz w:val="18"/>
                <w:szCs w:val="18"/>
              </w:rPr>
              <w:t xml:space="preserve">5 </w:t>
            </w:r>
            <w:r w:rsidR="00FB2EF6" w:rsidRPr="004B723C">
              <w:rPr>
                <w:rFonts w:cs="Times New Roman"/>
                <w:color w:val="000000"/>
                <w:sz w:val="18"/>
                <w:szCs w:val="18"/>
              </w:rPr>
              <w:t>(</w:t>
            </w:r>
            <w:r w:rsidRPr="004B723C">
              <w:rPr>
                <w:rFonts w:cs="Times New Roman"/>
                <w:color w:val="000000"/>
                <w:sz w:val="18"/>
                <w:szCs w:val="18"/>
              </w:rPr>
              <w:t>83–136</w:t>
            </w:r>
            <w:r w:rsidR="009B49E1" w:rsidRPr="004B723C">
              <w:rPr>
                <w:rFonts w:cs="Times New Roman"/>
                <w:color w:val="000000"/>
                <w:sz w:val="18"/>
                <w:szCs w:val="18"/>
              </w:rPr>
              <w:t>.</w:t>
            </w:r>
            <w:r w:rsidRPr="004B723C">
              <w:rPr>
                <w:rFonts w:cs="Times New Roman"/>
                <w:color w:val="000000"/>
                <w:sz w:val="18"/>
                <w:szCs w:val="18"/>
              </w:rPr>
              <w:t>2</w:t>
            </w:r>
            <w:r w:rsidR="00FB2EF6" w:rsidRPr="004B723C">
              <w:rPr>
                <w:rFonts w:cs="Times New Roman"/>
                <w:color w:val="000000"/>
                <w:sz w:val="18"/>
                <w:szCs w:val="18"/>
              </w:rPr>
              <w:t>)</w:t>
            </w:r>
          </w:p>
        </w:tc>
        <w:tc>
          <w:tcPr>
            <w:tcW w:w="0" w:type="auto"/>
            <w:noWrap/>
          </w:tcPr>
          <w:p w14:paraId="2BE5F5E1" w14:textId="716CC0C5"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117</w:t>
            </w:r>
            <w:r w:rsidR="009B49E1" w:rsidRPr="004B723C">
              <w:rPr>
                <w:rFonts w:cs="Times New Roman"/>
                <w:color w:val="000000"/>
                <w:sz w:val="18"/>
                <w:szCs w:val="18"/>
              </w:rPr>
              <w:t>.</w:t>
            </w:r>
            <w:r w:rsidRPr="004B723C">
              <w:rPr>
                <w:rFonts w:cs="Times New Roman"/>
                <w:color w:val="000000"/>
                <w:sz w:val="18"/>
                <w:szCs w:val="18"/>
              </w:rPr>
              <w:t xml:space="preserve">5 </w:t>
            </w:r>
            <w:r w:rsidR="00FB2EF6" w:rsidRPr="004B723C">
              <w:rPr>
                <w:rFonts w:cs="Times New Roman"/>
                <w:color w:val="000000"/>
                <w:sz w:val="18"/>
                <w:szCs w:val="18"/>
              </w:rPr>
              <w:t>(</w:t>
            </w:r>
            <w:r w:rsidRPr="004B723C">
              <w:rPr>
                <w:rFonts w:cs="Times New Roman"/>
                <w:color w:val="000000"/>
                <w:sz w:val="18"/>
                <w:szCs w:val="18"/>
              </w:rPr>
              <w:t>22</w:t>
            </w:r>
            <w:r w:rsidR="009B49E1" w:rsidRPr="004B723C">
              <w:rPr>
                <w:rFonts w:cs="Times New Roman"/>
                <w:color w:val="000000"/>
                <w:sz w:val="18"/>
                <w:szCs w:val="18"/>
              </w:rPr>
              <w:t>.</w:t>
            </w:r>
            <w:r w:rsidRPr="004B723C">
              <w:rPr>
                <w:rFonts w:cs="Times New Roman"/>
                <w:color w:val="000000"/>
                <w:sz w:val="18"/>
                <w:szCs w:val="18"/>
              </w:rPr>
              <w:t>2–456</w:t>
            </w:r>
            <w:r w:rsidR="009B49E1" w:rsidRPr="004B723C">
              <w:rPr>
                <w:rFonts w:cs="Times New Roman"/>
                <w:color w:val="000000"/>
                <w:sz w:val="18"/>
                <w:szCs w:val="18"/>
              </w:rPr>
              <w:t>.</w:t>
            </w:r>
            <w:r w:rsidRPr="004B723C">
              <w:rPr>
                <w:rFonts w:cs="Times New Roman"/>
                <w:color w:val="000000"/>
                <w:sz w:val="18"/>
                <w:szCs w:val="18"/>
              </w:rPr>
              <w:t>5</w:t>
            </w:r>
            <w:r w:rsidR="00FB2EF6" w:rsidRPr="004B723C">
              <w:rPr>
                <w:rFonts w:cs="Times New Roman"/>
                <w:color w:val="000000"/>
                <w:sz w:val="18"/>
                <w:szCs w:val="18"/>
              </w:rPr>
              <w:t>)</w:t>
            </w:r>
          </w:p>
        </w:tc>
      </w:tr>
      <w:tr w:rsidR="00820648" w:rsidRPr="004B723C" w14:paraId="2A4913D9" w14:textId="77777777" w:rsidTr="007F3A2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69059759" w14:textId="38A44B74" w:rsidR="00B872A1" w:rsidRPr="004B723C" w:rsidRDefault="00B872A1" w:rsidP="00C72C10">
            <w:pPr>
              <w:spacing w:line="276" w:lineRule="auto"/>
              <w:rPr>
                <w:rFonts w:eastAsia="Times New Roman" w:cs="Times New Roman"/>
                <w:b/>
                <w:bCs/>
                <w:color w:val="000000"/>
                <w:sz w:val="18"/>
                <w:szCs w:val="18"/>
                <w:lang w:eastAsia="en-GB"/>
              </w:rPr>
            </w:pPr>
            <w:r w:rsidRPr="004B723C">
              <w:rPr>
                <w:rFonts w:cs="Times New Roman"/>
                <w:color w:val="000000"/>
                <w:sz w:val="18"/>
                <w:szCs w:val="18"/>
              </w:rPr>
              <w:t>Current/historic DSA positive</w:t>
            </w:r>
          </w:p>
        </w:tc>
        <w:tc>
          <w:tcPr>
            <w:tcW w:w="0" w:type="auto"/>
            <w:noWrap/>
          </w:tcPr>
          <w:p w14:paraId="168C0FE5" w14:textId="742C3F66"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194/547 (35</w:t>
            </w:r>
            <w:r w:rsidR="009B49E1" w:rsidRPr="004B723C">
              <w:rPr>
                <w:rFonts w:cs="Times New Roman"/>
                <w:color w:val="000000"/>
                <w:sz w:val="18"/>
                <w:szCs w:val="18"/>
              </w:rPr>
              <w:t>.</w:t>
            </w:r>
            <w:r w:rsidRPr="004B723C">
              <w:rPr>
                <w:rFonts w:cs="Times New Roman"/>
                <w:color w:val="000000"/>
                <w:sz w:val="18"/>
                <w:szCs w:val="18"/>
              </w:rPr>
              <w:t>5%)</w:t>
            </w:r>
          </w:p>
        </w:tc>
        <w:tc>
          <w:tcPr>
            <w:tcW w:w="0" w:type="auto"/>
            <w:noWrap/>
          </w:tcPr>
          <w:p w14:paraId="164A8083" w14:textId="60891361"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17/66 (25</w:t>
            </w:r>
            <w:r w:rsidR="009B49E1" w:rsidRPr="004B723C">
              <w:rPr>
                <w:rFonts w:cs="Times New Roman"/>
                <w:color w:val="000000"/>
                <w:sz w:val="18"/>
                <w:szCs w:val="18"/>
              </w:rPr>
              <w:t>.</w:t>
            </w:r>
            <w:r w:rsidRPr="004B723C">
              <w:rPr>
                <w:rFonts w:cs="Times New Roman"/>
                <w:color w:val="000000"/>
                <w:sz w:val="18"/>
                <w:szCs w:val="18"/>
              </w:rPr>
              <w:t>8%)</w:t>
            </w:r>
          </w:p>
        </w:tc>
        <w:tc>
          <w:tcPr>
            <w:tcW w:w="0" w:type="auto"/>
            <w:noWrap/>
          </w:tcPr>
          <w:p w14:paraId="4330DD88" w14:textId="05B95CAA"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102/308 (33</w:t>
            </w:r>
            <w:r w:rsidR="009B49E1" w:rsidRPr="004B723C">
              <w:rPr>
                <w:rFonts w:cs="Times New Roman"/>
                <w:color w:val="000000"/>
                <w:sz w:val="18"/>
                <w:szCs w:val="18"/>
              </w:rPr>
              <w:t>.</w:t>
            </w:r>
            <w:r w:rsidRPr="004B723C">
              <w:rPr>
                <w:rFonts w:cs="Times New Roman"/>
                <w:color w:val="000000"/>
                <w:sz w:val="18"/>
                <w:szCs w:val="18"/>
              </w:rPr>
              <w:t>1%)</w:t>
            </w:r>
          </w:p>
        </w:tc>
        <w:tc>
          <w:tcPr>
            <w:tcW w:w="0" w:type="auto"/>
            <w:noWrap/>
          </w:tcPr>
          <w:p w14:paraId="44AF903C" w14:textId="332492DE"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18/67 (26</w:t>
            </w:r>
            <w:r w:rsidR="009B49E1" w:rsidRPr="004B723C">
              <w:rPr>
                <w:rFonts w:cs="Times New Roman"/>
                <w:color w:val="000000"/>
                <w:sz w:val="18"/>
                <w:szCs w:val="18"/>
              </w:rPr>
              <w:t>.</w:t>
            </w:r>
            <w:r w:rsidRPr="004B723C">
              <w:rPr>
                <w:rFonts w:cs="Times New Roman"/>
                <w:color w:val="000000"/>
                <w:sz w:val="18"/>
                <w:szCs w:val="18"/>
              </w:rPr>
              <w:t>9%)</w:t>
            </w:r>
          </w:p>
        </w:tc>
        <w:tc>
          <w:tcPr>
            <w:tcW w:w="0" w:type="auto"/>
            <w:noWrap/>
          </w:tcPr>
          <w:p w14:paraId="1E3D21DE" w14:textId="1D230F77"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57/106 (53</w:t>
            </w:r>
            <w:r w:rsidR="009B49E1" w:rsidRPr="004B723C">
              <w:rPr>
                <w:rFonts w:cs="Times New Roman"/>
                <w:color w:val="000000"/>
                <w:sz w:val="18"/>
                <w:szCs w:val="18"/>
              </w:rPr>
              <w:t>.</w:t>
            </w:r>
            <w:r w:rsidRPr="004B723C">
              <w:rPr>
                <w:rFonts w:cs="Times New Roman"/>
                <w:color w:val="000000"/>
                <w:sz w:val="18"/>
                <w:szCs w:val="18"/>
              </w:rPr>
              <w:t>8%)</w:t>
            </w:r>
          </w:p>
        </w:tc>
      </w:tr>
      <w:tr w:rsidR="00820648" w:rsidRPr="004B723C" w14:paraId="2AF28565" w14:textId="77777777" w:rsidTr="007F3A2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508B2946" w14:textId="1A76E3DD" w:rsidR="00B872A1" w:rsidRPr="00521D6F" w:rsidRDefault="00B872A1" w:rsidP="00C72C10">
            <w:pPr>
              <w:spacing w:line="276" w:lineRule="auto"/>
              <w:rPr>
                <w:rFonts w:eastAsia="Times New Roman" w:cs="Times New Roman"/>
                <w:b/>
                <w:bCs/>
                <w:color w:val="000000"/>
                <w:sz w:val="18"/>
                <w:szCs w:val="18"/>
                <w:lang w:val="fr-BE" w:eastAsia="en-GB"/>
              </w:rPr>
            </w:pPr>
            <w:r w:rsidRPr="00521D6F">
              <w:rPr>
                <w:rFonts w:cs="Times New Roman"/>
                <w:color w:val="000000"/>
                <w:sz w:val="18"/>
                <w:szCs w:val="18"/>
                <w:lang w:val="fr-BE"/>
              </w:rPr>
              <w:t>Current de novo DSA positive</w:t>
            </w:r>
          </w:p>
        </w:tc>
        <w:tc>
          <w:tcPr>
            <w:tcW w:w="0" w:type="auto"/>
            <w:noWrap/>
          </w:tcPr>
          <w:p w14:paraId="05BB3A2D" w14:textId="65150046"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42/547 (7</w:t>
            </w:r>
            <w:r w:rsidR="009B49E1" w:rsidRPr="004B723C">
              <w:rPr>
                <w:rFonts w:cs="Times New Roman"/>
                <w:color w:val="000000"/>
                <w:sz w:val="18"/>
                <w:szCs w:val="18"/>
              </w:rPr>
              <w:t>.</w:t>
            </w:r>
            <w:r w:rsidRPr="004B723C">
              <w:rPr>
                <w:rFonts w:cs="Times New Roman"/>
                <w:color w:val="000000"/>
                <w:sz w:val="18"/>
                <w:szCs w:val="18"/>
              </w:rPr>
              <w:t>7%)</w:t>
            </w:r>
          </w:p>
        </w:tc>
        <w:tc>
          <w:tcPr>
            <w:tcW w:w="0" w:type="auto"/>
            <w:noWrap/>
          </w:tcPr>
          <w:p w14:paraId="7AB3785B" w14:textId="71B87889"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4/66 (6</w:t>
            </w:r>
            <w:r w:rsidR="009B49E1" w:rsidRPr="004B723C">
              <w:rPr>
                <w:rFonts w:cs="Times New Roman"/>
                <w:color w:val="000000"/>
                <w:sz w:val="18"/>
                <w:szCs w:val="18"/>
              </w:rPr>
              <w:t>.</w:t>
            </w:r>
            <w:r w:rsidRPr="004B723C">
              <w:rPr>
                <w:rFonts w:cs="Times New Roman"/>
                <w:color w:val="000000"/>
                <w:sz w:val="18"/>
                <w:szCs w:val="18"/>
              </w:rPr>
              <w:t>1%)</w:t>
            </w:r>
          </w:p>
        </w:tc>
        <w:tc>
          <w:tcPr>
            <w:tcW w:w="0" w:type="auto"/>
            <w:noWrap/>
          </w:tcPr>
          <w:p w14:paraId="521D3B1C" w14:textId="4CF50A51"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22/308 (7</w:t>
            </w:r>
            <w:r w:rsidR="009B49E1" w:rsidRPr="004B723C">
              <w:rPr>
                <w:rFonts w:cs="Times New Roman"/>
                <w:color w:val="000000"/>
                <w:sz w:val="18"/>
                <w:szCs w:val="18"/>
              </w:rPr>
              <w:t>.</w:t>
            </w:r>
            <w:r w:rsidRPr="004B723C">
              <w:rPr>
                <w:rFonts w:cs="Times New Roman"/>
                <w:color w:val="000000"/>
                <w:sz w:val="18"/>
                <w:szCs w:val="18"/>
              </w:rPr>
              <w:t>1%)</w:t>
            </w:r>
          </w:p>
        </w:tc>
        <w:tc>
          <w:tcPr>
            <w:tcW w:w="0" w:type="auto"/>
            <w:noWrap/>
          </w:tcPr>
          <w:p w14:paraId="46718B58" w14:textId="7D833F63"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0/67 (0%)</w:t>
            </w:r>
          </w:p>
        </w:tc>
        <w:tc>
          <w:tcPr>
            <w:tcW w:w="0" w:type="auto"/>
            <w:noWrap/>
          </w:tcPr>
          <w:p w14:paraId="0CFB9792" w14:textId="6F99AAA7"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16/106 (15</w:t>
            </w:r>
            <w:r w:rsidR="009B49E1" w:rsidRPr="004B723C">
              <w:rPr>
                <w:rFonts w:cs="Times New Roman"/>
                <w:color w:val="000000"/>
                <w:sz w:val="18"/>
                <w:szCs w:val="18"/>
              </w:rPr>
              <w:t>.</w:t>
            </w:r>
            <w:r w:rsidRPr="004B723C">
              <w:rPr>
                <w:rFonts w:cs="Times New Roman"/>
                <w:color w:val="000000"/>
                <w:sz w:val="18"/>
                <w:szCs w:val="18"/>
              </w:rPr>
              <w:t>1%)</w:t>
            </w:r>
          </w:p>
        </w:tc>
      </w:tr>
      <w:tr w:rsidR="00820648" w:rsidRPr="004B723C" w14:paraId="2264B6AC" w14:textId="77777777" w:rsidTr="007F3A2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34F446DD" w14:textId="07D9DFED" w:rsidR="00B872A1" w:rsidRPr="004B723C" w:rsidRDefault="00B872A1" w:rsidP="00C72C10">
            <w:pPr>
              <w:spacing w:line="276" w:lineRule="auto"/>
              <w:rPr>
                <w:rFonts w:eastAsia="Times New Roman" w:cs="Times New Roman"/>
                <w:b/>
                <w:bCs/>
                <w:color w:val="000000"/>
                <w:sz w:val="18"/>
                <w:szCs w:val="18"/>
                <w:lang w:eastAsia="en-GB"/>
              </w:rPr>
            </w:pPr>
            <w:r w:rsidRPr="004B723C">
              <w:rPr>
                <w:rFonts w:cs="Times New Roman"/>
                <w:color w:val="000000"/>
                <w:sz w:val="18"/>
                <w:szCs w:val="18"/>
              </w:rPr>
              <w:t>C4d deposition</w:t>
            </w:r>
          </w:p>
        </w:tc>
        <w:tc>
          <w:tcPr>
            <w:tcW w:w="0" w:type="auto"/>
            <w:noWrap/>
          </w:tcPr>
          <w:p w14:paraId="1A4F5797" w14:textId="7534B1B7"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113/547 (20</w:t>
            </w:r>
            <w:r w:rsidR="009B49E1" w:rsidRPr="004B723C">
              <w:rPr>
                <w:rFonts w:cs="Times New Roman"/>
                <w:color w:val="000000"/>
                <w:sz w:val="18"/>
                <w:szCs w:val="18"/>
              </w:rPr>
              <w:t>.</w:t>
            </w:r>
            <w:r w:rsidRPr="004B723C">
              <w:rPr>
                <w:rFonts w:cs="Times New Roman"/>
                <w:color w:val="000000"/>
                <w:sz w:val="18"/>
                <w:szCs w:val="18"/>
              </w:rPr>
              <w:t>7%)</w:t>
            </w:r>
          </w:p>
        </w:tc>
        <w:tc>
          <w:tcPr>
            <w:tcW w:w="0" w:type="auto"/>
            <w:noWrap/>
          </w:tcPr>
          <w:p w14:paraId="70E00462" w14:textId="0192ACCD"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14/66 (21</w:t>
            </w:r>
            <w:r w:rsidR="009B49E1" w:rsidRPr="004B723C">
              <w:rPr>
                <w:rFonts w:cs="Times New Roman"/>
                <w:color w:val="000000"/>
                <w:sz w:val="18"/>
                <w:szCs w:val="18"/>
              </w:rPr>
              <w:t>.</w:t>
            </w:r>
            <w:r w:rsidRPr="004B723C">
              <w:rPr>
                <w:rFonts w:cs="Times New Roman"/>
                <w:color w:val="000000"/>
                <w:sz w:val="18"/>
                <w:szCs w:val="18"/>
              </w:rPr>
              <w:t>2%)</w:t>
            </w:r>
          </w:p>
        </w:tc>
        <w:tc>
          <w:tcPr>
            <w:tcW w:w="0" w:type="auto"/>
            <w:noWrap/>
          </w:tcPr>
          <w:p w14:paraId="5D151D35" w14:textId="72FBD690"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55/308 (17</w:t>
            </w:r>
            <w:r w:rsidR="009B49E1" w:rsidRPr="004B723C">
              <w:rPr>
                <w:rFonts w:cs="Times New Roman"/>
                <w:color w:val="000000"/>
                <w:sz w:val="18"/>
                <w:szCs w:val="18"/>
              </w:rPr>
              <w:t>.</w:t>
            </w:r>
            <w:r w:rsidRPr="004B723C">
              <w:rPr>
                <w:rFonts w:cs="Times New Roman"/>
                <w:color w:val="000000"/>
                <w:sz w:val="18"/>
                <w:szCs w:val="18"/>
              </w:rPr>
              <w:t>9%)</w:t>
            </w:r>
          </w:p>
        </w:tc>
        <w:tc>
          <w:tcPr>
            <w:tcW w:w="0" w:type="auto"/>
            <w:noWrap/>
          </w:tcPr>
          <w:p w14:paraId="0E0E72F7" w14:textId="426344F4"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13/67 (19</w:t>
            </w:r>
            <w:r w:rsidR="009B49E1" w:rsidRPr="004B723C">
              <w:rPr>
                <w:rFonts w:cs="Times New Roman"/>
                <w:color w:val="000000"/>
                <w:sz w:val="18"/>
                <w:szCs w:val="18"/>
              </w:rPr>
              <w:t>.</w:t>
            </w:r>
            <w:r w:rsidRPr="004B723C">
              <w:rPr>
                <w:rFonts w:cs="Times New Roman"/>
                <w:color w:val="000000"/>
                <w:sz w:val="18"/>
                <w:szCs w:val="18"/>
              </w:rPr>
              <w:t>4%)</w:t>
            </w:r>
          </w:p>
        </w:tc>
        <w:tc>
          <w:tcPr>
            <w:tcW w:w="0" w:type="auto"/>
            <w:noWrap/>
          </w:tcPr>
          <w:p w14:paraId="5B5D391B" w14:textId="75592692"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31/106 (29</w:t>
            </w:r>
            <w:r w:rsidR="009B49E1" w:rsidRPr="004B723C">
              <w:rPr>
                <w:rFonts w:cs="Times New Roman"/>
                <w:color w:val="000000"/>
                <w:sz w:val="18"/>
                <w:szCs w:val="18"/>
              </w:rPr>
              <w:t>.</w:t>
            </w:r>
            <w:r w:rsidRPr="004B723C">
              <w:rPr>
                <w:rFonts w:cs="Times New Roman"/>
                <w:color w:val="000000"/>
                <w:sz w:val="18"/>
                <w:szCs w:val="18"/>
              </w:rPr>
              <w:t>2%)</w:t>
            </w:r>
          </w:p>
        </w:tc>
      </w:tr>
      <w:tr w:rsidR="00820648" w:rsidRPr="004B723C" w14:paraId="49D0B843" w14:textId="77777777" w:rsidTr="007F3A2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0CC0B39D" w14:textId="69E5C878" w:rsidR="00B872A1" w:rsidRPr="004B723C" w:rsidRDefault="00B872A1" w:rsidP="00C72C10">
            <w:pPr>
              <w:spacing w:line="276" w:lineRule="auto"/>
              <w:rPr>
                <w:rFonts w:eastAsia="Times New Roman" w:cs="Times New Roman"/>
                <w:b/>
                <w:bCs/>
                <w:color w:val="000000"/>
                <w:sz w:val="18"/>
                <w:szCs w:val="18"/>
                <w:lang w:eastAsia="en-GB"/>
              </w:rPr>
            </w:pPr>
            <w:r w:rsidRPr="004B723C">
              <w:rPr>
                <w:rFonts w:cs="Times New Roman"/>
                <w:color w:val="000000"/>
                <w:sz w:val="18"/>
                <w:szCs w:val="18"/>
              </w:rPr>
              <w:t>C4d deposition, IHC</w:t>
            </w:r>
          </w:p>
        </w:tc>
        <w:tc>
          <w:tcPr>
            <w:tcW w:w="0" w:type="auto"/>
            <w:noWrap/>
          </w:tcPr>
          <w:p w14:paraId="57B73A51" w14:textId="78299863"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100/547 (18</w:t>
            </w:r>
            <w:r w:rsidR="009B49E1" w:rsidRPr="004B723C">
              <w:rPr>
                <w:rFonts w:cs="Times New Roman"/>
                <w:color w:val="000000"/>
                <w:sz w:val="18"/>
                <w:szCs w:val="18"/>
              </w:rPr>
              <w:t>.</w:t>
            </w:r>
            <w:r w:rsidRPr="004B723C">
              <w:rPr>
                <w:rFonts w:cs="Times New Roman"/>
                <w:color w:val="000000"/>
                <w:sz w:val="18"/>
                <w:szCs w:val="18"/>
              </w:rPr>
              <w:t>3%)</w:t>
            </w:r>
          </w:p>
        </w:tc>
        <w:tc>
          <w:tcPr>
            <w:tcW w:w="0" w:type="auto"/>
            <w:noWrap/>
          </w:tcPr>
          <w:p w14:paraId="2B451CAE" w14:textId="6EC7F6C9"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14/66 (21</w:t>
            </w:r>
            <w:r w:rsidR="009B49E1" w:rsidRPr="004B723C">
              <w:rPr>
                <w:rFonts w:cs="Times New Roman"/>
                <w:color w:val="000000"/>
                <w:sz w:val="18"/>
                <w:szCs w:val="18"/>
              </w:rPr>
              <w:t>.</w:t>
            </w:r>
            <w:r w:rsidRPr="004B723C">
              <w:rPr>
                <w:rFonts w:cs="Times New Roman"/>
                <w:color w:val="000000"/>
                <w:sz w:val="18"/>
                <w:szCs w:val="18"/>
              </w:rPr>
              <w:t>2%)</w:t>
            </w:r>
          </w:p>
        </w:tc>
        <w:tc>
          <w:tcPr>
            <w:tcW w:w="0" w:type="auto"/>
            <w:noWrap/>
          </w:tcPr>
          <w:p w14:paraId="1569FE3B" w14:textId="085381B9"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55/308 (17</w:t>
            </w:r>
            <w:r w:rsidR="009B49E1" w:rsidRPr="004B723C">
              <w:rPr>
                <w:rFonts w:cs="Times New Roman"/>
                <w:color w:val="000000"/>
                <w:sz w:val="18"/>
                <w:szCs w:val="18"/>
              </w:rPr>
              <w:t>.</w:t>
            </w:r>
            <w:r w:rsidRPr="004B723C">
              <w:rPr>
                <w:rFonts w:cs="Times New Roman"/>
                <w:color w:val="000000"/>
                <w:sz w:val="18"/>
                <w:szCs w:val="18"/>
              </w:rPr>
              <w:t>9%)</w:t>
            </w:r>
          </w:p>
        </w:tc>
        <w:tc>
          <w:tcPr>
            <w:tcW w:w="0" w:type="auto"/>
            <w:noWrap/>
          </w:tcPr>
          <w:p w14:paraId="1E4AC7B2" w14:textId="35A599D9"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0/67 (0%)</w:t>
            </w:r>
          </w:p>
        </w:tc>
        <w:tc>
          <w:tcPr>
            <w:tcW w:w="0" w:type="auto"/>
            <w:noWrap/>
          </w:tcPr>
          <w:p w14:paraId="35DBBC39" w14:textId="06A43DB3"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31/106 (29</w:t>
            </w:r>
            <w:r w:rsidR="009B49E1" w:rsidRPr="004B723C">
              <w:rPr>
                <w:rFonts w:cs="Times New Roman"/>
                <w:color w:val="000000"/>
                <w:sz w:val="18"/>
                <w:szCs w:val="18"/>
              </w:rPr>
              <w:t>.</w:t>
            </w:r>
            <w:r w:rsidRPr="004B723C">
              <w:rPr>
                <w:rFonts w:cs="Times New Roman"/>
                <w:color w:val="000000"/>
                <w:sz w:val="18"/>
                <w:szCs w:val="18"/>
              </w:rPr>
              <w:t>2%)</w:t>
            </w:r>
          </w:p>
        </w:tc>
      </w:tr>
      <w:tr w:rsidR="00820648" w:rsidRPr="004B723C" w14:paraId="33DB4FD7" w14:textId="77777777" w:rsidTr="007F3A2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6739CF35" w14:textId="3D22CF95" w:rsidR="00B872A1" w:rsidRPr="004B723C" w:rsidRDefault="00B872A1" w:rsidP="00C72C10">
            <w:pPr>
              <w:spacing w:line="276" w:lineRule="auto"/>
              <w:rPr>
                <w:rFonts w:eastAsia="Times New Roman" w:cs="Times New Roman"/>
                <w:b/>
                <w:bCs/>
                <w:color w:val="000000"/>
                <w:sz w:val="18"/>
                <w:szCs w:val="18"/>
                <w:lang w:eastAsia="en-GB"/>
              </w:rPr>
            </w:pPr>
            <w:r w:rsidRPr="004B723C">
              <w:rPr>
                <w:rFonts w:cs="Times New Roman"/>
                <w:color w:val="000000"/>
                <w:sz w:val="18"/>
                <w:szCs w:val="18"/>
              </w:rPr>
              <w:t>C4d deposition, IF</w:t>
            </w:r>
          </w:p>
        </w:tc>
        <w:tc>
          <w:tcPr>
            <w:tcW w:w="0" w:type="auto"/>
            <w:noWrap/>
          </w:tcPr>
          <w:p w14:paraId="2FCF2189" w14:textId="65DFA4F0"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13/547 (2</w:t>
            </w:r>
            <w:r w:rsidR="009B49E1" w:rsidRPr="004B723C">
              <w:rPr>
                <w:rFonts w:cs="Times New Roman"/>
                <w:color w:val="000000"/>
                <w:sz w:val="18"/>
                <w:szCs w:val="18"/>
              </w:rPr>
              <w:t>.</w:t>
            </w:r>
            <w:r w:rsidRPr="004B723C">
              <w:rPr>
                <w:rFonts w:cs="Times New Roman"/>
                <w:color w:val="000000"/>
                <w:sz w:val="18"/>
                <w:szCs w:val="18"/>
              </w:rPr>
              <w:t>4%)</w:t>
            </w:r>
          </w:p>
        </w:tc>
        <w:tc>
          <w:tcPr>
            <w:tcW w:w="0" w:type="auto"/>
            <w:noWrap/>
          </w:tcPr>
          <w:p w14:paraId="38465338" w14:textId="51AF9435"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0/66 (0%)</w:t>
            </w:r>
          </w:p>
        </w:tc>
        <w:tc>
          <w:tcPr>
            <w:tcW w:w="0" w:type="auto"/>
            <w:noWrap/>
          </w:tcPr>
          <w:p w14:paraId="7CF36BFF" w14:textId="57D59A55"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0/308 (0%)</w:t>
            </w:r>
          </w:p>
        </w:tc>
        <w:tc>
          <w:tcPr>
            <w:tcW w:w="0" w:type="auto"/>
            <w:noWrap/>
          </w:tcPr>
          <w:p w14:paraId="218321FB" w14:textId="4FC76BC5"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13/67 (19</w:t>
            </w:r>
            <w:r w:rsidR="009B49E1" w:rsidRPr="004B723C">
              <w:rPr>
                <w:rFonts w:cs="Times New Roman"/>
                <w:color w:val="000000"/>
                <w:sz w:val="18"/>
                <w:szCs w:val="18"/>
              </w:rPr>
              <w:t>.</w:t>
            </w:r>
            <w:r w:rsidRPr="004B723C">
              <w:rPr>
                <w:rFonts w:cs="Times New Roman"/>
                <w:color w:val="000000"/>
                <w:sz w:val="18"/>
                <w:szCs w:val="18"/>
              </w:rPr>
              <w:t>4%)</w:t>
            </w:r>
          </w:p>
        </w:tc>
        <w:tc>
          <w:tcPr>
            <w:tcW w:w="0" w:type="auto"/>
            <w:noWrap/>
          </w:tcPr>
          <w:p w14:paraId="3EBB55E7" w14:textId="4F50AA51"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0/106 (0%)</w:t>
            </w:r>
          </w:p>
        </w:tc>
      </w:tr>
      <w:tr w:rsidR="00820648" w:rsidRPr="004B723C" w14:paraId="43D773FD" w14:textId="77777777" w:rsidTr="007F3A2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7F92CB89" w14:textId="64A2C57B" w:rsidR="00B872A1" w:rsidRPr="004B723C" w:rsidRDefault="00B872A1" w:rsidP="00C72C10">
            <w:pPr>
              <w:spacing w:line="276" w:lineRule="auto"/>
              <w:rPr>
                <w:rFonts w:eastAsia="Times New Roman" w:cs="Times New Roman"/>
                <w:b/>
                <w:bCs/>
                <w:color w:val="000000"/>
                <w:sz w:val="18"/>
                <w:szCs w:val="18"/>
                <w:lang w:eastAsia="en-GB"/>
              </w:rPr>
            </w:pPr>
            <w:r w:rsidRPr="004B723C">
              <w:rPr>
                <w:rFonts w:cs="Times New Roman"/>
                <w:color w:val="000000"/>
                <w:sz w:val="18"/>
                <w:szCs w:val="18"/>
              </w:rPr>
              <w:t>No C4d deposition</w:t>
            </w:r>
          </w:p>
        </w:tc>
        <w:tc>
          <w:tcPr>
            <w:tcW w:w="0" w:type="auto"/>
            <w:noWrap/>
          </w:tcPr>
          <w:p w14:paraId="3D973E35" w14:textId="307E4394"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434/547 (79</w:t>
            </w:r>
            <w:r w:rsidR="009B49E1" w:rsidRPr="004B723C">
              <w:rPr>
                <w:rFonts w:cs="Times New Roman"/>
                <w:color w:val="000000"/>
                <w:sz w:val="18"/>
                <w:szCs w:val="18"/>
              </w:rPr>
              <w:t>.</w:t>
            </w:r>
            <w:r w:rsidRPr="004B723C">
              <w:rPr>
                <w:rFonts w:cs="Times New Roman"/>
                <w:color w:val="000000"/>
                <w:sz w:val="18"/>
                <w:szCs w:val="18"/>
              </w:rPr>
              <w:t>3%)</w:t>
            </w:r>
          </w:p>
        </w:tc>
        <w:tc>
          <w:tcPr>
            <w:tcW w:w="0" w:type="auto"/>
            <w:noWrap/>
          </w:tcPr>
          <w:p w14:paraId="6E3A3F68" w14:textId="76F34487"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52/66 (78</w:t>
            </w:r>
            <w:r w:rsidR="009B49E1" w:rsidRPr="004B723C">
              <w:rPr>
                <w:rFonts w:cs="Times New Roman"/>
                <w:color w:val="000000"/>
                <w:sz w:val="18"/>
                <w:szCs w:val="18"/>
              </w:rPr>
              <w:t>.</w:t>
            </w:r>
            <w:r w:rsidRPr="004B723C">
              <w:rPr>
                <w:rFonts w:cs="Times New Roman"/>
                <w:color w:val="000000"/>
                <w:sz w:val="18"/>
                <w:szCs w:val="18"/>
              </w:rPr>
              <w:t>8%)</w:t>
            </w:r>
          </w:p>
        </w:tc>
        <w:tc>
          <w:tcPr>
            <w:tcW w:w="0" w:type="auto"/>
            <w:noWrap/>
          </w:tcPr>
          <w:p w14:paraId="4B9F75E9" w14:textId="6D98DEFC"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253/308 (82</w:t>
            </w:r>
            <w:r w:rsidR="009B49E1" w:rsidRPr="004B723C">
              <w:rPr>
                <w:rFonts w:cs="Times New Roman"/>
                <w:color w:val="000000"/>
                <w:sz w:val="18"/>
                <w:szCs w:val="18"/>
              </w:rPr>
              <w:t>.</w:t>
            </w:r>
            <w:r w:rsidRPr="004B723C">
              <w:rPr>
                <w:rFonts w:cs="Times New Roman"/>
                <w:color w:val="000000"/>
                <w:sz w:val="18"/>
                <w:szCs w:val="18"/>
              </w:rPr>
              <w:t>1%)</w:t>
            </w:r>
          </w:p>
        </w:tc>
        <w:tc>
          <w:tcPr>
            <w:tcW w:w="0" w:type="auto"/>
            <w:noWrap/>
          </w:tcPr>
          <w:p w14:paraId="3F7B52AC" w14:textId="1CAF51C6"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54/67 (80</w:t>
            </w:r>
            <w:r w:rsidR="009B49E1" w:rsidRPr="004B723C">
              <w:rPr>
                <w:rFonts w:cs="Times New Roman"/>
                <w:color w:val="000000"/>
                <w:sz w:val="18"/>
                <w:szCs w:val="18"/>
              </w:rPr>
              <w:t>.</w:t>
            </w:r>
            <w:r w:rsidRPr="004B723C">
              <w:rPr>
                <w:rFonts w:cs="Times New Roman"/>
                <w:color w:val="000000"/>
                <w:sz w:val="18"/>
                <w:szCs w:val="18"/>
              </w:rPr>
              <w:t>6%)</w:t>
            </w:r>
          </w:p>
        </w:tc>
        <w:tc>
          <w:tcPr>
            <w:tcW w:w="0" w:type="auto"/>
            <w:noWrap/>
          </w:tcPr>
          <w:p w14:paraId="791F60F4" w14:textId="0CE0E5E2"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75/106 (70</w:t>
            </w:r>
            <w:r w:rsidR="009B49E1" w:rsidRPr="004B723C">
              <w:rPr>
                <w:rFonts w:cs="Times New Roman"/>
                <w:color w:val="000000"/>
                <w:sz w:val="18"/>
                <w:szCs w:val="18"/>
              </w:rPr>
              <w:t>.</w:t>
            </w:r>
            <w:r w:rsidRPr="004B723C">
              <w:rPr>
                <w:rFonts w:cs="Times New Roman"/>
                <w:color w:val="000000"/>
                <w:sz w:val="18"/>
                <w:szCs w:val="18"/>
              </w:rPr>
              <w:t>8%)</w:t>
            </w:r>
          </w:p>
        </w:tc>
      </w:tr>
      <w:tr w:rsidR="00820648" w:rsidRPr="004B723C" w14:paraId="3616360D" w14:textId="77777777" w:rsidTr="007F3A2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3B899AC9" w14:textId="312D42B5" w:rsidR="00B872A1" w:rsidRPr="004B723C" w:rsidRDefault="00B872A1" w:rsidP="00C72C10">
            <w:pPr>
              <w:spacing w:line="276" w:lineRule="auto"/>
              <w:rPr>
                <w:rFonts w:eastAsia="Times New Roman" w:cs="Times New Roman"/>
                <w:b/>
                <w:bCs/>
                <w:color w:val="000000"/>
                <w:sz w:val="18"/>
                <w:szCs w:val="18"/>
                <w:lang w:eastAsia="en-GB"/>
              </w:rPr>
            </w:pPr>
            <w:r w:rsidRPr="004B723C">
              <w:rPr>
                <w:rFonts w:cs="Times New Roman"/>
                <w:color w:val="000000"/>
                <w:sz w:val="18"/>
                <w:szCs w:val="18"/>
              </w:rPr>
              <w:t>DSA−/C4d−/MVI</w:t>
            </w:r>
          </w:p>
        </w:tc>
        <w:tc>
          <w:tcPr>
            <w:tcW w:w="0" w:type="auto"/>
            <w:noWrap/>
          </w:tcPr>
          <w:p w14:paraId="2903DDBF" w14:textId="2ADFD77C"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306/547 (55</w:t>
            </w:r>
            <w:r w:rsidR="009B49E1" w:rsidRPr="004B723C">
              <w:rPr>
                <w:rFonts w:cs="Times New Roman"/>
                <w:color w:val="000000"/>
                <w:sz w:val="18"/>
                <w:szCs w:val="18"/>
              </w:rPr>
              <w:t>.</w:t>
            </w:r>
            <w:r w:rsidRPr="004B723C">
              <w:rPr>
                <w:rFonts w:cs="Times New Roman"/>
                <w:color w:val="000000"/>
                <w:sz w:val="18"/>
                <w:szCs w:val="18"/>
              </w:rPr>
              <w:t>9%)</w:t>
            </w:r>
          </w:p>
        </w:tc>
        <w:tc>
          <w:tcPr>
            <w:tcW w:w="0" w:type="auto"/>
            <w:noWrap/>
          </w:tcPr>
          <w:p w14:paraId="145EC23B" w14:textId="685A755A"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40/66 (60</w:t>
            </w:r>
            <w:r w:rsidR="009B49E1" w:rsidRPr="004B723C">
              <w:rPr>
                <w:rFonts w:cs="Times New Roman"/>
                <w:color w:val="000000"/>
                <w:sz w:val="18"/>
                <w:szCs w:val="18"/>
              </w:rPr>
              <w:t>.</w:t>
            </w:r>
            <w:r w:rsidRPr="004B723C">
              <w:rPr>
                <w:rFonts w:cs="Times New Roman"/>
                <w:color w:val="000000"/>
                <w:sz w:val="18"/>
                <w:szCs w:val="18"/>
              </w:rPr>
              <w:t>6%)</w:t>
            </w:r>
          </w:p>
        </w:tc>
        <w:tc>
          <w:tcPr>
            <w:tcW w:w="0" w:type="auto"/>
            <w:noWrap/>
          </w:tcPr>
          <w:p w14:paraId="124DFCBF" w14:textId="7154FE92"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187/308 (60</w:t>
            </w:r>
            <w:r w:rsidR="009B49E1" w:rsidRPr="004B723C">
              <w:rPr>
                <w:rFonts w:cs="Times New Roman"/>
                <w:color w:val="000000"/>
                <w:sz w:val="18"/>
                <w:szCs w:val="18"/>
              </w:rPr>
              <w:t>.</w:t>
            </w:r>
            <w:r w:rsidRPr="004B723C">
              <w:rPr>
                <w:rFonts w:cs="Times New Roman"/>
                <w:color w:val="000000"/>
                <w:sz w:val="18"/>
                <w:szCs w:val="18"/>
              </w:rPr>
              <w:t>7%)</w:t>
            </w:r>
          </w:p>
        </w:tc>
        <w:tc>
          <w:tcPr>
            <w:tcW w:w="0" w:type="auto"/>
            <w:noWrap/>
          </w:tcPr>
          <w:p w14:paraId="54E5DE69" w14:textId="64B71110"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40/67 (59</w:t>
            </w:r>
            <w:r w:rsidR="009B49E1" w:rsidRPr="004B723C">
              <w:rPr>
                <w:rFonts w:cs="Times New Roman"/>
                <w:color w:val="000000"/>
                <w:sz w:val="18"/>
                <w:szCs w:val="18"/>
              </w:rPr>
              <w:t>.</w:t>
            </w:r>
            <w:r w:rsidRPr="004B723C">
              <w:rPr>
                <w:rFonts w:cs="Times New Roman"/>
                <w:color w:val="000000"/>
                <w:sz w:val="18"/>
                <w:szCs w:val="18"/>
              </w:rPr>
              <w:t>7%)</w:t>
            </w:r>
          </w:p>
        </w:tc>
        <w:tc>
          <w:tcPr>
            <w:tcW w:w="0" w:type="auto"/>
            <w:noWrap/>
          </w:tcPr>
          <w:p w14:paraId="119256BC" w14:textId="5E166D8D"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39/106 (36</w:t>
            </w:r>
            <w:r w:rsidR="009B49E1" w:rsidRPr="004B723C">
              <w:rPr>
                <w:rFonts w:cs="Times New Roman"/>
                <w:color w:val="000000"/>
                <w:sz w:val="18"/>
                <w:szCs w:val="18"/>
              </w:rPr>
              <w:t>.</w:t>
            </w:r>
            <w:r w:rsidRPr="004B723C">
              <w:rPr>
                <w:rFonts w:cs="Times New Roman"/>
                <w:color w:val="000000"/>
                <w:sz w:val="18"/>
                <w:szCs w:val="18"/>
              </w:rPr>
              <w:t>8%)</w:t>
            </w:r>
          </w:p>
        </w:tc>
      </w:tr>
      <w:tr w:rsidR="00820648" w:rsidRPr="004B723C" w14:paraId="165F56FD" w14:textId="77777777" w:rsidTr="007F3A2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38239333" w14:textId="1D7592CA" w:rsidR="00B872A1" w:rsidRPr="004B723C" w:rsidRDefault="008E52B7" w:rsidP="00C72C10">
            <w:pPr>
              <w:spacing w:line="276" w:lineRule="auto"/>
              <w:rPr>
                <w:rFonts w:eastAsia="Times New Roman" w:cs="Times New Roman"/>
                <w:b/>
                <w:bCs/>
                <w:color w:val="000000"/>
                <w:sz w:val="18"/>
                <w:szCs w:val="18"/>
                <w:lang w:eastAsia="en-GB"/>
              </w:rPr>
            </w:pPr>
            <w:r w:rsidRPr="004B723C">
              <w:rPr>
                <w:rFonts w:cs="Times New Roman"/>
                <w:color w:val="000000"/>
                <w:sz w:val="18"/>
                <w:szCs w:val="18"/>
              </w:rPr>
              <w:t>AMR</w:t>
            </w:r>
          </w:p>
        </w:tc>
        <w:tc>
          <w:tcPr>
            <w:tcW w:w="0" w:type="auto"/>
            <w:noWrap/>
          </w:tcPr>
          <w:p w14:paraId="47D2CEE3" w14:textId="428D1DAF"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241/547 (44</w:t>
            </w:r>
            <w:r w:rsidR="009B49E1" w:rsidRPr="004B723C">
              <w:rPr>
                <w:rFonts w:cs="Times New Roman"/>
                <w:color w:val="000000"/>
                <w:sz w:val="18"/>
                <w:szCs w:val="18"/>
              </w:rPr>
              <w:t>.</w:t>
            </w:r>
            <w:r w:rsidRPr="004B723C">
              <w:rPr>
                <w:rFonts w:cs="Times New Roman"/>
                <w:color w:val="000000"/>
                <w:sz w:val="18"/>
                <w:szCs w:val="18"/>
              </w:rPr>
              <w:t>1%)</w:t>
            </w:r>
          </w:p>
        </w:tc>
        <w:tc>
          <w:tcPr>
            <w:tcW w:w="0" w:type="auto"/>
            <w:noWrap/>
          </w:tcPr>
          <w:p w14:paraId="7D57BF9D" w14:textId="3AB8954C"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26/66 (39</w:t>
            </w:r>
            <w:r w:rsidR="009B49E1" w:rsidRPr="004B723C">
              <w:rPr>
                <w:rFonts w:cs="Times New Roman"/>
                <w:color w:val="000000"/>
                <w:sz w:val="18"/>
                <w:szCs w:val="18"/>
              </w:rPr>
              <w:t>.</w:t>
            </w:r>
            <w:r w:rsidRPr="004B723C">
              <w:rPr>
                <w:rFonts w:cs="Times New Roman"/>
                <w:color w:val="000000"/>
                <w:sz w:val="18"/>
                <w:szCs w:val="18"/>
              </w:rPr>
              <w:t>4%)</w:t>
            </w:r>
          </w:p>
        </w:tc>
        <w:tc>
          <w:tcPr>
            <w:tcW w:w="0" w:type="auto"/>
            <w:noWrap/>
          </w:tcPr>
          <w:p w14:paraId="2A5EF27B" w14:textId="56444C77"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121/308 (39</w:t>
            </w:r>
            <w:r w:rsidR="009B49E1" w:rsidRPr="004B723C">
              <w:rPr>
                <w:rFonts w:cs="Times New Roman"/>
                <w:color w:val="000000"/>
                <w:sz w:val="18"/>
                <w:szCs w:val="18"/>
              </w:rPr>
              <w:t>.</w:t>
            </w:r>
            <w:r w:rsidRPr="004B723C">
              <w:rPr>
                <w:rFonts w:cs="Times New Roman"/>
                <w:color w:val="000000"/>
                <w:sz w:val="18"/>
                <w:szCs w:val="18"/>
              </w:rPr>
              <w:t>3%)</w:t>
            </w:r>
          </w:p>
        </w:tc>
        <w:tc>
          <w:tcPr>
            <w:tcW w:w="0" w:type="auto"/>
            <w:noWrap/>
          </w:tcPr>
          <w:p w14:paraId="178929AF" w14:textId="1536527E"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27/67 (40</w:t>
            </w:r>
            <w:r w:rsidR="009B49E1" w:rsidRPr="004B723C">
              <w:rPr>
                <w:rFonts w:cs="Times New Roman"/>
                <w:color w:val="000000"/>
                <w:sz w:val="18"/>
                <w:szCs w:val="18"/>
              </w:rPr>
              <w:t>.</w:t>
            </w:r>
            <w:r w:rsidRPr="004B723C">
              <w:rPr>
                <w:rFonts w:cs="Times New Roman"/>
                <w:color w:val="000000"/>
                <w:sz w:val="18"/>
                <w:szCs w:val="18"/>
              </w:rPr>
              <w:t>3%)</w:t>
            </w:r>
          </w:p>
        </w:tc>
        <w:tc>
          <w:tcPr>
            <w:tcW w:w="0" w:type="auto"/>
            <w:noWrap/>
          </w:tcPr>
          <w:p w14:paraId="0410DF9E" w14:textId="60075668"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67/106 (63</w:t>
            </w:r>
            <w:r w:rsidR="009B49E1" w:rsidRPr="004B723C">
              <w:rPr>
                <w:rFonts w:cs="Times New Roman"/>
                <w:color w:val="000000"/>
                <w:sz w:val="18"/>
                <w:szCs w:val="18"/>
              </w:rPr>
              <w:t>.</w:t>
            </w:r>
            <w:r w:rsidRPr="004B723C">
              <w:rPr>
                <w:rFonts w:cs="Times New Roman"/>
                <w:color w:val="000000"/>
                <w:sz w:val="18"/>
                <w:szCs w:val="18"/>
              </w:rPr>
              <w:t>2%)</w:t>
            </w:r>
          </w:p>
        </w:tc>
      </w:tr>
      <w:tr w:rsidR="00820648" w:rsidRPr="004B723C" w14:paraId="010D5003" w14:textId="77777777" w:rsidTr="007F3A2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6298F04A" w14:textId="3DCCE645" w:rsidR="00B872A1" w:rsidRPr="004B723C" w:rsidRDefault="00572867" w:rsidP="00C72C10">
            <w:pPr>
              <w:spacing w:line="276" w:lineRule="auto"/>
              <w:rPr>
                <w:rFonts w:eastAsia="Times New Roman" w:cs="Times New Roman"/>
                <w:b/>
                <w:bCs/>
                <w:color w:val="000000"/>
                <w:sz w:val="18"/>
                <w:szCs w:val="18"/>
                <w:lang w:eastAsia="en-GB"/>
              </w:rPr>
            </w:pPr>
            <w:r w:rsidRPr="004B723C">
              <w:rPr>
                <w:rFonts w:cs="Times New Roman"/>
                <w:color w:val="000000"/>
                <w:sz w:val="18"/>
                <w:szCs w:val="18"/>
              </w:rPr>
              <w:t>glomerulitis</w:t>
            </w:r>
            <w:r w:rsidR="00B872A1" w:rsidRPr="004B723C">
              <w:rPr>
                <w:rFonts w:cs="Times New Roman"/>
                <w:color w:val="000000"/>
                <w:sz w:val="18"/>
                <w:szCs w:val="18"/>
              </w:rPr>
              <w:t xml:space="preserve"> score </w:t>
            </w:r>
            <w:r w:rsidR="00582CCD" w:rsidRPr="004B723C">
              <w:rPr>
                <w:rFonts w:cs="Times New Roman"/>
                <w:color w:val="000000"/>
                <w:sz w:val="18"/>
                <w:szCs w:val="18"/>
              </w:rPr>
              <w:t xml:space="preserve">: </w:t>
            </w:r>
            <w:r w:rsidR="00B872A1" w:rsidRPr="004B723C">
              <w:rPr>
                <w:rFonts w:cs="Times New Roman"/>
                <w:color w:val="000000"/>
                <w:sz w:val="18"/>
                <w:szCs w:val="18"/>
              </w:rPr>
              <w:t xml:space="preserve"> 0</w:t>
            </w:r>
          </w:p>
        </w:tc>
        <w:tc>
          <w:tcPr>
            <w:tcW w:w="0" w:type="auto"/>
            <w:noWrap/>
          </w:tcPr>
          <w:p w14:paraId="2047328F" w14:textId="1F6F2929"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115/547 (21%)</w:t>
            </w:r>
          </w:p>
        </w:tc>
        <w:tc>
          <w:tcPr>
            <w:tcW w:w="0" w:type="auto"/>
            <w:noWrap/>
          </w:tcPr>
          <w:p w14:paraId="666B4C19" w14:textId="148ABB2F"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38/66 (57</w:t>
            </w:r>
            <w:r w:rsidR="009B49E1" w:rsidRPr="004B723C">
              <w:rPr>
                <w:rFonts w:cs="Times New Roman"/>
                <w:color w:val="000000"/>
                <w:sz w:val="18"/>
                <w:szCs w:val="18"/>
              </w:rPr>
              <w:t>.</w:t>
            </w:r>
            <w:r w:rsidRPr="004B723C">
              <w:rPr>
                <w:rFonts w:cs="Times New Roman"/>
                <w:color w:val="000000"/>
                <w:sz w:val="18"/>
                <w:szCs w:val="18"/>
              </w:rPr>
              <w:t>6%)</w:t>
            </w:r>
          </w:p>
        </w:tc>
        <w:tc>
          <w:tcPr>
            <w:tcW w:w="0" w:type="auto"/>
            <w:noWrap/>
          </w:tcPr>
          <w:p w14:paraId="3D53451B" w14:textId="293BC707"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58/308 (18</w:t>
            </w:r>
            <w:r w:rsidR="009B49E1" w:rsidRPr="004B723C">
              <w:rPr>
                <w:rFonts w:cs="Times New Roman"/>
                <w:color w:val="000000"/>
                <w:sz w:val="18"/>
                <w:szCs w:val="18"/>
              </w:rPr>
              <w:t>.</w:t>
            </w:r>
            <w:r w:rsidRPr="004B723C">
              <w:rPr>
                <w:rFonts w:cs="Times New Roman"/>
                <w:color w:val="000000"/>
                <w:sz w:val="18"/>
                <w:szCs w:val="18"/>
              </w:rPr>
              <w:t>8%)</w:t>
            </w:r>
          </w:p>
        </w:tc>
        <w:tc>
          <w:tcPr>
            <w:tcW w:w="0" w:type="auto"/>
            <w:noWrap/>
          </w:tcPr>
          <w:p w14:paraId="3E8EF779" w14:textId="5BBD0F1D"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2/67 (3%)</w:t>
            </w:r>
          </w:p>
        </w:tc>
        <w:tc>
          <w:tcPr>
            <w:tcW w:w="0" w:type="auto"/>
            <w:noWrap/>
          </w:tcPr>
          <w:p w14:paraId="0DB8AE8F" w14:textId="7EF9A752"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17/106 (16%)</w:t>
            </w:r>
          </w:p>
        </w:tc>
      </w:tr>
      <w:tr w:rsidR="00820648" w:rsidRPr="004B723C" w14:paraId="2F34ABC9" w14:textId="77777777" w:rsidTr="007F3A2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76C32F12" w14:textId="78AAA919" w:rsidR="00B872A1" w:rsidRPr="004B723C" w:rsidRDefault="00572867" w:rsidP="00C72C10">
            <w:pPr>
              <w:spacing w:line="276" w:lineRule="auto"/>
              <w:rPr>
                <w:rFonts w:eastAsia="Times New Roman" w:cs="Times New Roman"/>
                <w:b/>
                <w:bCs/>
                <w:color w:val="000000"/>
                <w:sz w:val="18"/>
                <w:szCs w:val="18"/>
                <w:lang w:eastAsia="en-GB"/>
              </w:rPr>
            </w:pPr>
            <w:r w:rsidRPr="004B723C">
              <w:rPr>
                <w:rFonts w:cs="Times New Roman"/>
                <w:color w:val="000000"/>
                <w:sz w:val="18"/>
                <w:szCs w:val="18"/>
              </w:rPr>
              <w:t xml:space="preserve">glomerulitis score </w:t>
            </w:r>
            <w:r w:rsidR="00582CCD" w:rsidRPr="004B723C">
              <w:rPr>
                <w:rFonts w:cs="Times New Roman"/>
                <w:color w:val="000000"/>
                <w:sz w:val="18"/>
                <w:szCs w:val="18"/>
              </w:rPr>
              <w:t xml:space="preserve">: </w:t>
            </w:r>
            <w:r w:rsidR="00B872A1" w:rsidRPr="004B723C">
              <w:rPr>
                <w:rFonts w:cs="Times New Roman"/>
                <w:color w:val="000000"/>
                <w:sz w:val="18"/>
                <w:szCs w:val="18"/>
              </w:rPr>
              <w:t xml:space="preserve"> 1</w:t>
            </w:r>
          </w:p>
        </w:tc>
        <w:tc>
          <w:tcPr>
            <w:tcW w:w="0" w:type="auto"/>
            <w:noWrap/>
          </w:tcPr>
          <w:p w14:paraId="38F1B748" w14:textId="754F1FEC"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150/547 (27</w:t>
            </w:r>
            <w:r w:rsidR="009B49E1" w:rsidRPr="004B723C">
              <w:rPr>
                <w:rFonts w:cs="Times New Roman"/>
                <w:color w:val="000000"/>
                <w:sz w:val="18"/>
                <w:szCs w:val="18"/>
              </w:rPr>
              <w:t>.</w:t>
            </w:r>
            <w:r w:rsidRPr="004B723C">
              <w:rPr>
                <w:rFonts w:cs="Times New Roman"/>
                <w:color w:val="000000"/>
                <w:sz w:val="18"/>
                <w:szCs w:val="18"/>
              </w:rPr>
              <w:t>4%)</w:t>
            </w:r>
          </w:p>
        </w:tc>
        <w:tc>
          <w:tcPr>
            <w:tcW w:w="0" w:type="auto"/>
            <w:noWrap/>
          </w:tcPr>
          <w:p w14:paraId="2C112032" w14:textId="77888C67"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16/66 (24</w:t>
            </w:r>
            <w:r w:rsidR="009B49E1" w:rsidRPr="004B723C">
              <w:rPr>
                <w:rFonts w:cs="Times New Roman"/>
                <w:color w:val="000000"/>
                <w:sz w:val="18"/>
                <w:szCs w:val="18"/>
              </w:rPr>
              <w:t>.</w:t>
            </w:r>
            <w:r w:rsidRPr="004B723C">
              <w:rPr>
                <w:rFonts w:cs="Times New Roman"/>
                <w:color w:val="000000"/>
                <w:sz w:val="18"/>
                <w:szCs w:val="18"/>
              </w:rPr>
              <w:t>2%)</w:t>
            </w:r>
          </w:p>
        </w:tc>
        <w:tc>
          <w:tcPr>
            <w:tcW w:w="0" w:type="auto"/>
            <w:noWrap/>
          </w:tcPr>
          <w:p w14:paraId="280CEC3E" w14:textId="4C7F4C5E"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83/308 (26</w:t>
            </w:r>
            <w:r w:rsidR="009B49E1" w:rsidRPr="004B723C">
              <w:rPr>
                <w:rFonts w:cs="Times New Roman"/>
                <w:color w:val="000000"/>
                <w:sz w:val="18"/>
                <w:szCs w:val="18"/>
              </w:rPr>
              <w:t>.</w:t>
            </w:r>
            <w:r w:rsidRPr="004B723C">
              <w:rPr>
                <w:rFonts w:cs="Times New Roman"/>
                <w:color w:val="000000"/>
                <w:sz w:val="18"/>
                <w:szCs w:val="18"/>
              </w:rPr>
              <w:t>9%)</w:t>
            </w:r>
          </w:p>
        </w:tc>
        <w:tc>
          <w:tcPr>
            <w:tcW w:w="0" w:type="auto"/>
            <w:noWrap/>
          </w:tcPr>
          <w:p w14:paraId="12CFC458" w14:textId="4AA1A337"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23/67 (34</w:t>
            </w:r>
            <w:r w:rsidR="009B49E1" w:rsidRPr="004B723C">
              <w:rPr>
                <w:rFonts w:cs="Times New Roman"/>
                <w:color w:val="000000"/>
                <w:sz w:val="18"/>
                <w:szCs w:val="18"/>
              </w:rPr>
              <w:t>.</w:t>
            </w:r>
            <w:r w:rsidRPr="004B723C">
              <w:rPr>
                <w:rFonts w:cs="Times New Roman"/>
                <w:color w:val="000000"/>
                <w:sz w:val="18"/>
                <w:szCs w:val="18"/>
              </w:rPr>
              <w:t>3%)</w:t>
            </w:r>
          </w:p>
        </w:tc>
        <w:tc>
          <w:tcPr>
            <w:tcW w:w="0" w:type="auto"/>
            <w:noWrap/>
          </w:tcPr>
          <w:p w14:paraId="47AC11D3" w14:textId="35FF527E"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28/106 (26</w:t>
            </w:r>
            <w:r w:rsidR="009B49E1" w:rsidRPr="004B723C">
              <w:rPr>
                <w:rFonts w:cs="Times New Roman"/>
                <w:color w:val="000000"/>
                <w:sz w:val="18"/>
                <w:szCs w:val="18"/>
              </w:rPr>
              <w:t>.</w:t>
            </w:r>
            <w:r w:rsidRPr="004B723C">
              <w:rPr>
                <w:rFonts w:cs="Times New Roman"/>
                <w:color w:val="000000"/>
                <w:sz w:val="18"/>
                <w:szCs w:val="18"/>
              </w:rPr>
              <w:t>4%)</w:t>
            </w:r>
          </w:p>
        </w:tc>
      </w:tr>
      <w:tr w:rsidR="00820648" w:rsidRPr="004B723C" w14:paraId="0678605C" w14:textId="77777777" w:rsidTr="007F3A2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12AF1996" w14:textId="46262196" w:rsidR="00B872A1" w:rsidRPr="004B723C" w:rsidRDefault="00572867" w:rsidP="00C72C10">
            <w:pPr>
              <w:spacing w:line="276" w:lineRule="auto"/>
              <w:rPr>
                <w:rFonts w:eastAsia="Times New Roman" w:cs="Times New Roman"/>
                <w:b/>
                <w:bCs/>
                <w:color w:val="000000"/>
                <w:sz w:val="18"/>
                <w:szCs w:val="18"/>
                <w:lang w:eastAsia="en-GB"/>
              </w:rPr>
            </w:pPr>
            <w:r w:rsidRPr="004B723C">
              <w:rPr>
                <w:rFonts w:cs="Times New Roman"/>
                <w:color w:val="000000"/>
                <w:sz w:val="18"/>
                <w:szCs w:val="18"/>
              </w:rPr>
              <w:t xml:space="preserve">glomerulitis score </w:t>
            </w:r>
            <w:r w:rsidR="00582CCD" w:rsidRPr="004B723C">
              <w:rPr>
                <w:rFonts w:cs="Times New Roman"/>
                <w:color w:val="000000"/>
                <w:sz w:val="18"/>
                <w:szCs w:val="18"/>
              </w:rPr>
              <w:t xml:space="preserve">: </w:t>
            </w:r>
            <w:r w:rsidR="00B872A1" w:rsidRPr="004B723C">
              <w:rPr>
                <w:rFonts w:cs="Times New Roman"/>
                <w:color w:val="000000"/>
                <w:sz w:val="18"/>
                <w:szCs w:val="18"/>
              </w:rPr>
              <w:t xml:space="preserve"> 2</w:t>
            </w:r>
          </w:p>
        </w:tc>
        <w:tc>
          <w:tcPr>
            <w:tcW w:w="0" w:type="auto"/>
            <w:noWrap/>
          </w:tcPr>
          <w:p w14:paraId="6275419E" w14:textId="1F0C79A0"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179/547 (32</w:t>
            </w:r>
            <w:r w:rsidR="009B49E1" w:rsidRPr="004B723C">
              <w:rPr>
                <w:rFonts w:cs="Times New Roman"/>
                <w:color w:val="000000"/>
                <w:sz w:val="18"/>
                <w:szCs w:val="18"/>
              </w:rPr>
              <w:t>.</w:t>
            </w:r>
            <w:r w:rsidRPr="004B723C">
              <w:rPr>
                <w:rFonts w:cs="Times New Roman"/>
                <w:color w:val="000000"/>
                <w:sz w:val="18"/>
                <w:szCs w:val="18"/>
              </w:rPr>
              <w:t>7%)</w:t>
            </w:r>
          </w:p>
        </w:tc>
        <w:tc>
          <w:tcPr>
            <w:tcW w:w="0" w:type="auto"/>
            <w:noWrap/>
          </w:tcPr>
          <w:p w14:paraId="47633818" w14:textId="3CA2BE66"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10/66 (15</w:t>
            </w:r>
            <w:r w:rsidR="009B49E1" w:rsidRPr="004B723C">
              <w:rPr>
                <w:rFonts w:cs="Times New Roman"/>
                <w:color w:val="000000"/>
                <w:sz w:val="18"/>
                <w:szCs w:val="18"/>
              </w:rPr>
              <w:t>.</w:t>
            </w:r>
            <w:r w:rsidRPr="004B723C">
              <w:rPr>
                <w:rFonts w:cs="Times New Roman"/>
                <w:color w:val="000000"/>
                <w:sz w:val="18"/>
                <w:szCs w:val="18"/>
              </w:rPr>
              <w:t>2%)</w:t>
            </w:r>
          </w:p>
        </w:tc>
        <w:tc>
          <w:tcPr>
            <w:tcW w:w="0" w:type="auto"/>
            <w:noWrap/>
          </w:tcPr>
          <w:p w14:paraId="446BC790" w14:textId="4A6F2FA3"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107/308 (34</w:t>
            </w:r>
            <w:r w:rsidR="009B49E1" w:rsidRPr="004B723C">
              <w:rPr>
                <w:rFonts w:cs="Times New Roman"/>
                <w:color w:val="000000"/>
                <w:sz w:val="18"/>
                <w:szCs w:val="18"/>
              </w:rPr>
              <w:t>.</w:t>
            </w:r>
            <w:r w:rsidRPr="004B723C">
              <w:rPr>
                <w:rFonts w:cs="Times New Roman"/>
                <w:color w:val="000000"/>
                <w:sz w:val="18"/>
                <w:szCs w:val="18"/>
              </w:rPr>
              <w:t>7%)</w:t>
            </w:r>
          </w:p>
        </w:tc>
        <w:tc>
          <w:tcPr>
            <w:tcW w:w="0" w:type="auto"/>
            <w:noWrap/>
          </w:tcPr>
          <w:p w14:paraId="75D3A6CB" w14:textId="26835F3A"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30/67 (44</w:t>
            </w:r>
            <w:r w:rsidR="009B49E1" w:rsidRPr="004B723C">
              <w:rPr>
                <w:rFonts w:cs="Times New Roman"/>
                <w:color w:val="000000"/>
                <w:sz w:val="18"/>
                <w:szCs w:val="18"/>
              </w:rPr>
              <w:t>.</w:t>
            </w:r>
            <w:r w:rsidRPr="004B723C">
              <w:rPr>
                <w:rFonts w:cs="Times New Roman"/>
                <w:color w:val="000000"/>
                <w:sz w:val="18"/>
                <w:szCs w:val="18"/>
              </w:rPr>
              <w:t>8%)</w:t>
            </w:r>
          </w:p>
        </w:tc>
        <w:tc>
          <w:tcPr>
            <w:tcW w:w="0" w:type="auto"/>
            <w:noWrap/>
          </w:tcPr>
          <w:p w14:paraId="53B29E86" w14:textId="18E8F3D6"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32/106 (30</w:t>
            </w:r>
            <w:r w:rsidR="009B49E1" w:rsidRPr="004B723C">
              <w:rPr>
                <w:rFonts w:cs="Times New Roman"/>
                <w:color w:val="000000"/>
                <w:sz w:val="18"/>
                <w:szCs w:val="18"/>
              </w:rPr>
              <w:t>.</w:t>
            </w:r>
            <w:r w:rsidRPr="004B723C">
              <w:rPr>
                <w:rFonts w:cs="Times New Roman"/>
                <w:color w:val="000000"/>
                <w:sz w:val="18"/>
                <w:szCs w:val="18"/>
              </w:rPr>
              <w:t>2%)</w:t>
            </w:r>
          </w:p>
        </w:tc>
      </w:tr>
      <w:tr w:rsidR="00820648" w:rsidRPr="004B723C" w14:paraId="6DA98192" w14:textId="77777777" w:rsidTr="007F3A2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53156F8E" w14:textId="3FE35AEC" w:rsidR="00B872A1" w:rsidRPr="004B723C" w:rsidRDefault="00572867" w:rsidP="00C72C10">
            <w:pPr>
              <w:spacing w:line="276" w:lineRule="auto"/>
              <w:rPr>
                <w:rFonts w:eastAsia="Times New Roman" w:cs="Times New Roman"/>
                <w:b/>
                <w:bCs/>
                <w:color w:val="000000"/>
                <w:sz w:val="18"/>
                <w:szCs w:val="18"/>
                <w:lang w:eastAsia="en-GB"/>
              </w:rPr>
            </w:pPr>
            <w:r w:rsidRPr="004B723C">
              <w:rPr>
                <w:rFonts w:cs="Times New Roman"/>
                <w:color w:val="000000"/>
                <w:sz w:val="18"/>
                <w:szCs w:val="18"/>
              </w:rPr>
              <w:t xml:space="preserve">glomerulitis score </w:t>
            </w:r>
            <w:r w:rsidR="00582CCD" w:rsidRPr="004B723C">
              <w:rPr>
                <w:rFonts w:cs="Times New Roman"/>
                <w:color w:val="000000"/>
                <w:sz w:val="18"/>
                <w:szCs w:val="18"/>
              </w:rPr>
              <w:t xml:space="preserve">: </w:t>
            </w:r>
            <w:r w:rsidR="00B872A1" w:rsidRPr="004B723C">
              <w:rPr>
                <w:rFonts w:cs="Times New Roman"/>
                <w:color w:val="000000"/>
                <w:sz w:val="18"/>
                <w:szCs w:val="18"/>
              </w:rPr>
              <w:t xml:space="preserve"> 3</w:t>
            </w:r>
          </w:p>
        </w:tc>
        <w:tc>
          <w:tcPr>
            <w:tcW w:w="0" w:type="auto"/>
            <w:noWrap/>
          </w:tcPr>
          <w:p w14:paraId="78657505" w14:textId="3BDF2253"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103/547 (18</w:t>
            </w:r>
            <w:r w:rsidR="009B49E1" w:rsidRPr="004B723C">
              <w:rPr>
                <w:rFonts w:cs="Times New Roman"/>
                <w:color w:val="000000"/>
                <w:sz w:val="18"/>
                <w:szCs w:val="18"/>
              </w:rPr>
              <w:t>.</w:t>
            </w:r>
            <w:r w:rsidRPr="004B723C">
              <w:rPr>
                <w:rFonts w:cs="Times New Roman"/>
                <w:color w:val="000000"/>
                <w:sz w:val="18"/>
                <w:szCs w:val="18"/>
              </w:rPr>
              <w:t>8%)</w:t>
            </w:r>
          </w:p>
        </w:tc>
        <w:tc>
          <w:tcPr>
            <w:tcW w:w="0" w:type="auto"/>
            <w:noWrap/>
          </w:tcPr>
          <w:p w14:paraId="67474A3C" w14:textId="096A213B"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2/66 (3%)</w:t>
            </w:r>
          </w:p>
        </w:tc>
        <w:tc>
          <w:tcPr>
            <w:tcW w:w="0" w:type="auto"/>
            <w:noWrap/>
          </w:tcPr>
          <w:p w14:paraId="34F7BEBB" w14:textId="7A348BDC"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60/308 (19</w:t>
            </w:r>
            <w:r w:rsidR="009B49E1" w:rsidRPr="004B723C">
              <w:rPr>
                <w:rFonts w:cs="Times New Roman"/>
                <w:color w:val="000000"/>
                <w:sz w:val="18"/>
                <w:szCs w:val="18"/>
              </w:rPr>
              <w:t>.</w:t>
            </w:r>
            <w:r w:rsidRPr="004B723C">
              <w:rPr>
                <w:rFonts w:cs="Times New Roman"/>
                <w:color w:val="000000"/>
                <w:sz w:val="18"/>
                <w:szCs w:val="18"/>
              </w:rPr>
              <w:t>5%)</w:t>
            </w:r>
          </w:p>
        </w:tc>
        <w:tc>
          <w:tcPr>
            <w:tcW w:w="0" w:type="auto"/>
            <w:noWrap/>
          </w:tcPr>
          <w:p w14:paraId="1F5CEB18" w14:textId="4CE68296"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12/67 (17</w:t>
            </w:r>
            <w:r w:rsidR="009B49E1" w:rsidRPr="004B723C">
              <w:rPr>
                <w:rFonts w:cs="Times New Roman"/>
                <w:color w:val="000000"/>
                <w:sz w:val="18"/>
                <w:szCs w:val="18"/>
              </w:rPr>
              <w:t>.</w:t>
            </w:r>
            <w:r w:rsidRPr="004B723C">
              <w:rPr>
                <w:rFonts w:cs="Times New Roman"/>
                <w:color w:val="000000"/>
                <w:sz w:val="18"/>
                <w:szCs w:val="18"/>
              </w:rPr>
              <w:t>9%)</w:t>
            </w:r>
          </w:p>
        </w:tc>
        <w:tc>
          <w:tcPr>
            <w:tcW w:w="0" w:type="auto"/>
            <w:noWrap/>
          </w:tcPr>
          <w:p w14:paraId="4AB3C56B" w14:textId="422CA483"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29/106 (27</w:t>
            </w:r>
            <w:r w:rsidR="009B49E1" w:rsidRPr="004B723C">
              <w:rPr>
                <w:rFonts w:cs="Times New Roman"/>
                <w:color w:val="000000"/>
                <w:sz w:val="18"/>
                <w:szCs w:val="18"/>
              </w:rPr>
              <w:t>.</w:t>
            </w:r>
            <w:r w:rsidRPr="004B723C">
              <w:rPr>
                <w:rFonts w:cs="Times New Roman"/>
                <w:color w:val="000000"/>
                <w:sz w:val="18"/>
                <w:szCs w:val="18"/>
              </w:rPr>
              <w:t>4%)</w:t>
            </w:r>
          </w:p>
        </w:tc>
      </w:tr>
      <w:tr w:rsidR="00820648" w:rsidRPr="004B723C" w14:paraId="2B460F05" w14:textId="77777777" w:rsidTr="007F3A2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1ADCA6DE" w14:textId="1023EB00" w:rsidR="00B872A1" w:rsidRPr="004B723C" w:rsidRDefault="00572867" w:rsidP="00C72C10">
            <w:pPr>
              <w:spacing w:line="276" w:lineRule="auto"/>
              <w:rPr>
                <w:rFonts w:eastAsia="Times New Roman" w:cs="Times New Roman"/>
                <w:b/>
                <w:bCs/>
                <w:color w:val="000000"/>
                <w:sz w:val="18"/>
                <w:szCs w:val="18"/>
                <w:lang w:eastAsia="en-GB"/>
              </w:rPr>
            </w:pPr>
            <w:r w:rsidRPr="004B723C">
              <w:rPr>
                <w:rFonts w:cs="Times New Roman"/>
                <w:color w:val="000000"/>
                <w:sz w:val="18"/>
                <w:szCs w:val="18"/>
              </w:rPr>
              <w:t xml:space="preserve">peritubular </w:t>
            </w:r>
            <w:proofErr w:type="spellStart"/>
            <w:r w:rsidRPr="004B723C">
              <w:rPr>
                <w:rFonts w:cs="Times New Roman"/>
                <w:color w:val="000000"/>
                <w:sz w:val="18"/>
                <w:szCs w:val="18"/>
              </w:rPr>
              <w:t>capillaritis</w:t>
            </w:r>
            <w:proofErr w:type="spellEnd"/>
            <w:r w:rsidR="00B872A1" w:rsidRPr="004B723C">
              <w:rPr>
                <w:rFonts w:cs="Times New Roman"/>
                <w:color w:val="000000"/>
                <w:sz w:val="18"/>
                <w:szCs w:val="18"/>
              </w:rPr>
              <w:t xml:space="preserve"> score </w:t>
            </w:r>
            <w:r w:rsidR="00582CCD" w:rsidRPr="004B723C">
              <w:rPr>
                <w:rFonts w:cs="Times New Roman"/>
                <w:color w:val="000000"/>
                <w:sz w:val="18"/>
                <w:szCs w:val="18"/>
              </w:rPr>
              <w:t xml:space="preserve">: </w:t>
            </w:r>
            <w:r w:rsidR="00B872A1" w:rsidRPr="004B723C">
              <w:rPr>
                <w:rFonts w:cs="Times New Roman"/>
                <w:color w:val="000000"/>
                <w:sz w:val="18"/>
                <w:szCs w:val="18"/>
              </w:rPr>
              <w:t xml:space="preserve"> 0</w:t>
            </w:r>
          </w:p>
        </w:tc>
        <w:tc>
          <w:tcPr>
            <w:tcW w:w="0" w:type="auto"/>
            <w:noWrap/>
          </w:tcPr>
          <w:p w14:paraId="1DFA4A9F" w14:textId="45AFFE45"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128/547 (23</w:t>
            </w:r>
            <w:r w:rsidR="009B49E1" w:rsidRPr="004B723C">
              <w:rPr>
                <w:rFonts w:cs="Times New Roman"/>
                <w:color w:val="000000"/>
                <w:sz w:val="18"/>
                <w:szCs w:val="18"/>
              </w:rPr>
              <w:t>.</w:t>
            </w:r>
            <w:r w:rsidRPr="004B723C">
              <w:rPr>
                <w:rFonts w:cs="Times New Roman"/>
                <w:color w:val="000000"/>
                <w:sz w:val="18"/>
                <w:szCs w:val="18"/>
              </w:rPr>
              <w:t>4%)</w:t>
            </w:r>
          </w:p>
        </w:tc>
        <w:tc>
          <w:tcPr>
            <w:tcW w:w="0" w:type="auto"/>
            <w:noWrap/>
          </w:tcPr>
          <w:p w14:paraId="260D838A" w14:textId="0BBA7E40"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3/66 (4</w:t>
            </w:r>
            <w:r w:rsidR="009B49E1" w:rsidRPr="004B723C">
              <w:rPr>
                <w:rFonts w:cs="Times New Roman"/>
                <w:color w:val="000000"/>
                <w:sz w:val="18"/>
                <w:szCs w:val="18"/>
              </w:rPr>
              <w:t>.</w:t>
            </w:r>
            <w:r w:rsidRPr="004B723C">
              <w:rPr>
                <w:rFonts w:cs="Times New Roman"/>
                <w:color w:val="000000"/>
                <w:sz w:val="18"/>
                <w:szCs w:val="18"/>
              </w:rPr>
              <w:t>5%)</w:t>
            </w:r>
          </w:p>
        </w:tc>
        <w:tc>
          <w:tcPr>
            <w:tcW w:w="0" w:type="auto"/>
            <w:noWrap/>
          </w:tcPr>
          <w:p w14:paraId="6F7C0D70" w14:textId="0C8A2748"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92/308 (29</w:t>
            </w:r>
            <w:r w:rsidR="009B49E1" w:rsidRPr="004B723C">
              <w:rPr>
                <w:rFonts w:cs="Times New Roman"/>
                <w:color w:val="000000"/>
                <w:sz w:val="18"/>
                <w:szCs w:val="18"/>
              </w:rPr>
              <w:t>.</w:t>
            </w:r>
            <w:r w:rsidRPr="004B723C">
              <w:rPr>
                <w:rFonts w:cs="Times New Roman"/>
                <w:color w:val="000000"/>
                <w:sz w:val="18"/>
                <w:szCs w:val="18"/>
              </w:rPr>
              <w:t>9%)</w:t>
            </w:r>
          </w:p>
        </w:tc>
        <w:tc>
          <w:tcPr>
            <w:tcW w:w="0" w:type="auto"/>
            <w:noWrap/>
          </w:tcPr>
          <w:p w14:paraId="051C6665" w14:textId="2B11BA51"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20/67 (29</w:t>
            </w:r>
            <w:r w:rsidR="009B49E1" w:rsidRPr="004B723C">
              <w:rPr>
                <w:rFonts w:cs="Times New Roman"/>
                <w:color w:val="000000"/>
                <w:sz w:val="18"/>
                <w:szCs w:val="18"/>
              </w:rPr>
              <w:t>.</w:t>
            </w:r>
            <w:r w:rsidRPr="004B723C">
              <w:rPr>
                <w:rFonts w:cs="Times New Roman"/>
                <w:color w:val="000000"/>
                <w:sz w:val="18"/>
                <w:szCs w:val="18"/>
              </w:rPr>
              <w:t>9%)</w:t>
            </w:r>
          </w:p>
        </w:tc>
        <w:tc>
          <w:tcPr>
            <w:tcW w:w="0" w:type="auto"/>
            <w:noWrap/>
          </w:tcPr>
          <w:p w14:paraId="2D90E8F7" w14:textId="62258200"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13/106 (12</w:t>
            </w:r>
            <w:r w:rsidR="009B49E1" w:rsidRPr="004B723C">
              <w:rPr>
                <w:rFonts w:cs="Times New Roman"/>
                <w:color w:val="000000"/>
                <w:sz w:val="18"/>
                <w:szCs w:val="18"/>
              </w:rPr>
              <w:t>.</w:t>
            </w:r>
            <w:r w:rsidRPr="004B723C">
              <w:rPr>
                <w:rFonts w:cs="Times New Roman"/>
                <w:color w:val="000000"/>
                <w:sz w:val="18"/>
                <w:szCs w:val="18"/>
              </w:rPr>
              <w:t>3%)</w:t>
            </w:r>
          </w:p>
        </w:tc>
      </w:tr>
      <w:tr w:rsidR="00820648" w:rsidRPr="004B723C" w14:paraId="75DAFE86" w14:textId="77777777" w:rsidTr="007F3A2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39BAEAA4" w14:textId="4CFB1B9E" w:rsidR="00B872A1" w:rsidRPr="004B723C" w:rsidRDefault="00572867" w:rsidP="00C72C10">
            <w:pPr>
              <w:spacing w:line="276" w:lineRule="auto"/>
              <w:rPr>
                <w:rFonts w:eastAsia="Times New Roman" w:cs="Times New Roman"/>
                <w:b/>
                <w:bCs/>
                <w:color w:val="000000"/>
                <w:sz w:val="18"/>
                <w:szCs w:val="18"/>
                <w:lang w:eastAsia="en-GB"/>
              </w:rPr>
            </w:pPr>
            <w:r w:rsidRPr="004B723C">
              <w:rPr>
                <w:rFonts w:cs="Times New Roman"/>
                <w:color w:val="000000"/>
                <w:sz w:val="18"/>
                <w:szCs w:val="18"/>
              </w:rPr>
              <w:t xml:space="preserve">peritubular </w:t>
            </w:r>
            <w:proofErr w:type="spellStart"/>
            <w:r w:rsidRPr="004B723C">
              <w:rPr>
                <w:rFonts w:cs="Times New Roman"/>
                <w:color w:val="000000"/>
                <w:sz w:val="18"/>
                <w:szCs w:val="18"/>
              </w:rPr>
              <w:t>capillaritis</w:t>
            </w:r>
            <w:proofErr w:type="spellEnd"/>
            <w:r w:rsidRPr="004B723C">
              <w:rPr>
                <w:rFonts w:cs="Times New Roman"/>
                <w:color w:val="000000"/>
                <w:sz w:val="18"/>
                <w:szCs w:val="18"/>
              </w:rPr>
              <w:t xml:space="preserve"> score </w:t>
            </w:r>
            <w:r w:rsidR="00582CCD" w:rsidRPr="004B723C">
              <w:rPr>
                <w:rFonts w:cs="Times New Roman"/>
                <w:color w:val="000000"/>
                <w:sz w:val="18"/>
                <w:szCs w:val="18"/>
              </w:rPr>
              <w:t xml:space="preserve">: </w:t>
            </w:r>
            <w:r w:rsidR="00B872A1" w:rsidRPr="004B723C">
              <w:rPr>
                <w:rFonts w:cs="Times New Roman"/>
                <w:color w:val="000000"/>
                <w:sz w:val="18"/>
                <w:szCs w:val="18"/>
              </w:rPr>
              <w:t xml:space="preserve"> 1</w:t>
            </w:r>
          </w:p>
        </w:tc>
        <w:tc>
          <w:tcPr>
            <w:tcW w:w="0" w:type="auto"/>
            <w:noWrap/>
          </w:tcPr>
          <w:p w14:paraId="52C8556B" w14:textId="53F92C44"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127/547 (23</w:t>
            </w:r>
            <w:r w:rsidR="009B49E1" w:rsidRPr="004B723C">
              <w:rPr>
                <w:rFonts w:cs="Times New Roman"/>
                <w:color w:val="000000"/>
                <w:sz w:val="18"/>
                <w:szCs w:val="18"/>
              </w:rPr>
              <w:t>.</w:t>
            </w:r>
            <w:r w:rsidRPr="004B723C">
              <w:rPr>
                <w:rFonts w:cs="Times New Roman"/>
                <w:color w:val="000000"/>
                <w:sz w:val="18"/>
                <w:szCs w:val="18"/>
              </w:rPr>
              <w:t>2%)</w:t>
            </w:r>
          </w:p>
        </w:tc>
        <w:tc>
          <w:tcPr>
            <w:tcW w:w="0" w:type="auto"/>
            <w:noWrap/>
          </w:tcPr>
          <w:p w14:paraId="6A81BA6B" w14:textId="1924069F"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5/66 (7</w:t>
            </w:r>
            <w:r w:rsidR="009B49E1" w:rsidRPr="004B723C">
              <w:rPr>
                <w:rFonts w:cs="Times New Roman"/>
                <w:color w:val="000000"/>
                <w:sz w:val="18"/>
                <w:szCs w:val="18"/>
              </w:rPr>
              <w:t>.</w:t>
            </w:r>
            <w:r w:rsidRPr="004B723C">
              <w:rPr>
                <w:rFonts w:cs="Times New Roman"/>
                <w:color w:val="000000"/>
                <w:sz w:val="18"/>
                <w:szCs w:val="18"/>
              </w:rPr>
              <w:t>6%)</w:t>
            </w:r>
          </w:p>
        </w:tc>
        <w:tc>
          <w:tcPr>
            <w:tcW w:w="0" w:type="auto"/>
            <w:noWrap/>
          </w:tcPr>
          <w:p w14:paraId="0DD97ED4" w14:textId="161EB40B"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64/308 (20</w:t>
            </w:r>
            <w:r w:rsidR="009B49E1" w:rsidRPr="004B723C">
              <w:rPr>
                <w:rFonts w:cs="Times New Roman"/>
                <w:color w:val="000000"/>
                <w:sz w:val="18"/>
                <w:szCs w:val="18"/>
              </w:rPr>
              <w:t>.</w:t>
            </w:r>
            <w:r w:rsidRPr="004B723C">
              <w:rPr>
                <w:rFonts w:cs="Times New Roman"/>
                <w:color w:val="000000"/>
                <w:sz w:val="18"/>
                <w:szCs w:val="18"/>
              </w:rPr>
              <w:t>8%)</w:t>
            </w:r>
          </w:p>
        </w:tc>
        <w:tc>
          <w:tcPr>
            <w:tcW w:w="0" w:type="auto"/>
            <w:noWrap/>
          </w:tcPr>
          <w:p w14:paraId="6BE34A54" w14:textId="32EDB8E7"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28/67 (41</w:t>
            </w:r>
            <w:r w:rsidR="009B49E1" w:rsidRPr="004B723C">
              <w:rPr>
                <w:rFonts w:cs="Times New Roman"/>
                <w:color w:val="000000"/>
                <w:sz w:val="18"/>
                <w:szCs w:val="18"/>
              </w:rPr>
              <w:t>.</w:t>
            </w:r>
            <w:r w:rsidRPr="004B723C">
              <w:rPr>
                <w:rFonts w:cs="Times New Roman"/>
                <w:color w:val="000000"/>
                <w:sz w:val="18"/>
                <w:szCs w:val="18"/>
              </w:rPr>
              <w:t>8%)</w:t>
            </w:r>
          </w:p>
        </w:tc>
        <w:tc>
          <w:tcPr>
            <w:tcW w:w="0" w:type="auto"/>
            <w:noWrap/>
          </w:tcPr>
          <w:p w14:paraId="09A76504" w14:textId="64DB4484"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30/106 (28</w:t>
            </w:r>
            <w:r w:rsidR="009B49E1" w:rsidRPr="004B723C">
              <w:rPr>
                <w:rFonts w:cs="Times New Roman"/>
                <w:color w:val="000000"/>
                <w:sz w:val="18"/>
                <w:szCs w:val="18"/>
              </w:rPr>
              <w:t>.</w:t>
            </w:r>
            <w:r w:rsidRPr="004B723C">
              <w:rPr>
                <w:rFonts w:cs="Times New Roman"/>
                <w:color w:val="000000"/>
                <w:sz w:val="18"/>
                <w:szCs w:val="18"/>
              </w:rPr>
              <w:t>3%)</w:t>
            </w:r>
          </w:p>
        </w:tc>
      </w:tr>
      <w:tr w:rsidR="00820648" w:rsidRPr="004B723C" w14:paraId="1E2E3880" w14:textId="77777777" w:rsidTr="007F3A2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6D636419" w14:textId="585F5437" w:rsidR="00B872A1" w:rsidRPr="004B723C" w:rsidRDefault="00572867" w:rsidP="00C72C10">
            <w:pPr>
              <w:spacing w:line="276" w:lineRule="auto"/>
              <w:rPr>
                <w:rFonts w:eastAsia="Times New Roman" w:cs="Times New Roman"/>
                <w:b/>
                <w:bCs/>
                <w:color w:val="000000"/>
                <w:sz w:val="18"/>
                <w:szCs w:val="18"/>
                <w:lang w:eastAsia="en-GB"/>
              </w:rPr>
            </w:pPr>
            <w:r w:rsidRPr="004B723C">
              <w:rPr>
                <w:rFonts w:cs="Times New Roman"/>
                <w:color w:val="000000"/>
                <w:sz w:val="18"/>
                <w:szCs w:val="18"/>
              </w:rPr>
              <w:t xml:space="preserve">peritubular </w:t>
            </w:r>
            <w:proofErr w:type="spellStart"/>
            <w:r w:rsidRPr="004B723C">
              <w:rPr>
                <w:rFonts w:cs="Times New Roman"/>
                <w:color w:val="000000"/>
                <w:sz w:val="18"/>
                <w:szCs w:val="18"/>
              </w:rPr>
              <w:t>capillaritis</w:t>
            </w:r>
            <w:proofErr w:type="spellEnd"/>
            <w:r w:rsidRPr="004B723C">
              <w:rPr>
                <w:rFonts w:cs="Times New Roman"/>
                <w:color w:val="000000"/>
                <w:sz w:val="18"/>
                <w:szCs w:val="18"/>
              </w:rPr>
              <w:t xml:space="preserve"> score </w:t>
            </w:r>
            <w:r w:rsidR="00582CCD" w:rsidRPr="004B723C">
              <w:rPr>
                <w:rFonts w:cs="Times New Roman"/>
                <w:color w:val="000000"/>
                <w:sz w:val="18"/>
                <w:szCs w:val="18"/>
              </w:rPr>
              <w:t xml:space="preserve">: </w:t>
            </w:r>
            <w:r w:rsidR="00B872A1" w:rsidRPr="004B723C">
              <w:rPr>
                <w:rFonts w:cs="Times New Roman"/>
                <w:color w:val="000000"/>
                <w:sz w:val="18"/>
                <w:szCs w:val="18"/>
              </w:rPr>
              <w:t xml:space="preserve"> 2</w:t>
            </w:r>
          </w:p>
        </w:tc>
        <w:tc>
          <w:tcPr>
            <w:tcW w:w="0" w:type="auto"/>
            <w:noWrap/>
          </w:tcPr>
          <w:p w14:paraId="1903F205" w14:textId="71E7864B"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235/547 (43%)</w:t>
            </w:r>
          </w:p>
        </w:tc>
        <w:tc>
          <w:tcPr>
            <w:tcW w:w="0" w:type="auto"/>
            <w:noWrap/>
          </w:tcPr>
          <w:p w14:paraId="476862B0" w14:textId="4AE06A8C"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53/66 (80</w:t>
            </w:r>
            <w:r w:rsidR="009B49E1" w:rsidRPr="004B723C">
              <w:rPr>
                <w:rFonts w:cs="Times New Roman"/>
                <w:color w:val="000000"/>
                <w:sz w:val="18"/>
                <w:szCs w:val="18"/>
              </w:rPr>
              <w:t>.</w:t>
            </w:r>
            <w:r w:rsidRPr="004B723C">
              <w:rPr>
                <w:rFonts w:cs="Times New Roman"/>
                <w:color w:val="000000"/>
                <w:sz w:val="18"/>
                <w:szCs w:val="18"/>
              </w:rPr>
              <w:t>3%)</w:t>
            </w:r>
          </w:p>
        </w:tc>
        <w:tc>
          <w:tcPr>
            <w:tcW w:w="0" w:type="auto"/>
            <w:noWrap/>
          </w:tcPr>
          <w:p w14:paraId="0A9ECE9C" w14:textId="1E645A99"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121/308 (39</w:t>
            </w:r>
            <w:r w:rsidR="009B49E1" w:rsidRPr="004B723C">
              <w:rPr>
                <w:rFonts w:cs="Times New Roman"/>
                <w:color w:val="000000"/>
                <w:sz w:val="18"/>
                <w:szCs w:val="18"/>
              </w:rPr>
              <w:t>.</w:t>
            </w:r>
            <w:r w:rsidRPr="004B723C">
              <w:rPr>
                <w:rFonts w:cs="Times New Roman"/>
                <w:color w:val="000000"/>
                <w:sz w:val="18"/>
                <w:szCs w:val="18"/>
              </w:rPr>
              <w:t>3%)</w:t>
            </w:r>
          </w:p>
        </w:tc>
        <w:tc>
          <w:tcPr>
            <w:tcW w:w="0" w:type="auto"/>
            <w:noWrap/>
          </w:tcPr>
          <w:p w14:paraId="0968F3E4" w14:textId="0AF45BFA"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18/67 (26</w:t>
            </w:r>
            <w:r w:rsidR="009B49E1" w:rsidRPr="004B723C">
              <w:rPr>
                <w:rFonts w:cs="Times New Roman"/>
                <w:color w:val="000000"/>
                <w:sz w:val="18"/>
                <w:szCs w:val="18"/>
              </w:rPr>
              <w:t>.</w:t>
            </w:r>
            <w:r w:rsidRPr="004B723C">
              <w:rPr>
                <w:rFonts w:cs="Times New Roman"/>
                <w:color w:val="000000"/>
                <w:sz w:val="18"/>
                <w:szCs w:val="18"/>
              </w:rPr>
              <w:t>9%)</w:t>
            </w:r>
          </w:p>
        </w:tc>
        <w:tc>
          <w:tcPr>
            <w:tcW w:w="0" w:type="auto"/>
            <w:noWrap/>
          </w:tcPr>
          <w:p w14:paraId="1A6134AB" w14:textId="5B7948BB"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43/106 (40</w:t>
            </w:r>
            <w:r w:rsidR="009B49E1" w:rsidRPr="004B723C">
              <w:rPr>
                <w:rFonts w:cs="Times New Roman"/>
                <w:color w:val="000000"/>
                <w:sz w:val="18"/>
                <w:szCs w:val="18"/>
              </w:rPr>
              <w:t>.</w:t>
            </w:r>
            <w:r w:rsidRPr="004B723C">
              <w:rPr>
                <w:rFonts w:cs="Times New Roman"/>
                <w:color w:val="000000"/>
                <w:sz w:val="18"/>
                <w:szCs w:val="18"/>
              </w:rPr>
              <w:t>6%)</w:t>
            </w:r>
          </w:p>
        </w:tc>
      </w:tr>
      <w:tr w:rsidR="00820648" w:rsidRPr="004B723C" w14:paraId="6FBFE666" w14:textId="77777777" w:rsidTr="007F3A2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6E3A38B3" w14:textId="5C2E9753" w:rsidR="00B872A1" w:rsidRPr="004B723C" w:rsidRDefault="00572867" w:rsidP="00C72C10">
            <w:pPr>
              <w:spacing w:line="276" w:lineRule="auto"/>
              <w:rPr>
                <w:rFonts w:eastAsia="Times New Roman" w:cs="Times New Roman"/>
                <w:b/>
                <w:bCs/>
                <w:color w:val="000000"/>
                <w:sz w:val="18"/>
                <w:szCs w:val="18"/>
                <w:lang w:eastAsia="en-GB"/>
              </w:rPr>
            </w:pPr>
            <w:r w:rsidRPr="004B723C">
              <w:rPr>
                <w:rFonts w:cs="Times New Roman"/>
                <w:color w:val="000000"/>
                <w:sz w:val="18"/>
                <w:szCs w:val="18"/>
              </w:rPr>
              <w:t xml:space="preserve">peritubular </w:t>
            </w:r>
            <w:proofErr w:type="spellStart"/>
            <w:r w:rsidRPr="004B723C">
              <w:rPr>
                <w:rFonts w:cs="Times New Roman"/>
                <w:color w:val="000000"/>
                <w:sz w:val="18"/>
                <w:szCs w:val="18"/>
              </w:rPr>
              <w:t>capillaritis</w:t>
            </w:r>
            <w:proofErr w:type="spellEnd"/>
            <w:r w:rsidRPr="004B723C">
              <w:rPr>
                <w:rFonts w:cs="Times New Roman"/>
                <w:color w:val="000000"/>
                <w:sz w:val="18"/>
                <w:szCs w:val="18"/>
              </w:rPr>
              <w:t xml:space="preserve"> score </w:t>
            </w:r>
            <w:r w:rsidR="00582CCD" w:rsidRPr="004B723C">
              <w:rPr>
                <w:rFonts w:cs="Times New Roman"/>
                <w:color w:val="000000"/>
                <w:sz w:val="18"/>
                <w:szCs w:val="18"/>
              </w:rPr>
              <w:t xml:space="preserve">: </w:t>
            </w:r>
            <w:r w:rsidR="00B872A1" w:rsidRPr="004B723C">
              <w:rPr>
                <w:rFonts w:cs="Times New Roman"/>
                <w:color w:val="000000"/>
                <w:sz w:val="18"/>
                <w:szCs w:val="18"/>
              </w:rPr>
              <w:t xml:space="preserve"> 3</w:t>
            </w:r>
          </w:p>
        </w:tc>
        <w:tc>
          <w:tcPr>
            <w:tcW w:w="0" w:type="auto"/>
            <w:noWrap/>
          </w:tcPr>
          <w:p w14:paraId="4A9E1FB1" w14:textId="56E80FA4"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57/547 (10</w:t>
            </w:r>
            <w:r w:rsidR="009B49E1" w:rsidRPr="004B723C">
              <w:rPr>
                <w:rFonts w:cs="Times New Roman"/>
                <w:color w:val="000000"/>
                <w:sz w:val="18"/>
                <w:szCs w:val="18"/>
              </w:rPr>
              <w:t>.</w:t>
            </w:r>
            <w:r w:rsidRPr="004B723C">
              <w:rPr>
                <w:rFonts w:cs="Times New Roman"/>
                <w:color w:val="000000"/>
                <w:sz w:val="18"/>
                <w:szCs w:val="18"/>
              </w:rPr>
              <w:t>4%)</w:t>
            </w:r>
          </w:p>
        </w:tc>
        <w:tc>
          <w:tcPr>
            <w:tcW w:w="0" w:type="auto"/>
            <w:noWrap/>
          </w:tcPr>
          <w:p w14:paraId="2F329C19" w14:textId="1FACDB06"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5/66 (7</w:t>
            </w:r>
            <w:r w:rsidR="009B49E1" w:rsidRPr="004B723C">
              <w:rPr>
                <w:rFonts w:cs="Times New Roman"/>
                <w:color w:val="000000"/>
                <w:sz w:val="18"/>
                <w:szCs w:val="18"/>
              </w:rPr>
              <w:t>.</w:t>
            </w:r>
            <w:r w:rsidRPr="004B723C">
              <w:rPr>
                <w:rFonts w:cs="Times New Roman"/>
                <w:color w:val="000000"/>
                <w:sz w:val="18"/>
                <w:szCs w:val="18"/>
              </w:rPr>
              <w:t>6%)</w:t>
            </w:r>
          </w:p>
        </w:tc>
        <w:tc>
          <w:tcPr>
            <w:tcW w:w="0" w:type="auto"/>
            <w:noWrap/>
          </w:tcPr>
          <w:p w14:paraId="439B39E8" w14:textId="455B43DB"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31/308 (10</w:t>
            </w:r>
            <w:r w:rsidR="009B49E1" w:rsidRPr="004B723C">
              <w:rPr>
                <w:rFonts w:cs="Times New Roman"/>
                <w:color w:val="000000"/>
                <w:sz w:val="18"/>
                <w:szCs w:val="18"/>
              </w:rPr>
              <w:t>.</w:t>
            </w:r>
            <w:r w:rsidRPr="004B723C">
              <w:rPr>
                <w:rFonts w:cs="Times New Roman"/>
                <w:color w:val="000000"/>
                <w:sz w:val="18"/>
                <w:szCs w:val="18"/>
              </w:rPr>
              <w:t>1%)</w:t>
            </w:r>
          </w:p>
        </w:tc>
        <w:tc>
          <w:tcPr>
            <w:tcW w:w="0" w:type="auto"/>
            <w:noWrap/>
          </w:tcPr>
          <w:p w14:paraId="3509566B" w14:textId="5946F7C2"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1/67 (1</w:t>
            </w:r>
            <w:r w:rsidR="009B49E1" w:rsidRPr="004B723C">
              <w:rPr>
                <w:rFonts w:cs="Times New Roman"/>
                <w:color w:val="000000"/>
                <w:sz w:val="18"/>
                <w:szCs w:val="18"/>
              </w:rPr>
              <w:t>.</w:t>
            </w:r>
            <w:r w:rsidRPr="004B723C">
              <w:rPr>
                <w:rFonts w:cs="Times New Roman"/>
                <w:color w:val="000000"/>
                <w:sz w:val="18"/>
                <w:szCs w:val="18"/>
              </w:rPr>
              <w:t>5%)</w:t>
            </w:r>
          </w:p>
        </w:tc>
        <w:tc>
          <w:tcPr>
            <w:tcW w:w="0" w:type="auto"/>
            <w:noWrap/>
          </w:tcPr>
          <w:p w14:paraId="4245183E" w14:textId="129BA718"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20/106 (18</w:t>
            </w:r>
            <w:r w:rsidR="009B49E1" w:rsidRPr="004B723C">
              <w:rPr>
                <w:rFonts w:cs="Times New Roman"/>
                <w:color w:val="000000"/>
                <w:sz w:val="18"/>
                <w:szCs w:val="18"/>
              </w:rPr>
              <w:t>.</w:t>
            </w:r>
            <w:r w:rsidRPr="004B723C">
              <w:rPr>
                <w:rFonts w:cs="Times New Roman"/>
                <w:color w:val="000000"/>
                <w:sz w:val="18"/>
                <w:szCs w:val="18"/>
              </w:rPr>
              <w:t>9%)</w:t>
            </w:r>
          </w:p>
        </w:tc>
      </w:tr>
      <w:tr w:rsidR="00820648" w:rsidRPr="004B723C" w14:paraId="27C7A6D3" w14:textId="77777777" w:rsidTr="007F3A2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6AEDEEED" w14:textId="22A41D52" w:rsidR="00B872A1" w:rsidRPr="004B723C" w:rsidRDefault="001E1B1C" w:rsidP="00C72C10">
            <w:pPr>
              <w:spacing w:line="276" w:lineRule="auto"/>
              <w:rPr>
                <w:rFonts w:eastAsia="Times New Roman" w:cs="Times New Roman"/>
                <w:b/>
                <w:bCs/>
                <w:color w:val="000000"/>
                <w:sz w:val="18"/>
                <w:szCs w:val="18"/>
                <w:lang w:eastAsia="en-GB"/>
              </w:rPr>
            </w:pPr>
            <w:r w:rsidRPr="004B723C">
              <w:rPr>
                <w:sz w:val="18"/>
                <w:szCs w:val="18"/>
              </w:rPr>
              <w:t>Total MVI</w:t>
            </w:r>
            <w:r w:rsidR="00572867" w:rsidRPr="004B723C">
              <w:rPr>
                <w:sz w:val="18"/>
                <w:szCs w:val="18"/>
              </w:rPr>
              <w:t xml:space="preserve"> score </w:t>
            </w:r>
            <w:r w:rsidR="00582CCD" w:rsidRPr="004B723C">
              <w:rPr>
                <w:rFonts w:cs="Times New Roman"/>
                <w:color w:val="000000"/>
                <w:sz w:val="18"/>
                <w:szCs w:val="18"/>
              </w:rPr>
              <w:t xml:space="preserve">: </w:t>
            </w:r>
            <w:r w:rsidR="00B872A1" w:rsidRPr="004B723C">
              <w:rPr>
                <w:rFonts w:cs="Times New Roman"/>
                <w:color w:val="000000"/>
                <w:sz w:val="18"/>
                <w:szCs w:val="18"/>
              </w:rPr>
              <w:t xml:space="preserve"> 2</w:t>
            </w:r>
          </w:p>
        </w:tc>
        <w:tc>
          <w:tcPr>
            <w:tcW w:w="0" w:type="auto"/>
            <w:noWrap/>
          </w:tcPr>
          <w:p w14:paraId="44F3E672" w14:textId="7866007C"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267/547 (48</w:t>
            </w:r>
            <w:r w:rsidR="009B49E1" w:rsidRPr="004B723C">
              <w:rPr>
                <w:rFonts w:cs="Times New Roman"/>
                <w:color w:val="000000"/>
                <w:sz w:val="18"/>
                <w:szCs w:val="18"/>
              </w:rPr>
              <w:t>.</w:t>
            </w:r>
            <w:r w:rsidRPr="004B723C">
              <w:rPr>
                <w:rFonts w:cs="Times New Roman"/>
                <w:color w:val="000000"/>
                <w:sz w:val="18"/>
                <w:szCs w:val="18"/>
              </w:rPr>
              <w:t>8%)</w:t>
            </w:r>
          </w:p>
        </w:tc>
        <w:tc>
          <w:tcPr>
            <w:tcW w:w="0" w:type="auto"/>
            <w:noWrap/>
          </w:tcPr>
          <w:p w14:paraId="5BDC7010" w14:textId="7C2D7ACC"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45/66 (68</w:t>
            </w:r>
            <w:r w:rsidR="009B49E1" w:rsidRPr="004B723C">
              <w:rPr>
                <w:rFonts w:cs="Times New Roman"/>
                <w:color w:val="000000"/>
                <w:sz w:val="18"/>
                <w:szCs w:val="18"/>
              </w:rPr>
              <w:t>.</w:t>
            </w:r>
            <w:r w:rsidRPr="004B723C">
              <w:rPr>
                <w:rFonts w:cs="Times New Roman"/>
                <w:color w:val="000000"/>
                <w:sz w:val="18"/>
                <w:szCs w:val="18"/>
              </w:rPr>
              <w:t>2%)</w:t>
            </w:r>
          </w:p>
        </w:tc>
        <w:tc>
          <w:tcPr>
            <w:tcW w:w="0" w:type="auto"/>
            <w:noWrap/>
          </w:tcPr>
          <w:p w14:paraId="32C40F0C" w14:textId="77CCD7B8"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153/308 (49</w:t>
            </w:r>
            <w:r w:rsidR="009B49E1" w:rsidRPr="004B723C">
              <w:rPr>
                <w:rFonts w:cs="Times New Roman"/>
                <w:color w:val="000000"/>
                <w:sz w:val="18"/>
                <w:szCs w:val="18"/>
              </w:rPr>
              <w:t>.</w:t>
            </w:r>
            <w:r w:rsidRPr="004B723C">
              <w:rPr>
                <w:rFonts w:cs="Times New Roman"/>
                <w:color w:val="000000"/>
                <w:sz w:val="18"/>
                <w:szCs w:val="18"/>
              </w:rPr>
              <w:t>7%)</w:t>
            </w:r>
          </w:p>
        </w:tc>
        <w:tc>
          <w:tcPr>
            <w:tcW w:w="0" w:type="auto"/>
            <w:noWrap/>
          </w:tcPr>
          <w:p w14:paraId="26821527" w14:textId="087CB88A"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33/67 (49</w:t>
            </w:r>
            <w:r w:rsidR="009B49E1" w:rsidRPr="004B723C">
              <w:rPr>
                <w:rFonts w:cs="Times New Roman"/>
                <w:color w:val="000000"/>
                <w:sz w:val="18"/>
                <w:szCs w:val="18"/>
              </w:rPr>
              <w:t>.</w:t>
            </w:r>
            <w:r w:rsidRPr="004B723C">
              <w:rPr>
                <w:rFonts w:cs="Times New Roman"/>
                <w:color w:val="000000"/>
                <w:sz w:val="18"/>
                <w:szCs w:val="18"/>
              </w:rPr>
              <w:t>3%)</w:t>
            </w:r>
          </w:p>
        </w:tc>
        <w:tc>
          <w:tcPr>
            <w:tcW w:w="0" w:type="auto"/>
            <w:noWrap/>
          </w:tcPr>
          <w:p w14:paraId="6772522E" w14:textId="76FC2427"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36/106 (34%)</w:t>
            </w:r>
          </w:p>
        </w:tc>
      </w:tr>
      <w:tr w:rsidR="00820648" w:rsidRPr="004B723C" w14:paraId="00AEC8E9" w14:textId="77777777" w:rsidTr="007F3A2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3157A6A6" w14:textId="35273855" w:rsidR="00B872A1" w:rsidRPr="004B723C" w:rsidRDefault="001E1B1C" w:rsidP="00C72C10">
            <w:pPr>
              <w:spacing w:line="276" w:lineRule="auto"/>
              <w:rPr>
                <w:rFonts w:eastAsia="Times New Roman" w:cs="Times New Roman"/>
                <w:b/>
                <w:bCs/>
                <w:color w:val="000000"/>
                <w:sz w:val="18"/>
                <w:szCs w:val="18"/>
                <w:lang w:eastAsia="en-GB"/>
              </w:rPr>
            </w:pPr>
            <w:r w:rsidRPr="004B723C">
              <w:rPr>
                <w:sz w:val="18"/>
                <w:szCs w:val="18"/>
              </w:rPr>
              <w:t xml:space="preserve">Total MVI score </w:t>
            </w:r>
            <w:r w:rsidR="00582CCD" w:rsidRPr="004B723C">
              <w:rPr>
                <w:rFonts w:cs="Times New Roman"/>
                <w:color w:val="000000"/>
                <w:sz w:val="18"/>
                <w:szCs w:val="18"/>
              </w:rPr>
              <w:t xml:space="preserve">: </w:t>
            </w:r>
            <w:r w:rsidR="00B872A1" w:rsidRPr="004B723C">
              <w:rPr>
                <w:rFonts w:cs="Times New Roman"/>
                <w:color w:val="000000"/>
                <w:sz w:val="18"/>
                <w:szCs w:val="18"/>
              </w:rPr>
              <w:t xml:space="preserve"> 3</w:t>
            </w:r>
          </w:p>
        </w:tc>
        <w:tc>
          <w:tcPr>
            <w:tcW w:w="0" w:type="auto"/>
            <w:noWrap/>
          </w:tcPr>
          <w:p w14:paraId="0AA0F86A" w14:textId="33C04200"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144/547 (26</w:t>
            </w:r>
            <w:r w:rsidR="009B49E1" w:rsidRPr="004B723C">
              <w:rPr>
                <w:rFonts w:cs="Times New Roman"/>
                <w:color w:val="000000"/>
                <w:sz w:val="18"/>
                <w:szCs w:val="18"/>
              </w:rPr>
              <w:t>.</w:t>
            </w:r>
            <w:r w:rsidRPr="004B723C">
              <w:rPr>
                <w:rFonts w:cs="Times New Roman"/>
                <w:color w:val="000000"/>
                <w:sz w:val="18"/>
                <w:szCs w:val="18"/>
              </w:rPr>
              <w:t>3%)</w:t>
            </w:r>
          </w:p>
        </w:tc>
        <w:tc>
          <w:tcPr>
            <w:tcW w:w="0" w:type="auto"/>
            <w:noWrap/>
          </w:tcPr>
          <w:p w14:paraId="5C66A045" w14:textId="71B0D8DB"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12/66 (18</w:t>
            </w:r>
            <w:r w:rsidR="009B49E1" w:rsidRPr="004B723C">
              <w:rPr>
                <w:rFonts w:cs="Times New Roman"/>
                <w:color w:val="000000"/>
                <w:sz w:val="18"/>
                <w:szCs w:val="18"/>
              </w:rPr>
              <w:t>.</w:t>
            </w:r>
            <w:r w:rsidRPr="004B723C">
              <w:rPr>
                <w:rFonts w:cs="Times New Roman"/>
                <w:color w:val="000000"/>
                <w:sz w:val="18"/>
                <w:szCs w:val="18"/>
              </w:rPr>
              <w:t>2%)</w:t>
            </w:r>
          </w:p>
        </w:tc>
        <w:tc>
          <w:tcPr>
            <w:tcW w:w="0" w:type="auto"/>
            <w:noWrap/>
          </w:tcPr>
          <w:p w14:paraId="681F65E2" w14:textId="287C481D"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86/308 (27</w:t>
            </w:r>
            <w:r w:rsidR="009B49E1" w:rsidRPr="004B723C">
              <w:rPr>
                <w:rFonts w:cs="Times New Roman"/>
                <w:color w:val="000000"/>
                <w:sz w:val="18"/>
                <w:szCs w:val="18"/>
              </w:rPr>
              <w:t>.</w:t>
            </w:r>
            <w:r w:rsidRPr="004B723C">
              <w:rPr>
                <w:rFonts w:cs="Times New Roman"/>
                <w:color w:val="000000"/>
                <w:sz w:val="18"/>
                <w:szCs w:val="18"/>
              </w:rPr>
              <w:t>9%)</w:t>
            </w:r>
          </w:p>
        </w:tc>
        <w:tc>
          <w:tcPr>
            <w:tcW w:w="0" w:type="auto"/>
            <w:noWrap/>
          </w:tcPr>
          <w:p w14:paraId="179481BF" w14:textId="42E7526F"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20/67 (29</w:t>
            </w:r>
            <w:r w:rsidR="009B49E1" w:rsidRPr="004B723C">
              <w:rPr>
                <w:rFonts w:cs="Times New Roman"/>
                <w:color w:val="000000"/>
                <w:sz w:val="18"/>
                <w:szCs w:val="18"/>
              </w:rPr>
              <w:t>.</w:t>
            </w:r>
            <w:r w:rsidRPr="004B723C">
              <w:rPr>
                <w:rFonts w:cs="Times New Roman"/>
                <w:color w:val="000000"/>
                <w:sz w:val="18"/>
                <w:szCs w:val="18"/>
              </w:rPr>
              <w:t>9%)</w:t>
            </w:r>
          </w:p>
        </w:tc>
        <w:tc>
          <w:tcPr>
            <w:tcW w:w="0" w:type="auto"/>
            <w:noWrap/>
          </w:tcPr>
          <w:p w14:paraId="37422C6B" w14:textId="3F523441"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26/106 (24</w:t>
            </w:r>
            <w:r w:rsidR="009B49E1" w:rsidRPr="004B723C">
              <w:rPr>
                <w:rFonts w:cs="Times New Roman"/>
                <w:color w:val="000000"/>
                <w:sz w:val="18"/>
                <w:szCs w:val="18"/>
              </w:rPr>
              <w:t>.</w:t>
            </w:r>
            <w:r w:rsidRPr="004B723C">
              <w:rPr>
                <w:rFonts w:cs="Times New Roman"/>
                <w:color w:val="000000"/>
                <w:sz w:val="18"/>
                <w:szCs w:val="18"/>
              </w:rPr>
              <w:t>5%)</w:t>
            </w:r>
          </w:p>
        </w:tc>
      </w:tr>
      <w:tr w:rsidR="00820648" w:rsidRPr="004B723C" w14:paraId="0351C32C" w14:textId="77777777" w:rsidTr="007F3A2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4C5E436C" w14:textId="11F25DE9" w:rsidR="00B872A1" w:rsidRPr="004B723C" w:rsidRDefault="001E1B1C" w:rsidP="00C72C10">
            <w:pPr>
              <w:spacing w:line="276" w:lineRule="auto"/>
              <w:rPr>
                <w:rFonts w:eastAsia="Times New Roman" w:cs="Times New Roman"/>
                <w:b/>
                <w:bCs/>
                <w:color w:val="000000"/>
                <w:sz w:val="18"/>
                <w:szCs w:val="18"/>
                <w:lang w:eastAsia="en-GB"/>
              </w:rPr>
            </w:pPr>
            <w:r w:rsidRPr="004B723C">
              <w:rPr>
                <w:sz w:val="18"/>
                <w:szCs w:val="18"/>
              </w:rPr>
              <w:lastRenderedPageBreak/>
              <w:t xml:space="preserve">Total MVI score </w:t>
            </w:r>
            <w:r w:rsidR="00582CCD" w:rsidRPr="004B723C">
              <w:rPr>
                <w:rFonts w:cs="Times New Roman"/>
                <w:color w:val="000000"/>
                <w:sz w:val="18"/>
                <w:szCs w:val="18"/>
              </w:rPr>
              <w:t xml:space="preserve">: </w:t>
            </w:r>
            <w:r w:rsidR="00B872A1" w:rsidRPr="004B723C">
              <w:rPr>
                <w:rFonts w:cs="Times New Roman"/>
                <w:color w:val="000000"/>
                <w:sz w:val="18"/>
                <w:szCs w:val="18"/>
              </w:rPr>
              <w:t xml:space="preserve"> 4</w:t>
            </w:r>
          </w:p>
        </w:tc>
        <w:tc>
          <w:tcPr>
            <w:tcW w:w="0" w:type="auto"/>
            <w:noWrap/>
          </w:tcPr>
          <w:p w14:paraId="574D6997" w14:textId="4FAB89D7"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77/547 (14</w:t>
            </w:r>
            <w:r w:rsidR="009B49E1" w:rsidRPr="004B723C">
              <w:rPr>
                <w:rFonts w:cs="Times New Roman"/>
                <w:color w:val="000000"/>
                <w:sz w:val="18"/>
                <w:szCs w:val="18"/>
              </w:rPr>
              <w:t>.</w:t>
            </w:r>
            <w:r w:rsidRPr="004B723C">
              <w:rPr>
                <w:rFonts w:cs="Times New Roman"/>
                <w:color w:val="000000"/>
                <w:sz w:val="18"/>
                <w:szCs w:val="18"/>
              </w:rPr>
              <w:t>1%)</w:t>
            </w:r>
          </w:p>
        </w:tc>
        <w:tc>
          <w:tcPr>
            <w:tcW w:w="0" w:type="auto"/>
            <w:noWrap/>
          </w:tcPr>
          <w:p w14:paraId="4FD8A59D" w14:textId="02D3C9FC"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7/66 (10</w:t>
            </w:r>
            <w:r w:rsidR="009B49E1" w:rsidRPr="004B723C">
              <w:rPr>
                <w:rFonts w:cs="Times New Roman"/>
                <w:color w:val="000000"/>
                <w:sz w:val="18"/>
                <w:szCs w:val="18"/>
              </w:rPr>
              <w:t>.</w:t>
            </w:r>
            <w:r w:rsidRPr="004B723C">
              <w:rPr>
                <w:rFonts w:cs="Times New Roman"/>
                <w:color w:val="000000"/>
                <w:sz w:val="18"/>
                <w:szCs w:val="18"/>
              </w:rPr>
              <w:t>6%)</w:t>
            </w:r>
          </w:p>
        </w:tc>
        <w:tc>
          <w:tcPr>
            <w:tcW w:w="0" w:type="auto"/>
            <w:noWrap/>
          </w:tcPr>
          <w:p w14:paraId="4556571F" w14:textId="11F889F6"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38/308 (12</w:t>
            </w:r>
            <w:r w:rsidR="009B49E1" w:rsidRPr="004B723C">
              <w:rPr>
                <w:rFonts w:cs="Times New Roman"/>
                <w:color w:val="000000"/>
                <w:sz w:val="18"/>
                <w:szCs w:val="18"/>
              </w:rPr>
              <w:t>.</w:t>
            </w:r>
            <w:r w:rsidRPr="004B723C">
              <w:rPr>
                <w:rFonts w:cs="Times New Roman"/>
                <w:color w:val="000000"/>
                <w:sz w:val="18"/>
                <w:szCs w:val="18"/>
              </w:rPr>
              <w:t>3%)</w:t>
            </w:r>
          </w:p>
        </w:tc>
        <w:tc>
          <w:tcPr>
            <w:tcW w:w="0" w:type="auto"/>
            <w:noWrap/>
          </w:tcPr>
          <w:p w14:paraId="1C5906FF" w14:textId="06D16BCE"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10/67 (14</w:t>
            </w:r>
            <w:r w:rsidR="009B49E1" w:rsidRPr="004B723C">
              <w:rPr>
                <w:rFonts w:cs="Times New Roman"/>
                <w:color w:val="000000"/>
                <w:sz w:val="18"/>
                <w:szCs w:val="18"/>
              </w:rPr>
              <w:t>.</w:t>
            </w:r>
            <w:r w:rsidRPr="004B723C">
              <w:rPr>
                <w:rFonts w:cs="Times New Roman"/>
                <w:color w:val="000000"/>
                <w:sz w:val="18"/>
                <w:szCs w:val="18"/>
              </w:rPr>
              <w:t>9%)</w:t>
            </w:r>
          </w:p>
        </w:tc>
        <w:tc>
          <w:tcPr>
            <w:tcW w:w="0" w:type="auto"/>
            <w:noWrap/>
          </w:tcPr>
          <w:p w14:paraId="1E6E2A19" w14:textId="2B216241"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22/106 (20</w:t>
            </w:r>
            <w:r w:rsidR="009B49E1" w:rsidRPr="004B723C">
              <w:rPr>
                <w:rFonts w:cs="Times New Roman"/>
                <w:color w:val="000000"/>
                <w:sz w:val="18"/>
                <w:szCs w:val="18"/>
              </w:rPr>
              <w:t>.</w:t>
            </w:r>
            <w:r w:rsidRPr="004B723C">
              <w:rPr>
                <w:rFonts w:cs="Times New Roman"/>
                <w:color w:val="000000"/>
                <w:sz w:val="18"/>
                <w:szCs w:val="18"/>
              </w:rPr>
              <w:t>8%)</w:t>
            </w:r>
          </w:p>
        </w:tc>
      </w:tr>
      <w:tr w:rsidR="00820648" w:rsidRPr="004B723C" w14:paraId="53BEF65C" w14:textId="77777777" w:rsidTr="007F3A2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55E28533" w14:textId="21ED1F10" w:rsidR="00B872A1" w:rsidRPr="004B723C" w:rsidRDefault="001E1B1C" w:rsidP="00C72C10">
            <w:pPr>
              <w:spacing w:line="276" w:lineRule="auto"/>
              <w:rPr>
                <w:rFonts w:eastAsia="Times New Roman" w:cs="Times New Roman"/>
                <w:b/>
                <w:bCs/>
                <w:color w:val="000000"/>
                <w:sz w:val="18"/>
                <w:szCs w:val="18"/>
                <w:lang w:eastAsia="en-GB"/>
              </w:rPr>
            </w:pPr>
            <w:r w:rsidRPr="004B723C">
              <w:rPr>
                <w:sz w:val="18"/>
                <w:szCs w:val="18"/>
              </w:rPr>
              <w:t xml:space="preserve">Total MVI score </w:t>
            </w:r>
            <w:r w:rsidR="00582CCD" w:rsidRPr="004B723C">
              <w:rPr>
                <w:rFonts w:cs="Times New Roman"/>
                <w:color w:val="000000"/>
                <w:sz w:val="18"/>
                <w:szCs w:val="18"/>
              </w:rPr>
              <w:t xml:space="preserve">: </w:t>
            </w:r>
            <w:r w:rsidR="00B872A1" w:rsidRPr="004B723C">
              <w:rPr>
                <w:rFonts w:cs="Times New Roman"/>
                <w:color w:val="000000"/>
                <w:sz w:val="18"/>
                <w:szCs w:val="18"/>
              </w:rPr>
              <w:t xml:space="preserve"> 5</w:t>
            </w:r>
          </w:p>
        </w:tc>
        <w:tc>
          <w:tcPr>
            <w:tcW w:w="0" w:type="auto"/>
            <w:noWrap/>
          </w:tcPr>
          <w:p w14:paraId="6E1CDAE7" w14:textId="3AC315BB"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47/547 (8</w:t>
            </w:r>
            <w:r w:rsidR="009B49E1" w:rsidRPr="004B723C">
              <w:rPr>
                <w:rFonts w:cs="Times New Roman"/>
                <w:color w:val="000000"/>
                <w:sz w:val="18"/>
                <w:szCs w:val="18"/>
              </w:rPr>
              <w:t>.</w:t>
            </w:r>
            <w:r w:rsidRPr="004B723C">
              <w:rPr>
                <w:rFonts w:cs="Times New Roman"/>
                <w:color w:val="000000"/>
                <w:sz w:val="18"/>
                <w:szCs w:val="18"/>
              </w:rPr>
              <w:t>6%)</w:t>
            </w:r>
          </w:p>
        </w:tc>
        <w:tc>
          <w:tcPr>
            <w:tcW w:w="0" w:type="auto"/>
            <w:noWrap/>
          </w:tcPr>
          <w:p w14:paraId="6406C6E7" w14:textId="69F3E13C"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2/66 (3%)</w:t>
            </w:r>
          </w:p>
        </w:tc>
        <w:tc>
          <w:tcPr>
            <w:tcW w:w="0" w:type="auto"/>
            <w:noWrap/>
          </w:tcPr>
          <w:p w14:paraId="730976D6" w14:textId="692570A9"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26/308 (8</w:t>
            </w:r>
            <w:r w:rsidR="009B49E1" w:rsidRPr="004B723C">
              <w:rPr>
                <w:rFonts w:cs="Times New Roman"/>
                <w:color w:val="000000"/>
                <w:sz w:val="18"/>
                <w:szCs w:val="18"/>
              </w:rPr>
              <w:t>.</w:t>
            </w:r>
            <w:r w:rsidRPr="004B723C">
              <w:rPr>
                <w:rFonts w:cs="Times New Roman"/>
                <w:color w:val="000000"/>
                <w:sz w:val="18"/>
                <w:szCs w:val="18"/>
              </w:rPr>
              <w:t>4%)</w:t>
            </w:r>
          </w:p>
        </w:tc>
        <w:tc>
          <w:tcPr>
            <w:tcW w:w="0" w:type="auto"/>
            <w:noWrap/>
          </w:tcPr>
          <w:p w14:paraId="4D20F7A9" w14:textId="4D09FDB7"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4/67 (6%)</w:t>
            </w:r>
          </w:p>
        </w:tc>
        <w:tc>
          <w:tcPr>
            <w:tcW w:w="0" w:type="auto"/>
            <w:noWrap/>
          </w:tcPr>
          <w:p w14:paraId="04C9FB6B" w14:textId="5C5FF968"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15/106 (14</w:t>
            </w:r>
            <w:r w:rsidR="009B49E1" w:rsidRPr="004B723C">
              <w:rPr>
                <w:rFonts w:cs="Times New Roman"/>
                <w:color w:val="000000"/>
                <w:sz w:val="18"/>
                <w:szCs w:val="18"/>
              </w:rPr>
              <w:t>.</w:t>
            </w:r>
            <w:r w:rsidRPr="004B723C">
              <w:rPr>
                <w:rFonts w:cs="Times New Roman"/>
                <w:color w:val="000000"/>
                <w:sz w:val="18"/>
                <w:szCs w:val="18"/>
              </w:rPr>
              <w:t>2%)</w:t>
            </w:r>
          </w:p>
        </w:tc>
      </w:tr>
      <w:tr w:rsidR="00820648" w:rsidRPr="004B723C" w14:paraId="2D55B896" w14:textId="77777777" w:rsidTr="007F3A2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2ABA3E68" w14:textId="0351890B" w:rsidR="00B872A1" w:rsidRPr="004B723C" w:rsidRDefault="001E1B1C" w:rsidP="00C72C10">
            <w:pPr>
              <w:spacing w:line="276" w:lineRule="auto"/>
              <w:rPr>
                <w:rFonts w:eastAsia="Times New Roman" w:cs="Times New Roman"/>
                <w:b/>
                <w:bCs/>
                <w:color w:val="000000"/>
                <w:sz w:val="18"/>
                <w:szCs w:val="18"/>
                <w:lang w:eastAsia="en-GB"/>
              </w:rPr>
            </w:pPr>
            <w:r w:rsidRPr="004B723C">
              <w:rPr>
                <w:sz w:val="18"/>
                <w:szCs w:val="18"/>
              </w:rPr>
              <w:t xml:space="preserve">Total MVI score </w:t>
            </w:r>
            <w:r w:rsidR="00582CCD" w:rsidRPr="004B723C">
              <w:rPr>
                <w:rFonts w:cs="Times New Roman"/>
                <w:color w:val="000000"/>
                <w:sz w:val="18"/>
                <w:szCs w:val="18"/>
              </w:rPr>
              <w:t xml:space="preserve">: </w:t>
            </w:r>
            <w:r w:rsidR="00B872A1" w:rsidRPr="004B723C">
              <w:rPr>
                <w:rFonts w:cs="Times New Roman"/>
                <w:color w:val="000000"/>
                <w:sz w:val="18"/>
                <w:szCs w:val="18"/>
              </w:rPr>
              <w:t xml:space="preserve"> 6</w:t>
            </w:r>
          </w:p>
        </w:tc>
        <w:tc>
          <w:tcPr>
            <w:tcW w:w="0" w:type="auto"/>
            <w:noWrap/>
          </w:tcPr>
          <w:p w14:paraId="45F8D3AD" w14:textId="68EFE7D7"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12/547 (2</w:t>
            </w:r>
            <w:r w:rsidR="009B49E1" w:rsidRPr="004B723C">
              <w:rPr>
                <w:rFonts w:cs="Times New Roman"/>
                <w:color w:val="000000"/>
                <w:sz w:val="18"/>
                <w:szCs w:val="18"/>
              </w:rPr>
              <w:t>.</w:t>
            </w:r>
            <w:r w:rsidRPr="004B723C">
              <w:rPr>
                <w:rFonts w:cs="Times New Roman"/>
                <w:color w:val="000000"/>
                <w:sz w:val="18"/>
                <w:szCs w:val="18"/>
              </w:rPr>
              <w:t>2%)</w:t>
            </w:r>
          </w:p>
        </w:tc>
        <w:tc>
          <w:tcPr>
            <w:tcW w:w="0" w:type="auto"/>
            <w:noWrap/>
          </w:tcPr>
          <w:p w14:paraId="75DD8104" w14:textId="2355B82B"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0/66 (0%)</w:t>
            </w:r>
          </w:p>
        </w:tc>
        <w:tc>
          <w:tcPr>
            <w:tcW w:w="0" w:type="auto"/>
            <w:noWrap/>
          </w:tcPr>
          <w:p w14:paraId="4DAB693E" w14:textId="569E13DF"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5/308 (1</w:t>
            </w:r>
            <w:r w:rsidR="009B49E1" w:rsidRPr="004B723C">
              <w:rPr>
                <w:rFonts w:cs="Times New Roman"/>
                <w:color w:val="000000"/>
                <w:sz w:val="18"/>
                <w:szCs w:val="18"/>
              </w:rPr>
              <w:t>.</w:t>
            </w:r>
            <w:r w:rsidRPr="004B723C">
              <w:rPr>
                <w:rFonts w:cs="Times New Roman"/>
                <w:color w:val="000000"/>
                <w:sz w:val="18"/>
                <w:szCs w:val="18"/>
              </w:rPr>
              <w:t>6%)</w:t>
            </w:r>
          </w:p>
        </w:tc>
        <w:tc>
          <w:tcPr>
            <w:tcW w:w="0" w:type="auto"/>
            <w:noWrap/>
          </w:tcPr>
          <w:p w14:paraId="43F153DA" w14:textId="1871B0B4"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0/67 (0%)</w:t>
            </w:r>
          </w:p>
        </w:tc>
        <w:tc>
          <w:tcPr>
            <w:tcW w:w="0" w:type="auto"/>
            <w:noWrap/>
          </w:tcPr>
          <w:p w14:paraId="1C2AB45B" w14:textId="096D3A04" w:rsidR="00B872A1" w:rsidRPr="004B723C" w:rsidRDefault="00B872A1"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7/106 (6</w:t>
            </w:r>
            <w:r w:rsidR="009B49E1" w:rsidRPr="004B723C">
              <w:rPr>
                <w:rFonts w:cs="Times New Roman"/>
                <w:color w:val="000000"/>
                <w:sz w:val="18"/>
                <w:szCs w:val="18"/>
              </w:rPr>
              <w:t>.</w:t>
            </w:r>
            <w:r w:rsidRPr="004B723C">
              <w:rPr>
                <w:rFonts w:cs="Times New Roman"/>
                <w:color w:val="000000"/>
                <w:sz w:val="18"/>
                <w:szCs w:val="18"/>
              </w:rPr>
              <w:t>6%)</w:t>
            </w:r>
          </w:p>
        </w:tc>
      </w:tr>
    </w:tbl>
    <w:p w14:paraId="747E8CBE" w14:textId="77777777" w:rsidR="003702BD" w:rsidRPr="004B723C" w:rsidRDefault="003702BD" w:rsidP="003702BD">
      <w:pPr>
        <w:spacing w:before="240" w:line="360" w:lineRule="auto"/>
      </w:pPr>
      <w:r w:rsidRPr="004B723C">
        <w:t>Abbreviations: AMR, antibody-mediated rejection; C4d, complement split product C4d; CMV, cytomegalovirus; D, donor; DSA, donor-specific antibody; HLA, human leukocyte antigen; IF, immunofluorescence; IHC, immunohistochemistry; R, recipient.</w:t>
      </w:r>
    </w:p>
    <w:p w14:paraId="07DAC219" w14:textId="77777777" w:rsidR="00D75B12" w:rsidRPr="004B723C" w:rsidRDefault="00D75B12" w:rsidP="007F3A2D">
      <w:pPr>
        <w:spacing w:line="360" w:lineRule="auto"/>
        <w:rPr>
          <w:rFonts w:cs="Times New Roman"/>
        </w:rPr>
      </w:pPr>
    </w:p>
    <w:p w14:paraId="07F83E45" w14:textId="77777777" w:rsidR="008F2DD5" w:rsidRPr="004B723C" w:rsidRDefault="008F2DD5" w:rsidP="007F3A2D">
      <w:pPr>
        <w:spacing w:line="360" w:lineRule="auto"/>
        <w:rPr>
          <w:rFonts w:cs="Times New Roman"/>
        </w:rPr>
        <w:sectPr w:rsidR="008F2DD5" w:rsidRPr="004B723C" w:rsidSect="00380509">
          <w:pgSz w:w="16838" w:h="11906" w:orient="landscape"/>
          <w:pgMar w:top="1417" w:right="1417" w:bottom="1417" w:left="1417" w:header="708" w:footer="708" w:gutter="0"/>
          <w:cols w:space="708"/>
          <w:docGrid w:linePitch="360"/>
        </w:sectPr>
      </w:pPr>
    </w:p>
    <w:p w14:paraId="0F342E65" w14:textId="4D9C0FB5" w:rsidR="00CF59F0" w:rsidRPr="004B723C" w:rsidRDefault="006752DC" w:rsidP="007F3A2D">
      <w:pPr>
        <w:pStyle w:val="Heading2"/>
      </w:pPr>
      <w:bookmarkStart w:id="4" w:name="_Toc216645089"/>
      <w:r w:rsidRPr="004B723C">
        <w:lastRenderedPageBreak/>
        <w:t xml:space="preserve">Table </w:t>
      </w:r>
      <w:r w:rsidR="00267FED" w:rsidRPr="004B723C">
        <w:t>S4</w:t>
      </w:r>
      <w:r w:rsidR="00B16CFB" w:rsidRPr="004B723C">
        <w:t>:</w:t>
      </w:r>
      <w:r w:rsidR="00D14A61" w:rsidRPr="004B723C">
        <w:t xml:space="preserve"> </w:t>
      </w:r>
      <w:r w:rsidR="00C22EA6" w:rsidRPr="004B723C">
        <w:t>Cox proportional hazards models for</w:t>
      </w:r>
      <w:r w:rsidR="00663206" w:rsidRPr="004B723C">
        <w:t xml:space="preserve"> CMV serostatus and</w:t>
      </w:r>
      <w:r w:rsidR="00C22EA6" w:rsidRPr="004B723C">
        <w:t xml:space="preserve"> first MVI</w:t>
      </w:r>
      <w:bookmarkEnd w:id="4"/>
    </w:p>
    <w:tbl>
      <w:tblPr>
        <w:tblStyle w:val="Nature"/>
        <w:tblW w:w="0" w:type="auto"/>
        <w:jc w:val="center"/>
        <w:tblLayout w:type="fixed"/>
        <w:tblLook w:val="04A0" w:firstRow="1" w:lastRow="0" w:firstColumn="1" w:lastColumn="0" w:noHBand="0" w:noVBand="1"/>
      </w:tblPr>
      <w:tblGrid>
        <w:gridCol w:w="2684"/>
        <w:gridCol w:w="850"/>
        <w:gridCol w:w="1134"/>
        <w:gridCol w:w="1418"/>
        <w:gridCol w:w="1559"/>
        <w:gridCol w:w="1134"/>
        <w:gridCol w:w="1134"/>
        <w:gridCol w:w="1417"/>
        <w:gridCol w:w="1418"/>
        <w:gridCol w:w="1236"/>
      </w:tblGrid>
      <w:tr w:rsidR="005E1957" w:rsidRPr="004B723C" w14:paraId="464A9B2E" w14:textId="77777777" w:rsidTr="00B01F74">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684" w:type="dxa"/>
            <w:noWrap/>
            <w:hideMark/>
          </w:tcPr>
          <w:p w14:paraId="7B935D1E" w14:textId="3E3B6117" w:rsidR="00B0565C" w:rsidRPr="004B723C" w:rsidRDefault="009B73F9" w:rsidP="00C72C10">
            <w:pPr>
              <w:spacing w:line="276" w:lineRule="auto"/>
              <w:rPr>
                <w:rFonts w:eastAsia="Times New Roman" w:cs="Times New Roman"/>
                <w:b/>
                <w:bCs/>
                <w:i w:val="0"/>
                <w:iCs w:val="0"/>
                <w:color w:val="000000"/>
                <w:sz w:val="18"/>
                <w:szCs w:val="18"/>
                <w:lang w:eastAsia="en-GB"/>
              </w:rPr>
            </w:pPr>
            <w:r>
              <w:rPr>
                <w:rFonts w:eastAsia="Times New Roman" w:cs="Times New Roman"/>
                <w:b/>
                <w:bCs/>
                <w:color w:val="000000"/>
                <w:sz w:val="18"/>
                <w:szCs w:val="18"/>
                <w:lang w:eastAsia="en-GB"/>
              </w:rPr>
              <w:t>Factors</w:t>
            </w:r>
          </w:p>
        </w:tc>
        <w:tc>
          <w:tcPr>
            <w:tcW w:w="850" w:type="dxa"/>
            <w:noWrap/>
            <w:hideMark/>
          </w:tcPr>
          <w:p w14:paraId="5F6845ED" w14:textId="77777777" w:rsidR="00B0565C" w:rsidRPr="004B723C" w:rsidRDefault="00B0565C" w:rsidP="00C72C10">
            <w:pPr>
              <w:spacing w:line="276" w:lineRule="auto"/>
              <w:cnfStyle w:val="100000000000" w:firstRow="1" w:lastRow="0" w:firstColumn="0" w:lastColumn="0" w:oddVBand="0" w:evenVBand="0" w:oddHBand="0" w:evenHBand="0" w:firstRowFirstColumn="0" w:firstRowLastColumn="0" w:lastRowFirstColumn="0" w:lastRowLastColumn="0"/>
              <w:rPr>
                <w:rFonts w:eastAsia="Times New Roman" w:cs="Times New Roman"/>
                <w:b/>
                <w:bCs/>
                <w:i w:val="0"/>
                <w:iCs w:val="0"/>
                <w:color w:val="000000"/>
                <w:sz w:val="18"/>
                <w:szCs w:val="18"/>
                <w:lang w:eastAsia="en-GB"/>
              </w:rPr>
            </w:pPr>
            <w:r w:rsidRPr="004B723C">
              <w:rPr>
                <w:rFonts w:eastAsia="Times New Roman" w:cs="Times New Roman"/>
                <w:b/>
                <w:bCs/>
                <w:color w:val="000000"/>
                <w:sz w:val="18"/>
                <w:szCs w:val="18"/>
                <w:lang w:eastAsia="en-GB"/>
              </w:rPr>
              <w:t>Level</w:t>
            </w:r>
          </w:p>
        </w:tc>
        <w:tc>
          <w:tcPr>
            <w:tcW w:w="1134" w:type="dxa"/>
            <w:noWrap/>
            <w:hideMark/>
          </w:tcPr>
          <w:p w14:paraId="3E4F8305" w14:textId="12ED759F" w:rsidR="00B0565C" w:rsidRPr="004B723C" w:rsidRDefault="00B0565C" w:rsidP="00C72C10">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i w:val="0"/>
                <w:iCs w:val="0"/>
                <w:color w:val="000000"/>
                <w:sz w:val="18"/>
                <w:szCs w:val="18"/>
                <w:lang w:eastAsia="en-GB"/>
              </w:rPr>
            </w:pPr>
            <w:r w:rsidRPr="004B723C">
              <w:rPr>
                <w:rFonts w:eastAsia="Times New Roman" w:cs="Times New Roman"/>
                <w:b/>
                <w:bCs/>
                <w:color w:val="000000"/>
                <w:sz w:val="18"/>
                <w:szCs w:val="18"/>
                <w:lang w:eastAsia="en-GB"/>
              </w:rPr>
              <w:t>Events/</w:t>
            </w:r>
            <w:r w:rsidR="00F966E7" w:rsidRPr="004B723C">
              <w:rPr>
                <w:rFonts w:eastAsia="Times New Roman" w:cs="Times New Roman"/>
                <w:b/>
                <w:bCs/>
                <w:color w:val="000000"/>
                <w:sz w:val="18"/>
                <w:szCs w:val="18"/>
                <w:lang w:eastAsia="en-GB"/>
              </w:rPr>
              <w:br/>
            </w:r>
            <w:r w:rsidRPr="004B723C">
              <w:rPr>
                <w:rFonts w:eastAsia="Times New Roman" w:cs="Times New Roman"/>
                <w:b/>
                <w:bCs/>
                <w:color w:val="000000"/>
                <w:sz w:val="18"/>
                <w:szCs w:val="18"/>
                <w:lang w:eastAsia="en-GB"/>
              </w:rPr>
              <w:t xml:space="preserve">N </w:t>
            </w:r>
            <w:r w:rsidR="00492FBC" w:rsidRPr="004B723C">
              <w:rPr>
                <w:rFonts w:eastAsia="Times New Roman" w:cs="Times New Roman"/>
                <w:b/>
                <w:bCs/>
                <w:color w:val="000000"/>
                <w:sz w:val="18"/>
                <w:szCs w:val="18"/>
                <w:lang w:eastAsia="en-GB"/>
              </w:rPr>
              <w:t>analyzed</w:t>
            </w:r>
          </w:p>
        </w:tc>
        <w:tc>
          <w:tcPr>
            <w:tcW w:w="1418" w:type="dxa"/>
            <w:noWrap/>
            <w:hideMark/>
          </w:tcPr>
          <w:p w14:paraId="0B621C34" w14:textId="0F8D9CF9" w:rsidR="00B0565C" w:rsidRPr="004B723C" w:rsidRDefault="00B0565C" w:rsidP="00C72C10">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i w:val="0"/>
                <w:iCs w:val="0"/>
                <w:color w:val="000000"/>
                <w:sz w:val="18"/>
                <w:szCs w:val="18"/>
                <w:lang w:eastAsia="en-GB"/>
              </w:rPr>
            </w:pPr>
            <w:r w:rsidRPr="004B723C">
              <w:rPr>
                <w:rFonts w:eastAsia="Times New Roman" w:cs="Times New Roman"/>
                <w:b/>
                <w:bCs/>
                <w:color w:val="000000"/>
                <w:sz w:val="18"/>
                <w:szCs w:val="18"/>
                <w:lang w:eastAsia="en-GB"/>
              </w:rPr>
              <w:t>Events (group)/</w:t>
            </w:r>
            <w:r w:rsidR="00F966E7" w:rsidRPr="004B723C">
              <w:rPr>
                <w:rFonts w:eastAsia="Times New Roman" w:cs="Times New Roman"/>
                <w:b/>
                <w:bCs/>
                <w:color w:val="000000"/>
                <w:sz w:val="18"/>
                <w:szCs w:val="18"/>
                <w:lang w:eastAsia="en-GB"/>
              </w:rPr>
              <w:br/>
            </w:r>
            <w:r w:rsidRPr="004B723C">
              <w:rPr>
                <w:rFonts w:eastAsia="Times New Roman" w:cs="Times New Roman"/>
                <w:b/>
                <w:bCs/>
                <w:color w:val="000000"/>
                <w:sz w:val="18"/>
                <w:szCs w:val="18"/>
                <w:lang w:eastAsia="en-GB"/>
              </w:rPr>
              <w:t>N (group)</w:t>
            </w:r>
          </w:p>
        </w:tc>
        <w:tc>
          <w:tcPr>
            <w:tcW w:w="1559" w:type="dxa"/>
            <w:noWrap/>
            <w:hideMark/>
          </w:tcPr>
          <w:p w14:paraId="4DE0B202" w14:textId="10B03AEA" w:rsidR="00B0565C" w:rsidRPr="004B723C" w:rsidRDefault="00B0565C" w:rsidP="00C72C10">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i w:val="0"/>
                <w:iCs w:val="0"/>
                <w:color w:val="000000"/>
                <w:sz w:val="18"/>
                <w:szCs w:val="18"/>
                <w:lang w:eastAsia="en-GB"/>
              </w:rPr>
            </w:pPr>
            <w:r w:rsidRPr="004B723C">
              <w:rPr>
                <w:rFonts w:eastAsia="Times New Roman" w:cs="Times New Roman"/>
                <w:b/>
                <w:bCs/>
                <w:color w:val="000000"/>
                <w:sz w:val="18"/>
                <w:szCs w:val="18"/>
                <w:lang w:eastAsia="en-GB"/>
              </w:rPr>
              <w:t>HR</w:t>
            </w:r>
            <w:r w:rsidR="00F966E7" w:rsidRPr="004B723C">
              <w:rPr>
                <w:rFonts w:eastAsia="Times New Roman" w:cs="Times New Roman"/>
                <w:b/>
                <w:bCs/>
                <w:color w:val="000000"/>
                <w:sz w:val="18"/>
                <w:szCs w:val="18"/>
                <w:lang w:eastAsia="en-GB"/>
              </w:rPr>
              <w:br/>
            </w:r>
            <w:r w:rsidRPr="004B723C">
              <w:rPr>
                <w:rFonts w:eastAsia="Times New Roman" w:cs="Times New Roman"/>
                <w:b/>
                <w:bCs/>
                <w:color w:val="000000"/>
                <w:sz w:val="18"/>
                <w:szCs w:val="18"/>
                <w:lang w:eastAsia="en-GB"/>
              </w:rPr>
              <w:t>(95% CI)</w:t>
            </w:r>
          </w:p>
        </w:tc>
        <w:tc>
          <w:tcPr>
            <w:tcW w:w="1134" w:type="dxa"/>
            <w:noWrap/>
            <w:hideMark/>
          </w:tcPr>
          <w:p w14:paraId="4019DCA1" w14:textId="47A5A6B5" w:rsidR="00B0565C" w:rsidRPr="004B723C" w:rsidRDefault="00AE37FE" w:rsidP="00C72C10">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i w:val="0"/>
                <w:iCs w:val="0"/>
                <w:color w:val="000000"/>
                <w:sz w:val="18"/>
                <w:szCs w:val="18"/>
                <w:lang w:eastAsia="en-GB"/>
              </w:rPr>
            </w:pPr>
            <w:r>
              <w:rPr>
                <w:rFonts w:eastAsia="Times New Roman" w:cs="Times New Roman"/>
                <w:b/>
                <w:bCs/>
                <w:color w:val="000000"/>
                <w:sz w:val="18"/>
                <w:szCs w:val="18"/>
                <w:lang w:eastAsia="en-GB"/>
              </w:rPr>
              <w:t>P</w:t>
            </w:r>
            <w:r w:rsidR="00B0565C" w:rsidRPr="004B723C">
              <w:rPr>
                <w:rFonts w:eastAsia="Times New Roman" w:cs="Times New Roman"/>
                <w:b/>
                <w:bCs/>
                <w:color w:val="000000"/>
                <w:sz w:val="18"/>
                <w:szCs w:val="18"/>
                <w:lang w:eastAsia="en-GB"/>
              </w:rPr>
              <w:t xml:space="preserve"> value</w:t>
            </w:r>
          </w:p>
        </w:tc>
        <w:tc>
          <w:tcPr>
            <w:tcW w:w="1134" w:type="dxa"/>
            <w:noWrap/>
            <w:hideMark/>
          </w:tcPr>
          <w:p w14:paraId="3B31E787" w14:textId="3AC61906" w:rsidR="00B0565C" w:rsidRPr="004B723C" w:rsidRDefault="00B0565C" w:rsidP="00C72C10">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i w:val="0"/>
                <w:iCs w:val="0"/>
                <w:color w:val="000000"/>
                <w:sz w:val="18"/>
                <w:szCs w:val="18"/>
                <w:lang w:eastAsia="en-GB"/>
              </w:rPr>
            </w:pPr>
            <w:r w:rsidRPr="004B723C">
              <w:rPr>
                <w:rFonts w:eastAsia="Times New Roman" w:cs="Times New Roman"/>
                <w:b/>
                <w:bCs/>
                <w:color w:val="000000"/>
                <w:sz w:val="18"/>
                <w:szCs w:val="18"/>
                <w:lang w:eastAsia="en-GB"/>
              </w:rPr>
              <w:t>Events/</w:t>
            </w:r>
            <w:r w:rsidR="00F966E7" w:rsidRPr="004B723C">
              <w:rPr>
                <w:rFonts w:eastAsia="Times New Roman" w:cs="Times New Roman"/>
                <w:b/>
                <w:bCs/>
                <w:color w:val="000000"/>
                <w:sz w:val="18"/>
                <w:szCs w:val="18"/>
                <w:lang w:eastAsia="en-GB"/>
              </w:rPr>
              <w:br/>
            </w:r>
            <w:r w:rsidRPr="004B723C">
              <w:rPr>
                <w:rFonts w:eastAsia="Times New Roman" w:cs="Times New Roman"/>
                <w:b/>
                <w:bCs/>
                <w:color w:val="000000"/>
                <w:sz w:val="18"/>
                <w:szCs w:val="18"/>
                <w:lang w:eastAsia="en-GB"/>
              </w:rPr>
              <w:t xml:space="preserve">N </w:t>
            </w:r>
            <w:r w:rsidR="00492FBC" w:rsidRPr="004B723C">
              <w:rPr>
                <w:rFonts w:eastAsia="Times New Roman" w:cs="Times New Roman"/>
                <w:b/>
                <w:bCs/>
                <w:color w:val="000000"/>
                <w:sz w:val="18"/>
                <w:szCs w:val="18"/>
                <w:lang w:eastAsia="en-GB"/>
              </w:rPr>
              <w:t>analyzed</w:t>
            </w:r>
          </w:p>
        </w:tc>
        <w:tc>
          <w:tcPr>
            <w:tcW w:w="1417" w:type="dxa"/>
            <w:noWrap/>
            <w:hideMark/>
          </w:tcPr>
          <w:p w14:paraId="048BF41F" w14:textId="0E92FB48" w:rsidR="00B0565C" w:rsidRPr="004B723C" w:rsidRDefault="00B0565C" w:rsidP="00C72C10">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i w:val="0"/>
                <w:iCs w:val="0"/>
                <w:sz w:val="18"/>
                <w:szCs w:val="18"/>
                <w:lang w:eastAsia="en-GB"/>
              </w:rPr>
            </w:pPr>
            <w:r w:rsidRPr="004B723C">
              <w:rPr>
                <w:rFonts w:eastAsia="Times New Roman" w:cs="Times New Roman"/>
                <w:b/>
                <w:bCs/>
                <w:color w:val="000000"/>
                <w:sz w:val="18"/>
                <w:szCs w:val="18"/>
                <w:lang w:eastAsia="en-GB"/>
              </w:rPr>
              <w:t>Events (group)/</w:t>
            </w:r>
            <w:r w:rsidR="00F966E7" w:rsidRPr="004B723C">
              <w:rPr>
                <w:rFonts w:eastAsia="Times New Roman" w:cs="Times New Roman"/>
                <w:b/>
                <w:bCs/>
                <w:color w:val="000000"/>
                <w:sz w:val="18"/>
                <w:szCs w:val="18"/>
                <w:lang w:eastAsia="en-GB"/>
              </w:rPr>
              <w:br/>
            </w:r>
            <w:r w:rsidRPr="004B723C">
              <w:rPr>
                <w:rFonts w:eastAsia="Times New Roman" w:cs="Times New Roman"/>
                <w:b/>
                <w:bCs/>
                <w:color w:val="000000"/>
                <w:sz w:val="18"/>
                <w:szCs w:val="18"/>
                <w:lang w:eastAsia="en-GB"/>
              </w:rPr>
              <w:t>N (group)</w:t>
            </w:r>
          </w:p>
        </w:tc>
        <w:tc>
          <w:tcPr>
            <w:tcW w:w="1418" w:type="dxa"/>
            <w:noWrap/>
            <w:hideMark/>
          </w:tcPr>
          <w:p w14:paraId="08210715" w14:textId="29C92AD3" w:rsidR="00B0565C" w:rsidRPr="004B723C" w:rsidRDefault="00B0565C" w:rsidP="00C72C10">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i w:val="0"/>
                <w:iCs w:val="0"/>
                <w:sz w:val="18"/>
                <w:szCs w:val="18"/>
                <w:lang w:eastAsia="en-GB"/>
              </w:rPr>
            </w:pPr>
            <w:r w:rsidRPr="004B723C">
              <w:rPr>
                <w:rFonts w:eastAsia="Times New Roman" w:cs="Times New Roman"/>
                <w:b/>
                <w:bCs/>
                <w:color w:val="000000"/>
                <w:sz w:val="18"/>
                <w:szCs w:val="18"/>
                <w:lang w:eastAsia="en-GB"/>
              </w:rPr>
              <w:t>Adjusted HR</w:t>
            </w:r>
            <w:r w:rsidR="00F966E7" w:rsidRPr="004B723C">
              <w:rPr>
                <w:rFonts w:eastAsia="Times New Roman" w:cs="Times New Roman"/>
                <w:b/>
                <w:bCs/>
                <w:color w:val="000000"/>
                <w:sz w:val="18"/>
                <w:szCs w:val="18"/>
                <w:lang w:eastAsia="en-GB"/>
              </w:rPr>
              <w:br/>
            </w:r>
            <w:r w:rsidRPr="004B723C">
              <w:rPr>
                <w:rFonts w:eastAsia="Times New Roman" w:cs="Times New Roman"/>
                <w:b/>
                <w:bCs/>
                <w:color w:val="000000"/>
                <w:sz w:val="18"/>
                <w:szCs w:val="18"/>
                <w:lang w:eastAsia="en-GB"/>
              </w:rPr>
              <w:t>(95% CI)</w:t>
            </w:r>
          </w:p>
        </w:tc>
        <w:tc>
          <w:tcPr>
            <w:tcW w:w="1236" w:type="dxa"/>
            <w:noWrap/>
            <w:hideMark/>
          </w:tcPr>
          <w:p w14:paraId="76195E7B" w14:textId="513341BF" w:rsidR="00B0565C" w:rsidRPr="004B723C" w:rsidRDefault="00AE37FE" w:rsidP="00C72C10">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i w:val="0"/>
                <w:iCs w:val="0"/>
                <w:sz w:val="18"/>
                <w:szCs w:val="18"/>
                <w:lang w:eastAsia="en-GB"/>
              </w:rPr>
            </w:pPr>
            <w:r>
              <w:rPr>
                <w:rFonts w:eastAsia="Times New Roman" w:cs="Times New Roman"/>
                <w:b/>
                <w:bCs/>
                <w:color w:val="000000"/>
                <w:sz w:val="18"/>
                <w:szCs w:val="18"/>
                <w:lang w:eastAsia="en-GB"/>
              </w:rPr>
              <w:t>P</w:t>
            </w:r>
            <w:r w:rsidR="00B0565C" w:rsidRPr="004B723C">
              <w:rPr>
                <w:rFonts w:eastAsia="Times New Roman" w:cs="Times New Roman"/>
                <w:b/>
                <w:bCs/>
                <w:color w:val="000000"/>
                <w:sz w:val="18"/>
                <w:szCs w:val="18"/>
                <w:lang w:eastAsia="en-GB"/>
              </w:rPr>
              <w:t xml:space="preserve"> value</w:t>
            </w:r>
          </w:p>
        </w:tc>
      </w:tr>
      <w:tr w:rsidR="00F966E7" w:rsidRPr="004B723C" w14:paraId="7DE43DCA" w14:textId="77777777" w:rsidTr="00B01F74">
        <w:trPr>
          <w:trHeight w:val="300"/>
          <w:jc w:val="center"/>
        </w:trPr>
        <w:tc>
          <w:tcPr>
            <w:cnfStyle w:val="001000000000" w:firstRow="0" w:lastRow="0" w:firstColumn="1" w:lastColumn="0" w:oddVBand="0" w:evenVBand="0" w:oddHBand="0" w:evenHBand="0" w:firstRowFirstColumn="0" w:firstRowLastColumn="0" w:lastRowFirstColumn="0" w:lastRowLastColumn="0"/>
            <w:tcW w:w="2684" w:type="dxa"/>
            <w:noWrap/>
          </w:tcPr>
          <w:p w14:paraId="3B1EEB44" w14:textId="77777777" w:rsidR="00B0565C" w:rsidRPr="004B723C" w:rsidRDefault="00B0565C" w:rsidP="00C72C10">
            <w:pPr>
              <w:spacing w:line="276" w:lineRule="auto"/>
              <w:rPr>
                <w:rFonts w:eastAsia="Times New Roman" w:cs="Times New Roman"/>
                <w:color w:val="000000"/>
                <w:sz w:val="18"/>
                <w:szCs w:val="18"/>
                <w:lang w:eastAsia="en-GB"/>
              </w:rPr>
            </w:pPr>
          </w:p>
        </w:tc>
        <w:tc>
          <w:tcPr>
            <w:tcW w:w="850" w:type="dxa"/>
            <w:noWrap/>
          </w:tcPr>
          <w:p w14:paraId="2C345B15" w14:textId="77777777" w:rsidR="00B0565C" w:rsidRPr="004B723C" w:rsidRDefault="00B0565C" w:rsidP="00C72C10">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5245" w:type="dxa"/>
            <w:gridSpan w:val="4"/>
            <w:noWrap/>
          </w:tcPr>
          <w:p w14:paraId="4D3307F6" w14:textId="5CBAC0DD" w:rsidR="00B0565C" w:rsidRPr="004B723C" w:rsidRDefault="00B0565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eastAsia="en-GB"/>
              </w:rPr>
            </w:pPr>
            <w:r w:rsidRPr="004B723C">
              <w:rPr>
                <w:rFonts w:eastAsia="Times New Roman" w:cs="Times New Roman"/>
                <w:b/>
                <w:bCs/>
                <w:color w:val="000000"/>
                <w:sz w:val="18"/>
                <w:szCs w:val="18"/>
                <w:lang w:eastAsia="en-GB"/>
              </w:rPr>
              <w:t xml:space="preserve">UNIVARIABLE </w:t>
            </w:r>
            <w:r w:rsidR="00E13E1E" w:rsidRPr="004B723C">
              <w:rPr>
                <w:rFonts w:eastAsia="Times New Roman" w:cs="Times New Roman"/>
                <w:b/>
                <w:bCs/>
                <w:color w:val="000000"/>
                <w:sz w:val="18"/>
                <w:szCs w:val="18"/>
                <w:lang w:eastAsia="en-GB"/>
              </w:rPr>
              <w:t>ANALYSIS</w:t>
            </w:r>
          </w:p>
        </w:tc>
        <w:tc>
          <w:tcPr>
            <w:tcW w:w="5205" w:type="dxa"/>
            <w:gridSpan w:val="4"/>
            <w:noWrap/>
          </w:tcPr>
          <w:p w14:paraId="1C582DDD" w14:textId="0385B548" w:rsidR="00B0565C" w:rsidRPr="004B723C" w:rsidRDefault="00B0565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eastAsia="en-GB"/>
              </w:rPr>
            </w:pPr>
            <w:r w:rsidRPr="004B723C">
              <w:rPr>
                <w:rFonts w:eastAsia="Times New Roman" w:cs="Times New Roman"/>
                <w:b/>
                <w:bCs/>
                <w:color w:val="000000"/>
                <w:sz w:val="18"/>
                <w:szCs w:val="18"/>
                <w:lang w:eastAsia="en-GB"/>
              </w:rPr>
              <w:t xml:space="preserve">MULTIVARIABLE </w:t>
            </w:r>
            <w:r w:rsidR="00E13E1E" w:rsidRPr="004B723C">
              <w:rPr>
                <w:rFonts w:eastAsia="Times New Roman" w:cs="Times New Roman"/>
                <w:b/>
                <w:bCs/>
                <w:color w:val="000000"/>
                <w:sz w:val="18"/>
                <w:szCs w:val="18"/>
                <w:lang w:eastAsia="en-GB"/>
              </w:rPr>
              <w:t>ANALYSIS</w:t>
            </w:r>
          </w:p>
        </w:tc>
      </w:tr>
      <w:tr w:rsidR="005E1957" w:rsidRPr="004B723C" w14:paraId="1FBE08D1" w14:textId="77777777" w:rsidTr="00B01F74">
        <w:trPr>
          <w:trHeight w:val="300"/>
          <w:jc w:val="center"/>
        </w:trPr>
        <w:tc>
          <w:tcPr>
            <w:cnfStyle w:val="001000000000" w:firstRow="0" w:lastRow="0" w:firstColumn="1" w:lastColumn="0" w:oddVBand="0" w:evenVBand="0" w:oddHBand="0" w:evenHBand="0" w:firstRowFirstColumn="0" w:firstRowLastColumn="0" w:lastRowFirstColumn="0" w:lastRowLastColumn="0"/>
            <w:tcW w:w="2684" w:type="dxa"/>
            <w:noWrap/>
            <w:hideMark/>
          </w:tcPr>
          <w:p w14:paraId="37300F59" w14:textId="77777777" w:rsidR="00B0565C" w:rsidRPr="004B723C" w:rsidRDefault="00B0565C" w:rsidP="00C72C10">
            <w:pPr>
              <w:spacing w:line="276" w:lineRule="auto"/>
              <w:rPr>
                <w:rFonts w:eastAsia="Times New Roman" w:cs="Times New Roman"/>
                <w:color w:val="000000"/>
                <w:sz w:val="18"/>
                <w:szCs w:val="18"/>
                <w:lang w:eastAsia="en-GB"/>
              </w:rPr>
            </w:pPr>
            <w:r w:rsidRPr="004B723C">
              <w:rPr>
                <w:rFonts w:eastAsia="Times New Roman" w:cs="Times New Roman"/>
                <w:color w:val="000000"/>
                <w:sz w:val="18"/>
                <w:szCs w:val="18"/>
                <w:lang w:eastAsia="en-GB"/>
              </w:rPr>
              <w:t>Calendar year of transplantation (per year)</w:t>
            </w:r>
          </w:p>
        </w:tc>
        <w:tc>
          <w:tcPr>
            <w:tcW w:w="850" w:type="dxa"/>
            <w:noWrap/>
            <w:hideMark/>
          </w:tcPr>
          <w:p w14:paraId="49C9A8CA" w14:textId="77777777" w:rsidR="00B0565C" w:rsidRPr="004B723C" w:rsidRDefault="00B0565C" w:rsidP="00C72C10">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w:t>
            </w:r>
          </w:p>
        </w:tc>
        <w:tc>
          <w:tcPr>
            <w:tcW w:w="1134" w:type="dxa"/>
            <w:noWrap/>
            <w:hideMark/>
          </w:tcPr>
          <w:p w14:paraId="585D36F5" w14:textId="77777777" w:rsidR="00B0565C" w:rsidRPr="004B723C" w:rsidRDefault="00B0565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529/3,713</w:t>
            </w:r>
          </w:p>
        </w:tc>
        <w:tc>
          <w:tcPr>
            <w:tcW w:w="1418" w:type="dxa"/>
            <w:noWrap/>
            <w:hideMark/>
          </w:tcPr>
          <w:p w14:paraId="0B122C39" w14:textId="77777777" w:rsidR="00B0565C" w:rsidRPr="004B723C" w:rsidRDefault="00B0565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w:t>
            </w:r>
          </w:p>
        </w:tc>
        <w:tc>
          <w:tcPr>
            <w:tcW w:w="1559" w:type="dxa"/>
            <w:noWrap/>
            <w:hideMark/>
          </w:tcPr>
          <w:p w14:paraId="53374AAB" w14:textId="24AEEC86" w:rsidR="00B0565C" w:rsidRPr="004B723C" w:rsidRDefault="00B0565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0</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97 (0</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95–0</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98)</w:t>
            </w:r>
          </w:p>
        </w:tc>
        <w:tc>
          <w:tcPr>
            <w:tcW w:w="1134" w:type="dxa"/>
            <w:noWrap/>
            <w:hideMark/>
          </w:tcPr>
          <w:p w14:paraId="0B38524C" w14:textId="69945148" w:rsidR="00B0565C" w:rsidRPr="004B723C" w:rsidRDefault="00D53FD9"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1.72 × 10</w:t>
            </w:r>
            <w:r w:rsidRPr="004B723C">
              <w:rPr>
                <w:rFonts w:eastAsia="Times New Roman" w:cs="Times New Roman"/>
                <w:color w:val="000000"/>
                <w:sz w:val="18"/>
                <w:szCs w:val="18"/>
                <w:vertAlign w:val="superscript"/>
                <w:lang w:eastAsia="en-GB"/>
              </w:rPr>
              <w:t>-4</w:t>
            </w:r>
          </w:p>
        </w:tc>
        <w:tc>
          <w:tcPr>
            <w:tcW w:w="1134" w:type="dxa"/>
            <w:noWrap/>
            <w:hideMark/>
          </w:tcPr>
          <w:p w14:paraId="0AB9EEBA" w14:textId="77777777" w:rsidR="00B0565C" w:rsidRPr="004B723C" w:rsidRDefault="00B0565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526/3,693</w:t>
            </w:r>
          </w:p>
        </w:tc>
        <w:tc>
          <w:tcPr>
            <w:tcW w:w="1417" w:type="dxa"/>
            <w:noWrap/>
            <w:hideMark/>
          </w:tcPr>
          <w:p w14:paraId="1A080321" w14:textId="77777777" w:rsidR="00B0565C" w:rsidRPr="004B723C" w:rsidRDefault="00B0565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w:t>
            </w:r>
          </w:p>
        </w:tc>
        <w:tc>
          <w:tcPr>
            <w:tcW w:w="1418" w:type="dxa"/>
            <w:noWrap/>
            <w:hideMark/>
          </w:tcPr>
          <w:p w14:paraId="406CCD40" w14:textId="2B486820" w:rsidR="00B0565C" w:rsidRPr="004B723C" w:rsidRDefault="00B0565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0</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94 (0</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92–0</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96)</w:t>
            </w:r>
          </w:p>
        </w:tc>
        <w:tc>
          <w:tcPr>
            <w:tcW w:w="1236" w:type="dxa"/>
            <w:noWrap/>
            <w:hideMark/>
          </w:tcPr>
          <w:p w14:paraId="290AD5EF" w14:textId="188164D9" w:rsidR="00B0565C" w:rsidRPr="004B723C" w:rsidRDefault="00D53FD9"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8.37 × 10</w:t>
            </w:r>
            <w:r w:rsidRPr="004B723C">
              <w:rPr>
                <w:rFonts w:eastAsia="Times New Roman" w:cs="Times New Roman"/>
                <w:color w:val="000000"/>
                <w:sz w:val="18"/>
                <w:szCs w:val="18"/>
                <w:vertAlign w:val="superscript"/>
                <w:lang w:eastAsia="en-GB"/>
              </w:rPr>
              <w:t>-7</w:t>
            </w:r>
          </w:p>
        </w:tc>
      </w:tr>
      <w:tr w:rsidR="005E1957" w:rsidRPr="004B723C" w14:paraId="65FE8F45" w14:textId="77777777" w:rsidTr="00B01F74">
        <w:trPr>
          <w:trHeight w:val="300"/>
          <w:jc w:val="center"/>
        </w:trPr>
        <w:tc>
          <w:tcPr>
            <w:cnfStyle w:val="001000000000" w:firstRow="0" w:lastRow="0" w:firstColumn="1" w:lastColumn="0" w:oddVBand="0" w:evenVBand="0" w:oddHBand="0" w:evenHBand="0" w:firstRowFirstColumn="0" w:firstRowLastColumn="0" w:lastRowFirstColumn="0" w:lastRowLastColumn="0"/>
            <w:tcW w:w="2684" w:type="dxa"/>
            <w:noWrap/>
            <w:hideMark/>
          </w:tcPr>
          <w:p w14:paraId="58650F58" w14:textId="77777777" w:rsidR="00B0565C" w:rsidRPr="004B723C" w:rsidRDefault="00B0565C" w:rsidP="00C72C10">
            <w:pPr>
              <w:spacing w:line="276" w:lineRule="auto"/>
              <w:rPr>
                <w:rFonts w:eastAsia="Times New Roman" w:cs="Times New Roman"/>
                <w:color w:val="000000"/>
                <w:sz w:val="18"/>
                <w:szCs w:val="18"/>
                <w:lang w:eastAsia="en-GB"/>
              </w:rPr>
            </w:pPr>
            <w:r w:rsidRPr="004B723C">
              <w:rPr>
                <w:rFonts w:eastAsia="Times New Roman" w:cs="Times New Roman"/>
                <w:color w:val="000000"/>
                <w:sz w:val="18"/>
                <w:szCs w:val="18"/>
                <w:lang w:eastAsia="en-GB"/>
              </w:rPr>
              <w:t>Centre</w:t>
            </w:r>
          </w:p>
        </w:tc>
        <w:tc>
          <w:tcPr>
            <w:tcW w:w="850" w:type="dxa"/>
            <w:noWrap/>
            <w:hideMark/>
          </w:tcPr>
          <w:p w14:paraId="380A7F82" w14:textId="77777777" w:rsidR="00B0565C" w:rsidRPr="004B723C" w:rsidRDefault="00B0565C" w:rsidP="00C72C10">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Basel</w:t>
            </w:r>
          </w:p>
        </w:tc>
        <w:tc>
          <w:tcPr>
            <w:tcW w:w="1134" w:type="dxa"/>
            <w:noWrap/>
            <w:hideMark/>
          </w:tcPr>
          <w:p w14:paraId="05CA5E38" w14:textId="77777777" w:rsidR="00B0565C" w:rsidRPr="004B723C" w:rsidRDefault="00B0565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529/3,713</w:t>
            </w:r>
          </w:p>
        </w:tc>
        <w:tc>
          <w:tcPr>
            <w:tcW w:w="1418" w:type="dxa"/>
            <w:noWrap/>
            <w:hideMark/>
          </w:tcPr>
          <w:p w14:paraId="3F8D4277" w14:textId="77777777" w:rsidR="00B0565C" w:rsidRPr="004B723C" w:rsidRDefault="00B0565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66/460</w:t>
            </w:r>
          </w:p>
        </w:tc>
        <w:tc>
          <w:tcPr>
            <w:tcW w:w="1559" w:type="dxa"/>
            <w:noWrap/>
            <w:hideMark/>
          </w:tcPr>
          <w:p w14:paraId="293BAAF2" w14:textId="37069201" w:rsidR="00B0565C" w:rsidRPr="004B723C" w:rsidRDefault="00D45F56"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Ref.</w:t>
            </w:r>
          </w:p>
        </w:tc>
        <w:tc>
          <w:tcPr>
            <w:tcW w:w="1134" w:type="dxa"/>
            <w:noWrap/>
            <w:hideMark/>
          </w:tcPr>
          <w:p w14:paraId="7119C5FA" w14:textId="121BFA8C" w:rsidR="00B0565C" w:rsidRPr="004B723C" w:rsidRDefault="00D45F56"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Ref.</w:t>
            </w:r>
          </w:p>
        </w:tc>
        <w:tc>
          <w:tcPr>
            <w:tcW w:w="1134" w:type="dxa"/>
            <w:noWrap/>
            <w:hideMark/>
          </w:tcPr>
          <w:p w14:paraId="04CCED47" w14:textId="77777777" w:rsidR="00B0565C" w:rsidRPr="004B723C" w:rsidRDefault="00B0565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526/3,693</w:t>
            </w:r>
          </w:p>
        </w:tc>
        <w:tc>
          <w:tcPr>
            <w:tcW w:w="1417" w:type="dxa"/>
            <w:noWrap/>
            <w:hideMark/>
          </w:tcPr>
          <w:p w14:paraId="44B76E2C" w14:textId="77777777" w:rsidR="00B0565C" w:rsidRPr="004B723C" w:rsidRDefault="00B0565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66/460</w:t>
            </w:r>
          </w:p>
        </w:tc>
        <w:tc>
          <w:tcPr>
            <w:tcW w:w="1418" w:type="dxa"/>
            <w:noWrap/>
            <w:hideMark/>
          </w:tcPr>
          <w:p w14:paraId="4C0A5C5C" w14:textId="56677997" w:rsidR="00B0565C" w:rsidRPr="004B723C" w:rsidRDefault="00D45F56"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Ref.</w:t>
            </w:r>
          </w:p>
        </w:tc>
        <w:tc>
          <w:tcPr>
            <w:tcW w:w="1236" w:type="dxa"/>
            <w:noWrap/>
            <w:hideMark/>
          </w:tcPr>
          <w:p w14:paraId="44860F1C" w14:textId="5AB0808D" w:rsidR="00B0565C" w:rsidRPr="004B723C" w:rsidRDefault="00D45F56"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Ref.</w:t>
            </w:r>
          </w:p>
        </w:tc>
      </w:tr>
      <w:tr w:rsidR="005E1957" w:rsidRPr="004B723C" w14:paraId="14C57D4D" w14:textId="77777777" w:rsidTr="00B01F74">
        <w:trPr>
          <w:trHeight w:val="300"/>
          <w:jc w:val="center"/>
        </w:trPr>
        <w:tc>
          <w:tcPr>
            <w:cnfStyle w:val="001000000000" w:firstRow="0" w:lastRow="0" w:firstColumn="1" w:lastColumn="0" w:oddVBand="0" w:evenVBand="0" w:oddHBand="0" w:evenHBand="0" w:firstRowFirstColumn="0" w:firstRowLastColumn="0" w:lastRowFirstColumn="0" w:lastRowLastColumn="0"/>
            <w:tcW w:w="2684" w:type="dxa"/>
            <w:noWrap/>
          </w:tcPr>
          <w:p w14:paraId="71CB2BB2" w14:textId="2E83BC89" w:rsidR="00B0565C" w:rsidRPr="004B723C" w:rsidRDefault="00B0565C" w:rsidP="00C72C10">
            <w:pPr>
              <w:spacing w:line="276" w:lineRule="auto"/>
              <w:rPr>
                <w:rFonts w:eastAsia="Times New Roman" w:cs="Times New Roman"/>
                <w:color w:val="000000"/>
                <w:sz w:val="18"/>
                <w:szCs w:val="18"/>
                <w:lang w:eastAsia="en-GB"/>
              </w:rPr>
            </w:pPr>
          </w:p>
        </w:tc>
        <w:tc>
          <w:tcPr>
            <w:tcW w:w="850" w:type="dxa"/>
            <w:noWrap/>
            <w:hideMark/>
          </w:tcPr>
          <w:p w14:paraId="1A583F81" w14:textId="77777777" w:rsidR="00B0565C" w:rsidRPr="004B723C" w:rsidRDefault="00B0565C" w:rsidP="00C72C10">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Leuven</w:t>
            </w:r>
          </w:p>
        </w:tc>
        <w:tc>
          <w:tcPr>
            <w:tcW w:w="1134" w:type="dxa"/>
            <w:noWrap/>
          </w:tcPr>
          <w:p w14:paraId="46890ACF" w14:textId="5089A0B5" w:rsidR="00B0565C" w:rsidRPr="004B723C" w:rsidRDefault="00B0565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418" w:type="dxa"/>
            <w:noWrap/>
            <w:hideMark/>
          </w:tcPr>
          <w:p w14:paraId="127083F7" w14:textId="77777777" w:rsidR="00B0565C" w:rsidRPr="004B723C" w:rsidRDefault="00B0565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297/1,805</w:t>
            </w:r>
          </w:p>
        </w:tc>
        <w:tc>
          <w:tcPr>
            <w:tcW w:w="1559" w:type="dxa"/>
            <w:noWrap/>
            <w:hideMark/>
          </w:tcPr>
          <w:p w14:paraId="01834944" w14:textId="40AAF7B3" w:rsidR="00B0565C" w:rsidRPr="004B723C" w:rsidRDefault="00B0565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0</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88 (0</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67–1</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16)</w:t>
            </w:r>
          </w:p>
        </w:tc>
        <w:tc>
          <w:tcPr>
            <w:tcW w:w="1134" w:type="dxa"/>
            <w:noWrap/>
            <w:hideMark/>
          </w:tcPr>
          <w:p w14:paraId="249E6177" w14:textId="79ED670A" w:rsidR="00B0565C" w:rsidRPr="004B723C" w:rsidRDefault="00B0565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0</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36</w:t>
            </w:r>
          </w:p>
        </w:tc>
        <w:tc>
          <w:tcPr>
            <w:tcW w:w="1134" w:type="dxa"/>
            <w:noWrap/>
          </w:tcPr>
          <w:p w14:paraId="6B0DC8B4" w14:textId="4AE7310C" w:rsidR="00B0565C" w:rsidRPr="004B723C" w:rsidRDefault="00B0565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417" w:type="dxa"/>
            <w:noWrap/>
            <w:hideMark/>
          </w:tcPr>
          <w:p w14:paraId="0AD988C2" w14:textId="77777777" w:rsidR="00B0565C" w:rsidRPr="004B723C" w:rsidRDefault="00B0565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296/1,804</w:t>
            </w:r>
          </w:p>
        </w:tc>
        <w:tc>
          <w:tcPr>
            <w:tcW w:w="1418" w:type="dxa"/>
            <w:noWrap/>
            <w:hideMark/>
          </w:tcPr>
          <w:p w14:paraId="566030CC" w14:textId="10AB2094" w:rsidR="00B0565C" w:rsidRPr="004B723C" w:rsidRDefault="00B0565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0</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82 (0</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58–1</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15)</w:t>
            </w:r>
          </w:p>
        </w:tc>
        <w:tc>
          <w:tcPr>
            <w:tcW w:w="1236" w:type="dxa"/>
            <w:noWrap/>
            <w:hideMark/>
          </w:tcPr>
          <w:p w14:paraId="433CF666" w14:textId="100D95ED" w:rsidR="00B0565C" w:rsidRPr="004B723C" w:rsidRDefault="00B0565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0</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25</w:t>
            </w:r>
          </w:p>
        </w:tc>
      </w:tr>
      <w:tr w:rsidR="005E1957" w:rsidRPr="004B723C" w14:paraId="2E42D717" w14:textId="77777777" w:rsidTr="00B01F74">
        <w:trPr>
          <w:trHeight w:val="300"/>
          <w:jc w:val="center"/>
        </w:trPr>
        <w:tc>
          <w:tcPr>
            <w:cnfStyle w:val="001000000000" w:firstRow="0" w:lastRow="0" w:firstColumn="1" w:lastColumn="0" w:oddVBand="0" w:evenVBand="0" w:oddHBand="0" w:evenHBand="0" w:firstRowFirstColumn="0" w:firstRowLastColumn="0" w:lastRowFirstColumn="0" w:lastRowLastColumn="0"/>
            <w:tcW w:w="2684" w:type="dxa"/>
            <w:noWrap/>
          </w:tcPr>
          <w:p w14:paraId="7764A911" w14:textId="77777777" w:rsidR="00B0565C" w:rsidRPr="004B723C" w:rsidRDefault="00B0565C" w:rsidP="00C72C10">
            <w:pPr>
              <w:spacing w:line="276" w:lineRule="auto"/>
              <w:rPr>
                <w:rFonts w:eastAsia="Times New Roman" w:cs="Times New Roman"/>
                <w:color w:val="000000"/>
                <w:sz w:val="18"/>
                <w:szCs w:val="18"/>
                <w:lang w:eastAsia="en-GB"/>
              </w:rPr>
            </w:pPr>
          </w:p>
        </w:tc>
        <w:tc>
          <w:tcPr>
            <w:tcW w:w="850" w:type="dxa"/>
            <w:noWrap/>
            <w:hideMark/>
          </w:tcPr>
          <w:p w14:paraId="6BB6F6EC" w14:textId="77777777" w:rsidR="00B0565C" w:rsidRPr="004B723C" w:rsidRDefault="00B0565C" w:rsidP="00C72C10">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Prague</w:t>
            </w:r>
          </w:p>
        </w:tc>
        <w:tc>
          <w:tcPr>
            <w:tcW w:w="1134" w:type="dxa"/>
            <w:noWrap/>
          </w:tcPr>
          <w:p w14:paraId="652B9E6A" w14:textId="2251656A" w:rsidR="00B0565C" w:rsidRPr="004B723C" w:rsidRDefault="00B0565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418" w:type="dxa"/>
            <w:noWrap/>
            <w:hideMark/>
          </w:tcPr>
          <w:p w14:paraId="55692AE3" w14:textId="77777777" w:rsidR="00B0565C" w:rsidRPr="004B723C" w:rsidRDefault="00B0565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67/786</w:t>
            </w:r>
          </w:p>
        </w:tc>
        <w:tc>
          <w:tcPr>
            <w:tcW w:w="1559" w:type="dxa"/>
            <w:noWrap/>
            <w:hideMark/>
          </w:tcPr>
          <w:p w14:paraId="3E9F3343" w14:textId="2FC9A9DA" w:rsidR="00B0565C" w:rsidRPr="004B723C" w:rsidRDefault="00B0565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0</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81 (0</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57–1</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14)</w:t>
            </w:r>
          </w:p>
        </w:tc>
        <w:tc>
          <w:tcPr>
            <w:tcW w:w="1134" w:type="dxa"/>
            <w:noWrap/>
            <w:hideMark/>
          </w:tcPr>
          <w:p w14:paraId="7C7E6149" w14:textId="6685D61A" w:rsidR="00B0565C" w:rsidRPr="004B723C" w:rsidRDefault="00B0565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0</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22</w:t>
            </w:r>
          </w:p>
        </w:tc>
        <w:tc>
          <w:tcPr>
            <w:tcW w:w="1134" w:type="dxa"/>
            <w:noWrap/>
          </w:tcPr>
          <w:p w14:paraId="17672675" w14:textId="27AC54FF" w:rsidR="00B0565C" w:rsidRPr="004B723C" w:rsidRDefault="00B0565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417" w:type="dxa"/>
            <w:noWrap/>
            <w:hideMark/>
          </w:tcPr>
          <w:p w14:paraId="6B3B1092" w14:textId="77777777" w:rsidR="00B0565C" w:rsidRPr="004B723C" w:rsidRDefault="00B0565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67/782</w:t>
            </w:r>
          </w:p>
        </w:tc>
        <w:tc>
          <w:tcPr>
            <w:tcW w:w="1418" w:type="dxa"/>
            <w:noWrap/>
            <w:hideMark/>
          </w:tcPr>
          <w:p w14:paraId="53F7A879" w14:textId="59C17FD7" w:rsidR="00B0565C" w:rsidRPr="004B723C" w:rsidRDefault="00B0565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0</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99 (0</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68–1</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44)</w:t>
            </w:r>
          </w:p>
        </w:tc>
        <w:tc>
          <w:tcPr>
            <w:tcW w:w="1236" w:type="dxa"/>
            <w:noWrap/>
            <w:hideMark/>
          </w:tcPr>
          <w:p w14:paraId="5F07187A" w14:textId="6F5236E4" w:rsidR="00B0565C" w:rsidRPr="004B723C" w:rsidRDefault="00B0565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0</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96</w:t>
            </w:r>
          </w:p>
        </w:tc>
      </w:tr>
      <w:tr w:rsidR="005E1957" w:rsidRPr="004B723C" w14:paraId="7A94C300" w14:textId="77777777" w:rsidTr="00B01F74">
        <w:trPr>
          <w:trHeight w:val="300"/>
          <w:jc w:val="center"/>
        </w:trPr>
        <w:tc>
          <w:tcPr>
            <w:cnfStyle w:val="001000000000" w:firstRow="0" w:lastRow="0" w:firstColumn="1" w:lastColumn="0" w:oddVBand="0" w:evenVBand="0" w:oddHBand="0" w:evenHBand="0" w:firstRowFirstColumn="0" w:firstRowLastColumn="0" w:lastRowFirstColumn="0" w:lastRowLastColumn="0"/>
            <w:tcW w:w="2684" w:type="dxa"/>
            <w:noWrap/>
          </w:tcPr>
          <w:p w14:paraId="55424DDE" w14:textId="0EE4AD63" w:rsidR="00B0565C" w:rsidRPr="004B723C" w:rsidRDefault="00B0565C" w:rsidP="00C72C10">
            <w:pPr>
              <w:spacing w:line="276" w:lineRule="auto"/>
              <w:rPr>
                <w:rFonts w:eastAsia="Times New Roman" w:cs="Times New Roman"/>
                <w:color w:val="000000"/>
                <w:sz w:val="18"/>
                <w:szCs w:val="18"/>
                <w:lang w:eastAsia="en-GB"/>
              </w:rPr>
            </w:pPr>
          </w:p>
        </w:tc>
        <w:tc>
          <w:tcPr>
            <w:tcW w:w="850" w:type="dxa"/>
            <w:noWrap/>
            <w:hideMark/>
          </w:tcPr>
          <w:p w14:paraId="6BB2268C" w14:textId="77777777" w:rsidR="00B0565C" w:rsidRPr="004B723C" w:rsidRDefault="00B0565C" w:rsidP="00C72C10">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Vienna</w:t>
            </w:r>
          </w:p>
        </w:tc>
        <w:tc>
          <w:tcPr>
            <w:tcW w:w="1134" w:type="dxa"/>
            <w:noWrap/>
          </w:tcPr>
          <w:p w14:paraId="2C7DAE17" w14:textId="19458B0A" w:rsidR="00B0565C" w:rsidRPr="004B723C" w:rsidRDefault="00B0565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418" w:type="dxa"/>
            <w:noWrap/>
            <w:hideMark/>
          </w:tcPr>
          <w:p w14:paraId="6C8C6B1D" w14:textId="77777777" w:rsidR="00B0565C" w:rsidRPr="004B723C" w:rsidRDefault="00B0565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99/662</w:t>
            </w:r>
          </w:p>
        </w:tc>
        <w:tc>
          <w:tcPr>
            <w:tcW w:w="1559" w:type="dxa"/>
            <w:noWrap/>
            <w:hideMark/>
          </w:tcPr>
          <w:p w14:paraId="61F631AB" w14:textId="0D5B799A" w:rsidR="00B0565C" w:rsidRPr="004B723C" w:rsidRDefault="00B0565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1</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12 (0</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82–1</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53)</w:t>
            </w:r>
          </w:p>
        </w:tc>
        <w:tc>
          <w:tcPr>
            <w:tcW w:w="1134" w:type="dxa"/>
            <w:noWrap/>
            <w:hideMark/>
          </w:tcPr>
          <w:p w14:paraId="3CDC49F5" w14:textId="0954C5DE" w:rsidR="00B0565C" w:rsidRPr="004B723C" w:rsidRDefault="00B0565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0</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49</w:t>
            </w:r>
          </w:p>
        </w:tc>
        <w:tc>
          <w:tcPr>
            <w:tcW w:w="1134" w:type="dxa"/>
            <w:noWrap/>
          </w:tcPr>
          <w:p w14:paraId="6A0E17DD" w14:textId="1BF3AE4A" w:rsidR="00B0565C" w:rsidRPr="004B723C" w:rsidRDefault="00B0565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417" w:type="dxa"/>
            <w:noWrap/>
            <w:hideMark/>
          </w:tcPr>
          <w:p w14:paraId="39B66DA6" w14:textId="77777777" w:rsidR="00B0565C" w:rsidRPr="004B723C" w:rsidRDefault="00B0565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97/647</w:t>
            </w:r>
          </w:p>
        </w:tc>
        <w:tc>
          <w:tcPr>
            <w:tcW w:w="1418" w:type="dxa"/>
            <w:noWrap/>
            <w:hideMark/>
          </w:tcPr>
          <w:p w14:paraId="26995684" w14:textId="349CC342" w:rsidR="00B0565C" w:rsidRPr="004B723C" w:rsidRDefault="00B0565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0</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87 (0</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62–1</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23)</w:t>
            </w:r>
          </w:p>
        </w:tc>
        <w:tc>
          <w:tcPr>
            <w:tcW w:w="1236" w:type="dxa"/>
            <w:noWrap/>
            <w:hideMark/>
          </w:tcPr>
          <w:p w14:paraId="6398DE4B" w14:textId="7CFB975C" w:rsidR="00B0565C" w:rsidRPr="004B723C" w:rsidRDefault="00B0565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0</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44</w:t>
            </w:r>
          </w:p>
        </w:tc>
      </w:tr>
      <w:tr w:rsidR="005E1957" w:rsidRPr="004B723C" w14:paraId="7EBECDCF" w14:textId="77777777" w:rsidTr="00B01F74">
        <w:trPr>
          <w:trHeight w:val="300"/>
          <w:jc w:val="center"/>
        </w:trPr>
        <w:tc>
          <w:tcPr>
            <w:cnfStyle w:val="001000000000" w:firstRow="0" w:lastRow="0" w:firstColumn="1" w:lastColumn="0" w:oddVBand="0" w:evenVBand="0" w:oddHBand="0" w:evenHBand="0" w:firstRowFirstColumn="0" w:firstRowLastColumn="0" w:lastRowFirstColumn="0" w:lastRowLastColumn="0"/>
            <w:tcW w:w="2684" w:type="dxa"/>
            <w:noWrap/>
            <w:hideMark/>
          </w:tcPr>
          <w:p w14:paraId="3809DC73" w14:textId="5AEAA333" w:rsidR="00B0565C" w:rsidRPr="004B723C" w:rsidRDefault="00B0565C" w:rsidP="00C72C10">
            <w:pPr>
              <w:spacing w:line="276" w:lineRule="auto"/>
              <w:rPr>
                <w:rFonts w:eastAsia="Times New Roman" w:cs="Times New Roman"/>
                <w:color w:val="000000"/>
                <w:sz w:val="18"/>
                <w:szCs w:val="18"/>
                <w:lang w:eastAsia="en-GB"/>
              </w:rPr>
            </w:pPr>
            <w:r w:rsidRPr="004B723C">
              <w:rPr>
                <w:rFonts w:eastAsia="Times New Roman" w:cs="Times New Roman"/>
                <w:color w:val="000000"/>
                <w:sz w:val="18"/>
                <w:szCs w:val="18"/>
                <w:lang w:eastAsia="en-GB"/>
              </w:rPr>
              <w:t xml:space="preserve">Cold </w:t>
            </w:r>
            <w:r w:rsidR="00492FBC" w:rsidRPr="004B723C">
              <w:rPr>
                <w:rFonts w:eastAsia="Times New Roman" w:cs="Times New Roman"/>
                <w:color w:val="000000"/>
                <w:sz w:val="18"/>
                <w:szCs w:val="18"/>
                <w:lang w:eastAsia="en-GB"/>
              </w:rPr>
              <w:t>ischemia</w:t>
            </w:r>
            <w:r w:rsidRPr="004B723C">
              <w:rPr>
                <w:rFonts w:eastAsia="Times New Roman" w:cs="Times New Roman"/>
                <w:color w:val="000000"/>
                <w:sz w:val="18"/>
                <w:szCs w:val="18"/>
                <w:lang w:eastAsia="en-GB"/>
              </w:rPr>
              <w:t xml:space="preserve"> time (per 5 hours)</w:t>
            </w:r>
          </w:p>
        </w:tc>
        <w:tc>
          <w:tcPr>
            <w:tcW w:w="850" w:type="dxa"/>
            <w:noWrap/>
            <w:hideMark/>
          </w:tcPr>
          <w:p w14:paraId="6D5AEE95" w14:textId="77777777" w:rsidR="00B0565C" w:rsidRPr="004B723C" w:rsidRDefault="00B0565C" w:rsidP="00C72C10">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w:t>
            </w:r>
          </w:p>
        </w:tc>
        <w:tc>
          <w:tcPr>
            <w:tcW w:w="1134" w:type="dxa"/>
            <w:noWrap/>
            <w:hideMark/>
          </w:tcPr>
          <w:p w14:paraId="547FBCEB" w14:textId="77777777" w:rsidR="00B0565C" w:rsidRPr="004B723C" w:rsidRDefault="00B0565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526/3,697</w:t>
            </w:r>
          </w:p>
        </w:tc>
        <w:tc>
          <w:tcPr>
            <w:tcW w:w="1418" w:type="dxa"/>
            <w:noWrap/>
            <w:hideMark/>
          </w:tcPr>
          <w:p w14:paraId="437F67B3" w14:textId="77777777" w:rsidR="00B0565C" w:rsidRPr="004B723C" w:rsidRDefault="00B0565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w:t>
            </w:r>
          </w:p>
        </w:tc>
        <w:tc>
          <w:tcPr>
            <w:tcW w:w="1559" w:type="dxa"/>
            <w:noWrap/>
            <w:hideMark/>
          </w:tcPr>
          <w:p w14:paraId="09BA2030" w14:textId="5E957F05" w:rsidR="00B0565C" w:rsidRPr="004B723C" w:rsidRDefault="00B0565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1</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13 (1</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05–1</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21)</w:t>
            </w:r>
          </w:p>
        </w:tc>
        <w:tc>
          <w:tcPr>
            <w:tcW w:w="1134" w:type="dxa"/>
            <w:noWrap/>
            <w:hideMark/>
          </w:tcPr>
          <w:p w14:paraId="447182F7" w14:textId="1DAD7958" w:rsidR="00B0565C" w:rsidRPr="004B723C" w:rsidRDefault="00D53FD9"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7.64 × 10</w:t>
            </w:r>
            <w:r w:rsidRPr="004B723C">
              <w:rPr>
                <w:rFonts w:eastAsia="Times New Roman" w:cs="Times New Roman"/>
                <w:color w:val="000000"/>
                <w:sz w:val="18"/>
                <w:szCs w:val="18"/>
                <w:vertAlign w:val="superscript"/>
                <w:lang w:eastAsia="en-GB"/>
              </w:rPr>
              <w:t>-4</w:t>
            </w:r>
          </w:p>
        </w:tc>
        <w:tc>
          <w:tcPr>
            <w:tcW w:w="1134" w:type="dxa"/>
            <w:noWrap/>
            <w:hideMark/>
          </w:tcPr>
          <w:p w14:paraId="51BA1A0B" w14:textId="77777777" w:rsidR="00B0565C" w:rsidRPr="004B723C" w:rsidRDefault="00B0565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526/3,693</w:t>
            </w:r>
          </w:p>
        </w:tc>
        <w:tc>
          <w:tcPr>
            <w:tcW w:w="1417" w:type="dxa"/>
            <w:noWrap/>
            <w:hideMark/>
          </w:tcPr>
          <w:p w14:paraId="6B85E971" w14:textId="77777777" w:rsidR="00B0565C" w:rsidRPr="004B723C" w:rsidRDefault="00B0565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w:t>
            </w:r>
          </w:p>
        </w:tc>
        <w:tc>
          <w:tcPr>
            <w:tcW w:w="1418" w:type="dxa"/>
            <w:noWrap/>
            <w:hideMark/>
          </w:tcPr>
          <w:p w14:paraId="0B597EE7" w14:textId="5C290A13" w:rsidR="00B0565C" w:rsidRPr="004B723C" w:rsidRDefault="00B0565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1</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13 (1</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03–1</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25)</w:t>
            </w:r>
          </w:p>
        </w:tc>
        <w:tc>
          <w:tcPr>
            <w:tcW w:w="1236" w:type="dxa"/>
            <w:noWrap/>
            <w:hideMark/>
          </w:tcPr>
          <w:p w14:paraId="0366184C" w14:textId="2D746F44" w:rsidR="00B0565C" w:rsidRPr="004B723C" w:rsidRDefault="00B0565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0</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009</w:t>
            </w:r>
          </w:p>
        </w:tc>
      </w:tr>
      <w:tr w:rsidR="005E1957" w:rsidRPr="004B723C" w14:paraId="604CEF47" w14:textId="77777777" w:rsidTr="00B01F74">
        <w:trPr>
          <w:trHeight w:val="300"/>
          <w:jc w:val="center"/>
        </w:trPr>
        <w:tc>
          <w:tcPr>
            <w:cnfStyle w:val="001000000000" w:firstRow="0" w:lastRow="0" w:firstColumn="1" w:lastColumn="0" w:oddVBand="0" w:evenVBand="0" w:oddHBand="0" w:evenHBand="0" w:firstRowFirstColumn="0" w:firstRowLastColumn="0" w:lastRowFirstColumn="0" w:lastRowLastColumn="0"/>
            <w:tcW w:w="2684" w:type="dxa"/>
            <w:noWrap/>
            <w:hideMark/>
          </w:tcPr>
          <w:p w14:paraId="78EA72DC" w14:textId="77777777" w:rsidR="00B0565C" w:rsidRPr="004B723C" w:rsidRDefault="00B0565C" w:rsidP="00C72C10">
            <w:pPr>
              <w:spacing w:line="276" w:lineRule="auto"/>
              <w:rPr>
                <w:rFonts w:eastAsia="Times New Roman" w:cs="Times New Roman"/>
                <w:color w:val="000000"/>
                <w:sz w:val="18"/>
                <w:szCs w:val="18"/>
                <w:lang w:eastAsia="en-GB"/>
              </w:rPr>
            </w:pPr>
            <w:r w:rsidRPr="004B723C">
              <w:rPr>
                <w:rFonts w:eastAsia="Times New Roman" w:cs="Times New Roman"/>
                <w:color w:val="000000"/>
                <w:sz w:val="18"/>
                <w:szCs w:val="18"/>
                <w:lang w:eastAsia="en-GB"/>
              </w:rPr>
              <w:t>Donor age (per 10 years)</w:t>
            </w:r>
          </w:p>
        </w:tc>
        <w:tc>
          <w:tcPr>
            <w:tcW w:w="850" w:type="dxa"/>
            <w:noWrap/>
            <w:hideMark/>
          </w:tcPr>
          <w:p w14:paraId="55455B14" w14:textId="77777777" w:rsidR="00B0565C" w:rsidRPr="004B723C" w:rsidRDefault="00B0565C" w:rsidP="00C72C10">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w:t>
            </w:r>
          </w:p>
        </w:tc>
        <w:tc>
          <w:tcPr>
            <w:tcW w:w="1134" w:type="dxa"/>
            <w:noWrap/>
            <w:hideMark/>
          </w:tcPr>
          <w:p w14:paraId="60C40387" w14:textId="77777777" w:rsidR="00B0565C" w:rsidRPr="004B723C" w:rsidRDefault="00B0565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529/3,713</w:t>
            </w:r>
          </w:p>
        </w:tc>
        <w:tc>
          <w:tcPr>
            <w:tcW w:w="1418" w:type="dxa"/>
            <w:noWrap/>
            <w:hideMark/>
          </w:tcPr>
          <w:p w14:paraId="5AC83625" w14:textId="77777777" w:rsidR="00B0565C" w:rsidRPr="004B723C" w:rsidRDefault="00B0565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w:t>
            </w:r>
          </w:p>
        </w:tc>
        <w:tc>
          <w:tcPr>
            <w:tcW w:w="1559" w:type="dxa"/>
            <w:noWrap/>
            <w:hideMark/>
          </w:tcPr>
          <w:p w14:paraId="4DD21D0E" w14:textId="6BC83B17" w:rsidR="00B0565C" w:rsidRPr="004B723C" w:rsidRDefault="00B0565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1</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08 (1</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02–1</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14)</w:t>
            </w:r>
          </w:p>
        </w:tc>
        <w:tc>
          <w:tcPr>
            <w:tcW w:w="1134" w:type="dxa"/>
            <w:noWrap/>
            <w:hideMark/>
          </w:tcPr>
          <w:p w14:paraId="10B18658" w14:textId="7B8FC070" w:rsidR="00B0565C" w:rsidRPr="004B723C" w:rsidRDefault="00B0565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0</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011</w:t>
            </w:r>
          </w:p>
        </w:tc>
        <w:tc>
          <w:tcPr>
            <w:tcW w:w="1134" w:type="dxa"/>
            <w:noWrap/>
            <w:hideMark/>
          </w:tcPr>
          <w:p w14:paraId="057B92CC" w14:textId="77777777" w:rsidR="00B0565C" w:rsidRPr="004B723C" w:rsidRDefault="00B0565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526/3,693</w:t>
            </w:r>
          </w:p>
        </w:tc>
        <w:tc>
          <w:tcPr>
            <w:tcW w:w="1417" w:type="dxa"/>
            <w:noWrap/>
            <w:hideMark/>
          </w:tcPr>
          <w:p w14:paraId="70BB51C1" w14:textId="77777777" w:rsidR="00B0565C" w:rsidRPr="004B723C" w:rsidRDefault="00B0565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w:t>
            </w:r>
          </w:p>
        </w:tc>
        <w:tc>
          <w:tcPr>
            <w:tcW w:w="1418" w:type="dxa"/>
            <w:noWrap/>
            <w:hideMark/>
          </w:tcPr>
          <w:p w14:paraId="5D3C5B6A" w14:textId="01982B89" w:rsidR="00B0565C" w:rsidRPr="004B723C" w:rsidRDefault="00B0565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1</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11 (1</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04–1</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18)</w:t>
            </w:r>
          </w:p>
        </w:tc>
        <w:tc>
          <w:tcPr>
            <w:tcW w:w="1236" w:type="dxa"/>
            <w:noWrap/>
            <w:hideMark/>
          </w:tcPr>
          <w:p w14:paraId="6F8BC68D" w14:textId="45CADE71" w:rsidR="00B0565C" w:rsidRPr="004B723C" w:rsidRDefault="00B0565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0</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0016</w:t>
            </w:r>
          </w:p>
        </w:tc>
      </w:tr>
      <w:tr w:rsidR="005E1957" w:rsidRPr="004B723C" w14:paraId="21010FA7" w14:textId="77777777" w:rsidTr="00B01F74">
        <w:trPr>
          <w:trHeight w:val="300"/>
          <w:jc w:val="center"/>
        </w:trPr>
        <w:tc>
          <w:tcPr>
            <w:cnfStyle w:val="001000000000" w:firstRow="0" w:lastRow="0" w:firstColumn="1" w:lastColumn="0" w:oddVBand="0" w:evenVBand="0" w:oddHBand="0" w:evenHBand="0" w:firstRowFirstColumn="0" w:firstRowLastColumn="0" w:lastRowFirstColumn="0" w:lastRowLastColumn="0"/>
            <w:tcW w:w="2684" w:type="dxa"/>
            <w:noWrap/>
            <w:hideMark/>
          </w:tcPr>
          <w:p w14:paraId="028471E7" w14:textId="77777777" w:rsidR="00B0565C" w:rsidRPr="004B723C" w:rsidRDefault="00B0565C" w:rsidP="00C72C10">
            <w:pPr>
              <w:spacing w:line="276" w:lineRule="auto"/>
              <w:rPr>
                <w:rFonts w:eastAsia="Times New Roman" w:cs="Times New Roman"/>
                <w:color w:val="000000"/>
                <w:sz w:val="18"/>
                <w:szCs w:val="18"/>
                <w:lang w:eastAsia="en-GB"/>
              </w:rPr>
            </w:pPr>
            <w:r w:rsidRPr="004B723C">
              <w:rPr>
                <w:rFonts w:eastAsia="Times New Roman" w:cs="Times New Roman"/>
                <w:color w:val="000000"/>
                <w:sz w:val="18"/>
                <w:szCs w:val="18"/>
                <w:lang w:eastAsia="en-GB"/>
              </w:rPr>
              <w:t>Donor type</w:t>
            </w:r>
          </w:p>
        </w:tc>
        <w:tc>
          <w:tcPr>
            <w:tcW w:w="850" w:type="dxa"/>
            <w:noWrap/>
            <w:hideMark/>
          </w:tcPr>
          <w:p w14:paraId="2E126F1B" w14:textId="77777777" w:rsidR="00B0565C" w:rsidRPr="004B723C" w:rsidRDefault="00B0565C" w:rsidP="00C72C10">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Living</w:t>
            </w:r>
          </w:p>
        </w:tc>
        <w:tc>
          <w:tcPr>
            <w:tcW w:w="1134" w:type="dxa"/>
            <w:noWrap/>
            <w:hideMark/>
          </w:tcPr>
          <w:p w14:paraId="143D1D87" w14:textId="77777777" w:rsidR="00B0565C" w:rsidRPr="004B723C" w:rsidRDefault="00B0565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529/3,713</w:t>
            </w:r>
          </w:p>
        </w:tc>
        <w:tc>
          <w:tcPr>
            <w:tcW w:w="1418" w:type="dxa"/>
            <w:noWrap/>
            <w:hideMark/>
          </w:tcPr>
          <w:p w14:paraId="07A28FCD" w14:textId="77777777" w:rsidR="00B0565C" w:rsidRPr="004B723C" w:rsidRDefault="00B0565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65/522</w:t>
            </w:r>
          </w:p>
        </w:tc>
        <w:tc>
          <w:tcPr>
            <w:tcW w:w="1559" w:type="dxa"/>
            <w:noWrap/>
            <w:hideMark/>
          </w:tcPr>
          <w:p w14:paraId="02735117" w14:textId="12C46D52" w:rsidR="00B0565C" w:rsidRPr="004B723C" w:rsidRDefault="00D45F56"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Ref.</w:t>
            </w:r>
          </w:p>
        </w:tc>
        <w:tc>
          <w:tcPr>
            <w:tcW w:w="1134" w:type="dxa"/>
            <w:noWrap/>
            <w:hideMark/>
          </w:tcPr>
          <w:p w14:paraId="1CFA99E0" w14:textId="14A2A0AF" w:rsidR="00B0565C" w:rsidRPr="004B723C" w:rsidRDefault="00D45F56"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Ref.</w:t>
            </w:r>
          </w:p>
        </w:tc>
        <w:tc>
          <w:tcPr>
            <w:tcW w:w="1134" w:type="dxa"/>
            <w:noWrap/>
            <w:hideMark/>
          </w:tcPr>
          <w:p w14:paraId="54EDFAE5" w14:textId="77777777" w:rsidR="00B0565C" w:rsidRPr="004B723C" w:rsidRDefault="00B0565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526/3,693</w:t>
            </w:r>
          </w:p>
        </w:tc>
        <w:tc>
          <w:tcPr>
            <w:tcW w:w="1417" w:type="dxa"/>
            <w:noWrap/>
            <w:hideMark/>
          </w:tcPr>
          <w:p w14:paraId="48BF0FD6" w14:textId="77777777" w:rsidR="00B0565C" w:rsidRPr="004B723C" w:rsidRDefault="00B0565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63/511</w:t>
            </w:r>
          </w:p>
        </w:tc>
        <w:tc>
          <w:tcPr>
            <w:tcW w:w="1418" w:type="dxa"/>
            <w:noWrap/>
            <w:hideMark/>
          </w:tcPr>
          <w:p w14:paraId="64CF6D1E" w14:textId="3DFB0E66" w:rsidR="00B0565C" w:rsidRPr="004B723C" w:rsidRDefault="00D45F56"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Ref.</w:t>
            </w:r>
          </w:p>
        </w:tc>
        <w:tc>
          <w:tcPr>
            <w:tcW w:w="1236" w:type="dxa"/>
            <w:noWrap/>
            <w:hideMark/>
          </w:tcPr>
          <w:p w14:paraId="0499F2B7" w14:textId="63643B11" w:rsidR="00B0565C" w:rsidRPr="004B723C" w:rsidRDefault="00D45F56"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Ref.</w:t>
            </w:r>
          </w:p>
        </w:tc>
      </w:tr>
      <w:tr w:rsidR="005E1957" w:rsidRPr="004B723C" w14:paraId="5EF7E6E6" w14:textId="77777777" w:rsidTr="00B01F74">
        <w:trPr>
          <w:trHeight w:val="300"/>
          <w:jc w:val="center"/>
        </w:trPr>
        <w:tc>
          <w:tcPr>
            <w:cnfStyle w:val="001000000000" w:firstRow="0" w:lastRow="0" w:firstColumn="1" w:lastColumn="0" w:oddVBand="0" w:evenVBand="0" w:oddHBand="0" w:evenHBand="0" w:firstRowFirstColumn="0" w:firstRowLastColumn="0" w:lastRowFirstColumn="0" w:lastRowLastColumn="0"/>
            <w:tcW w:w="2684" w:type="dxa"/>
            <w:noWrap/>
          </w:tcPr>
          <w:p w14:paraId="40C243D9" w14:textId="75DC6BBB" w:rsidR="00B0565C" w:rsidRPr="004B723C" w:rsidRDefault="00B0565C" w:rsidP="00C72C10">
            <w:pPr>
              <w:spacing w:line="276" w:lineRule="auto"/>
              <w:rPr>
                <w:rFonts w:eastAsia="Times New Roman" w:cs="Times New Roman"/>
                <w:color w:val="000000"/>
                <w:sz w:val="18"/>
                <w:szCs w:val="18"/>
                <w:lang w:eastAsia="en-GB"/>
              </w:rPr>
            </w:pPr>
          </w:p>
        </w:tc>
        <w:tc>
          <w:tcPr>
            <w:tcW w:w="850" w:type="dxa"/>
            <w:noWrap/>
            <w:hideMark/>
          </w:tcPr>
          <w:p w14:paraId="77B1AEED" w14:textId="77777777" w:rsidR="00B0565C" w:rsidRPr="004B723C" w:rsidRDefault="00B0565C" w:rsidP="00C72C10">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DBD</w:t>
            </w:r>
          </w:p>
        </w:tc>
        <w:tc>
          <w:tcPr>
            <w:tcW w:w="1134" w:type="dxa"/>
            <w:noWrap/>
          </w:tcPr>
          <w:p w14:paraId="7690A4CB" w14:textId="736D14B2" w:rsidR="00B0565C" w:rsidRPr="004B723C" w:rsidRDefault="00B0565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418" w:type="dxa"/>
            <w:noWrap/>
            <w:hideMark/>
          </w:tcPr>
          <w:p w14:paraId="260EF2C3" w14:textId="77777777" w:rsidR="00B0565C" w:rsidRPr="004B723C" w:rsidRDefault="00B0565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386/2,634</w:t>
            </w:r>
          </w:p>
        </w:tc>
        <w:tc>
          <w:tcPr>
            <w:tcW w:w="1559" w:type="dxa"/>
            <w:noWrap/>
            <w:hideMark/>
          </w:tcPr>
          <w:p w14:paraId="2683F5CA" w14:textId="13F955F5" w:rsidR="00B0565C" w:rsidRPr="004B723C" w:rsidRDefault="00B0565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1</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14 (0</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88–1</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48)</w:t>
            </w:r>
          </w:p>
        </w:tc>
        <w:tc>
          <w:tcPr>
            <w:tcW w:w="1134" w:type="dxa"/>
            <w:noWrap/>
            <w:hideMark/>
          </w:tcPr>
          <w:p w14:paraId="2F78FCC8" w14:textId="5F634A5B" w:rsidR="00B0565C" w:rsidRPr="004B723C" w:rsidRDefault="00B0565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0</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33</w:t>
            </w:r>
          </w:p>
        </w:tc>
        <w:tc>
          <w:tcPr>
            <w:tcW w:w="1134" w:type="dxa"/>
            <w:noWrap/>
          </w:tcPr>
          <w:p w14:paraId="4F86598D" w14:textId="3ABFE51A" w:rsidR="00B0565C" w:rsidRPr="004B723C" w:rsidRDefault="00B0565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417" w:type="dxa"/>
            <w:noWrap/>
            <w:hideMark/>
          </w:tcPr>
          <w:p w14:paraId="70264857" w14:textId="77777777" w:rsidR="00B0565C" w:rsidRPr="004B723C" w:rsidRDefault="00B0565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385/2,626</w:t>
            </w:r>
          </w:p>
        </w:tc>
        <w:tc>
          <w:tcPr>
            <w:tcW w:w="1418" w:type="dxa"/>
            <w:noWrap/>
            <w:hideMark/>
          </w:tcPr>
          <w:p w14:paraId="07B234CF" w14:textId="0EFE1A1D" w:rsidR="00B0565C" w:rsidRPr="004B723C" w:rsidRDefault="00B0565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0</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79 (0</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54–1</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13)</w:t>
            </w:r>
          </w:p>
        </w:tc>
        <w:tc>
          <w:tcPr>
            <w:tcW w:w="1236" w:type="dxa"/>
            <w:noWrap/>
            <w:hideMark/>
          </w:tcPr>
          <w:p w14:paraId="5AA09EC6" w14:textId="453C8C52" w:rsidR="00B0565C" w:rsidRPr="004B723C" w:rsidRDefault="00B0565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0</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2</w:t>
            </w:r>
          </w:p>
        </w:tc>
      </w:tr>
      <w:tr w:rsidR="005E1957" w:rsidRPr="004B723C" w14:paraId="79CE3025" w14:textId="77777777" w:rsidTr="00B01F74">
        <w:trPr>
          <w:trHeight w:val="300"/>
          <w:jc w:val="center"/>
        </w:trPr>
        <w:tc>
          <w:tcPr>
            <w:cnfStyle w:val="001000000000" w:firstRow="0" w:lastRow="0" w:firstColumn="1" w:lastColumn="0" w:oddVBand="0" w:evenVBand="0" w:oddHBand="0" w:evenHBand="0" w:firstRowFirstColumn="0" w:firstRowLastColumn="0" w:lastRowFirstColumn="0" w:lastRowLastColumn="0"/>
            <w:tcW w:w="2684" w:type="dxa"/>
            <w:noWrap/>
          </w:tcPr>
          <w:p w14:paraId="6761DEA4" w14:textId="77777777" w:rsidR="00B0565C" w:rsidRPr="004B723C" w:rsidRDefault="00B0565C" w:rsidP="00C72C10">
            <w:pPr>
              <w:spacing w:line="276" w:lineRule="auto"/>
              <w:rPr>
                <w:rFonts w:eastAsia="Times New Roman" w:cs="Times New Roman"/>
                <w:color w:val="000000"/>
                <w:sz w:val="18"/>
                <w:szCs w:val="18"/>
                <w:lang w:eastAsia="en-GB"/>
              </w:rPr>
            </w:pPr>
          </w:p>
        </w:tc>
        <w:tc>
          <w:tcPr>
            <w:tcW w:w="850" w:type="dxa"/>
            <w:noWrap/>
            <w:hideMark/>
          </w:tcPr>
          <w:p w14:paraId="30A738A8" w14:textId="77777777" w:rsidR="00B0565C" w:rsidRPr="004B723C" w:rsidRDefault="00B0565C" w:rsidP="00C72C10">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DCD</w:t>
            </w:r>
          </w:p>
        </w:tc>
        <w:tc>
          <w:tcPr>
            <w:tcW w:w="1134" w:type="dxa"/>
            <w:noWrap/>
          </w:tcPr>
          <w:p w14:paraId="1A356145" w14:textId="6EC4FA9F" w:rsidR="00B0565C" w:rsidRPr="004B723C" w:rsidRDefault="00B0565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418" w:type="dxa"/>
            <w:noWrap/>
            <w:hideMark/>
          </w:tcPr>
          <w:p w14:paraId="0CE15E8C" w14:textId="77777777" w:rsidR="00B0565C" w:rsidRPr="004B723C" w:rsidRDefault="00B0565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78/557</w:t>
            </w:r>
          </w:p>
        </w:tc>
        <w:tc>
          <w:tcPr>
            <w:tcW w:w="1559" w:type="dxa"/>
            <w:noWrap/>
            <w:hideMark/>
          </w:tcPr>
          <w:p w14:paraId="3CF4E977" w14:textId="6936E063" w:rsidR="00B0565C" w:rsidRPr="004B723C" w:rsidRDefault="00B0565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1</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04 (0</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75–1</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44)</w:t>
            </w:r>
          </w:p>
        </w:tc>
        <w:tc>
          <w:tcPr>
            <w:tcW w:w="1134" w:type="dxa"/>
            <w:noWrap/>
            <w:hideMark/>
          </w:tcPr>
          <w:p w14:paraId="1AAD5472" w14:textId="794B139F" w:rsidR="00B0565C" w:rsidRPr="004B723C" w:rsidRDefault="00B0565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0</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82</w:t>
            </w:r>
          </w:p>
        </w:tc>
        <w:tc>
          <w:tcPr>
            <w:tcW w:w="1134" w:type="dxa"/>
            <w:noWrap/>
          </w:tcPr>
          <w:p w14:paraId="068D6791" w14:textId="15CFA059" w:rsidR="00B0565C" w:rsidRPr="004B723C" w:rsidRDefault="00B0565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417" w:type="dxa"/>
            <w:noWrap/>
            <w:hideMark/>
          </w:tcPr>
          <w:p w14:paraId="79CAEA75" w14:textId="77777777" w:rsidR="00B0565C" w:rsidRPr="004B723C" w:rsidRDefault="00B0565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78/556</w:t>
            </w:r>
          </w:p>
        </w:tc>
        <w:tc>
          <w:tcPr>
            <w:tcW w:w="1418" w:type="dxa"/>
            <w:noWrap/>
            <w:hideMark/>
          </w:tcPr>
          <w:p w14:paraId="789180F6" w14:textId="2FFE54D6" w:rsidR="00B0565C" w:rsidRPr="004B723C" w:rsidRDefault="00B0565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0</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88 (0</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59–1</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33)</w:t>
            </w:r>
          </w:p>
        </w:tc>
        <w:tc>
          <w:tcPr>
            <w:tcW w:w="1236" w:type="dxa"/>
            <w:noWrap/>
            <w:hideMark/>
          </w:tcPr>
          <w:p w14:paraId="010D6451" w14:textId="4B096996" w:rsidR="00B0565C" w:rsidRPr="004B723C" w:rsidRDefault="00B0565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0</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55</w:t>
            </w:r>
          </w:p>
        </w:tc>
      </w:tr>
      <w:tr w:rsidR="005E1957" w:rsidRPr="004B723C" w14:paraId="72915F1B" w14:textId="77777777" w:rsidTr="00B01F74">
        <w:trPr>
          <w:trHeight w:val="300"/>
          <w:jc w:val="center"/>
        </w:trPr>
        <w:tc>
          <w:tcPr>
            <w:cnfStyle w:val="001000000000" w:firstRow="0" w:lastRow="0" w:firstColumn="1" w:lastColumn="0" w:oddVBand="0" w:evenVBand="0" w:oddHBand="0" w:evenHBand="0" w:firstRowFirstColumn="0" w:firstRowLastColumn="0" w:lastRowFirstColumn="0" w:lastRowLastColumn="0"/>
            <w:tcW w:w="2684" w:type="dxa"/>
            <w:noWrap/>
            <w:hideMark/>
          </w:tcPr>
          <w:p w14:paraId="7619E889" w14:textId="77777777" w:rsidR="00B0565C" w:rsidRPr="004B723C" w:rsidRDefault="00B0565C" w:rsidP="00C72C10">
            <w:pPr>
              <w:spacing w:line="276" w:lineRule="auto"/>
              <w:rPr>
                <w:rFonts w:eastAsia="Times New Roman" w:cs="Times New Roman"/>
                <w:color w:val="000000"/>
                <w:sz w:val="18"/>
                <w:szCs w:val="18"/>
                <w:lang w:eastAsia="en-GB"/>
              </w:rPr>
            </w:pPr>
            <w:r w:rsidRPr="004B723C">
              <w:rPr>
                <w:rFonts w:eastAsia="Times New Roman" w:cs="Times New Roman"/>
                <w:color w:val="000000"/>
                <w:sz w:val="18"/>
                <w:szCs w:val="18"/>
                <w:lang w:eastAsia="en-GB"/>
              </w:rPr>
              <w:t>Donor–recipient CMV serostatus</w:t>
            </w:r>
          </w:p>
        </w:tc>
        <w:tc>
          <w:tcPr>
            <w:tcW w:w="850" w:type="dxa"/>
            <w:noWrap/>
            <w:hideMark/>
          </w:tcPr>
          <w:p w14:paraId="5AFAC721" w14:textId="77777777" w:rsidR="00B0565C" w:rsidRPr="004B723C" w:rsidRDefault="00B0565C" w:rsidP="00C72C10">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D−/R−</w:t>
            </w:r>
          </w:p>
        </w:tc>
        <w:tc>
          <w:tcPr>
            <w:tcW w:w="1134" w:type="dxa"/>
            <w:noWrap/>
            <w:hideMark/>
          </w:tcPr>
          <w:p w14:paraId="61B62476" w14:textId="77777777" w:rsidR="00B0565C" w:rsidRPr="004B723C" w:rsidRDefault="00B0565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529/3,713</w:t>
            </w:r>
          </w:p>
        </w:tc>
        <w:tc>
          <w:tcPr>
            <w:tcW w:w="1418" w:type="dxa"/>
            <w:noWrap/>
            <w:hideMark/>
          </w:tcPr>
          <w:p w14:paraId="23A1BD27" w14:textId="77777777" w:rsidR="00B0565C" w:rsidRPr="004B723C" w:rsidRDefault="00B0565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66/743</w:t>
            </w:r>
          </w:p>
        </w:tc>
        <w:tc>
          <w:tcPr>
            <w:tcW w:w="1559" w:type="dxa"/>
            <w:noWrap/>
            <w:hideMark/>
          </w:tcPr>
          <w:p w14:paraId="0EE2456E" w14:textId="43248326" w:rsidR="00B0565C" w:rsidRPr="004B723C" w:rsidRDefault="00D45F56"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Ref.</w:t>
            </w:r>
          </w:p>
        </w:tc>
        <w:tc>
          <w:tcPr>
            <w:tcW w:w="1134" w:type="dxa"/>
            <w:noWrap/>
            <w:hideMark/>
          </w:tcPr>
          <w:p w14:paraId="198E52A6" w14:textId="6AC8129B" w:rsidR="00B0565C" w:rsidRPr="004B723C" w:rsidRDefault="00D45F56"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Ref.</w:t>
            </w:r>
          </w:p>
        </w:tc>
        <w:tc>
          <w:tcPr>
            <w:tcW w:w="1134" w:type="dxa"/>
            <w:noWrap/>
            <w:hideMark/>
          </w:tcPr>
          <w:p w14:paraId="04055AF0" w14:textId="77777777" w:rsidR="00B0565C" w:rsidRPr="004B723C" w:rsidRDefault="00B0565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526/3,693</w:t>
            </w:r>
          </w:p>
        </w:tc>
        <w:tc>
          <w:tcPr>
            <w:tcW w:w="1417" w:type="dxa"/>
            <w:noWrap/>
            <w:hideMark/>
          </w:tcPr>
          <w:p w14:paraId="5C7E583E" w14:textId="77777777" w:rsidR="00B0565C" w:rsidRPr="004B723C" w:rsidRDefault="00B0565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66/739</w:t>
            </w:r>
          </w:p>
        </w:tc>
        <w:tc>
          <w:tcPr>
            <w:tcW w:w="1418" w:type="dxa"/>
            <w:noWrap/>
            <w:hideMark/>
          </w:tcPr>
          <w:p w14:paraId="760C1F0F" w14:textId="187EC14B" w:rsidR="00B0565C" w:rsidRPr="004B723C" w:rsidRDefault="00D45F56"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Ref.</w:t>
            </w:r>
          </w:p>
        </w:tc>
        <w:tc>
          <w:tcPr>
            <w:tcW w:w="1236" w:type="dxa"/>
            <w:noWrap/>
            <w:hideMark/>
          </w:tcPr>
          <w:p w14:paraId="4A1068CD" w14:textId="51CA0CD2" w:rsidR="00B0565C" w:rsidRPr="004B723C" w:rsidRDefault="00D45F56"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Ref.</w:t>
            </w:r>
          </w:p>
        </w:tc>
      </w:tr>
      <w:tr w:rsidR="00372C1C" w:rsidRPr="004B723C" w14:paraId="7734E5BD" w14:textId="77777777" w:rsidTr="00B01F74">
        <w:trPr>
          <w:trHeight w:val="300"/>
          <w:jc w:val="center"/>
        </w:trPr>
        <w:tc>
          <w:tcPr>
            <w:cnfStyle w:val="001000000000" w:firstRow="0" w:lastRow="0" w:firstColumn="1" w:lastColumn="0" w:oddVBand="0" w:evenVBand="0" w:oddHBand="0" w:evenHBand="0" w:firstRowFirstColumn="0" w:firstRowLastColumn="0" w:lastRowFirstColumn="0" w:lastRowLastColumn="0"/>
            <w:tcW w:w="2684" w:type="dxa"/>
            <w:noWrap/>
          </w:tcPr>
          <w:p w14:paraId="4DFA7875" w14:textId="77777777" w:rsidR="00372C1C" w:rsidRPr="004B723C" w:rsidRDefault="00372C1C" w:rsidP="00C72C10">
            <w:pPr>
              <w:spacing w:line="276" w:lineRule="auto"/>
              <w:rPr>
                <w:rFonts w:eastAsia="Times New Roman" w:cs="Times New Roman"/>
                <w:color w:val="000000"/>
                <w:sz w:val="18"/>
                <w:szCs w:val="18"/>
                <w:lang w:eastAsia="en-GB"/>
              </w:rPr>
            </w:pPr>
          </w:p>
        </w:tc>
        <w:tc>
          <w:tcPr>
            <w:tcW w:w="850" w:type="dxa"/>
            <w:noWrap/>
            <w:hideMark/>
          </w:tcPr>
          <w:p w14:paraId="1CEBFED7" w14:textId="77777777" w:rsidR="00372C1C" w:rsidRPr="004B723C" w:rsidRDefault="00372C1C" w:rsidP="00C72C10">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D+/R+</w:t>
            </w:r>
          </w:p>
        </w:tc>
        <w:tc>
          <w:tcPr>
            <w:tcW w:w="1134" w:type="dxa"/>
            <w:noWrap/>
          </w:tcPr>
          <w:p w14:paraId="249C4BE2" w14:textId="5B6664B0" w:rsidR="00372C1C" w:rsidRPr="004B723C" w:rsidRDefault="00372C1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418" w:type="dxa"/>
            <w:noWrap/>
            <w:hideMark/>
          </w:tcPr>
          <w:p w14:paraId="1B17E569" w14:textId="77777777" w:rsidR="00372C1C" w:rsidRPr="004B723C" w:rsidRDefault="00372C1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204/1,372</w:t>
            </w:r>
          </w:p>
        </w:tc>
        <w:tc>
          <w:tcPr>
            <w:tcW w:w="1559" w:type="dxa"/>
            <w:noWrap/>
            <w:hideMark/>
          </w:tcPr>
          <w:p w14:paraId="7EC8AB7B" w14:textId="1DBF45C8" w:rsidR="00372C1C" w:rsidRPr="004B723C" w:rsidRDefault="00372C1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2.17 (1.64–2.87)</w:t>
            </w:r>
          </w:p>
        </w:tc>
        <w:tc>
          <w:tcPr>
            <w:tcW w:w="1134" w:type="dxa"/>
            <w:noWrap/>
            <w:hideMark/>
          </w:tcPr>
          <w:p w14:paraId="736792AE" w14:textId="62834981" w:rsidR="00372C1C" w:rsidRPr="004B723C" w:rsidRDefault="00D53FD9"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sz w:val="18"/>
                <w:szCs w:val="18"/>
              </w:rPr>
              <w:t>4.82 × 10</w:t>
            </w:r>
            <w:r w:rsidRPr="004B723C">
              <w:rPr>
                <w:sz w:val="18"/>
                <w:szCs w:val="18"/>
                <w:vertAlign w:val="superscript"/>
              </w:rPr>
              <w:t>-8</w:t>
            </w:r>
          </w:p>
        </w:tc>
        <w:tc>
          <w:tcPr>
            <w:tcW w:w="1134" w:type="dxa"/>
            <w:noWrap/>
          </w:tcPr>
          <w:p w14:paraId="677306EF" w14:textId="0231A1DD" w:rsidR="00372C1C" w:rsidRPr="004B723C" w:rsidRDefault="00372C1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417" w:type="dxa"/>
            <w:noWrap/>
            <w:hideMark/>
          </w:tcPr>
          <w:p w14:paraId="42DDE40D" w14:textId="77777777" w:rsidR="00372C1C" w:rsidRPr="004B723C" w:rsidRDefault="00372C1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203/1,363</w:t>
            </w:r>
          </w:p>
        </w:tc>
        <w:tc>
          <w:tcPr>
            <w:tcW w:w="1418" w:type="dxa"/>
            <w:noWrap/>
            <w:hideMark/>
          </w:tcPr>
          <w:p w14:paraId="5582AFC5" w14:textId="41F95AA4" w:rsidR="00372C1C" w:rsidRPr="004B723C" w:rsidRDefault="00372C1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2.10 (1.58–2.80)</w:t>
            </w:r>
          </w:p>
        </w:tc>
        <w:tc>
          <w:tcPr>
            <w:tcW w:w="1236" w:type="dxa"/>
            <w:noWrap/>
            <w:hideMark/>
          </w:tcPr>
          <w:p w14:paraId="119E0BBC" w14:textId="1FE32E4C" w:rsidR="00372C1C" w:rsidRPr="004B723C" w:rsidRDefault="00D53FD9"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sz w:val="18"/>
                <w:szCs w:val="18"/>
              </w:rPr>
              <w:t>3.53 × 10</w:t>
            </w:r>
            <w:r w:rsidRPr="004B723C">
              <w:rPr>
                <w:sz w:val="18"/>
                <w:szCs w:val="18"/>
                <w:vertAlign w:val="superscript"/>
              </w:rPr>
              <w:t>-7</w:t>
            </w:r>
          </w:p>
        </w:tc>
      </w:tr>
      <w:tr w:rsidR="00372C1C" w:rsidRPr="004B723C" w14:paraId="02C0EEF4" w14:textId="77777777" w:rsidTr="00B01F74">
        <w:trPr>
          <w:trHeight w:val="300"/>
          <w:jc w:val="center"/>
        </w:trPr>
        <w:tc>
          <w:tcPr>
            <w:cnfStyle w:val="001000000000" w:firstRow="0" w:lastRow="0" w:firstColumn="1" w:lastColumn="0" w:oddVBand="0" w:evenVBand="0" w:oddHBand="0" w:evenHBand="0" w:firstRowFirstColumn="0" w:firstRowLastColumn="0" w:lastRowFirstColumn="0" w:lastRowLastColumn="0"/>
            <w:tcW w:w="2684" w:type="dxa"/>
            <w:noWrap/>
          </w:tcPr>
          <w:p w14:paraId="435E7793" w14:textId="241DCAB0" w:rsidR="00372C1C" w:rsidRPr="004B723C" w:rsidRDefault="00372C1C" w:rsidP="00C72C10">
            <w:pPr>
              <w:spacing w:line="276" w:lineRule="auto"/>
              <w:rPr>
                <w:rFonts w:eastAsia="Times New Roman" w:cs="Times New Roman"/>
                <w:color w:val="000000"/>
                <w:sz w:val="18"/>
                <w:szCs w:val="18"/>
                <w:lang w:eastAsia="en-GB"/>
              </w:rPr>
            </w:pPr>
          </w:p>
        </w:tc>
        <w:tc>
          <w:tcPr>
            <w:tcW w:w="850" w:type="dxa"/>
            <w:noWrap/>
            <w:hideMark/>
          </w:tcPr>
          <w:p w14:paraId="1A1E1C3E" w14:textId="77777777" w:rsidR="00372C1C" w:rsidRPr="004B723C" w:rsidRDefault="00372C1C" w:rsidP="00C72C10">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D+/R−</w:t>
            </w:r>
          </w:p>
        </w:tc>
        <w:tc>
          <w:tcPr>
            <w:tcW w:w="1134" w:type="dxa"/>
            <w:noWrap/>
          </w:tcPr>
          <w:p w14:paraId="102E4833" w14:textId="451B3A4E" w:rsidR="00372C1C" w:rsidRPr="004B723C" w:rsidRDefault="00372C1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418" w:type="dxa"/>
            <w:noWrap/>
            <w:hideMark/>
          </w:tcPr>
          <w:p w14:paraId="5A947F8D" w14:textId="77777777" w:rsidR="00372C1C" w:rsidRPr="004B723C" w:rsidRDefault="00372C1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99/724</w:t>
            </w:r>
          </w:p>
        </w:tc>
        <w:tc>
          <w:tcPr>
            <w:tcW w:w="1559" w:type="dxa"/>
            <w:noWrap/>
            <w:hideMark/>
          </w:tcPr>
          <w:p w14:paraId="0DEE38D1" w14:textId="6608A03E" w:rsidR="00372C1C" w:rsidRPr="004B723C" w:rsidRDefault="00372C1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1.75 (1.28–2.39)</w:t>
            </w:r>
          </w:p>
        </w:tc>
        <w:tc>
          <w:tcPr>
            <w:tcW w:w="1134" w:type="dxa"/>
            <w:noWrap/>
            <w:hideMark/>
          </w:tcPr>
          <w:p w14:paraId="07064F52" w14:textId="5EC5617D" w:rsidR="00372C1C" w:rsidRPr="004B723C" w:rsidRDefault="00D53FD9"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sz w:val="18"/>
                <w:szCs w:val="18"/>
              </w:rPr>
              <w:t>4.29 × 10</w:t>
            </w:r>
            <w:r w:rsidRPr="004B723C">
              <w:rPr>
                <w:sz w:val="18"/>
                <w:szCs w:val="18"/>
                <w:vertAlign w:val="superscript"/>
              </w:rPr>
              <w:t>-4</w:t>
            </w:r>
          </w:p>
        </w:tc>
        <w:tc>
          <w:tcPr>
            <w:tcW w:w="1134" w:type="dxa"/>
            <w:noWrap/>
          </w:tcPr>
          <w:p w14:paraId="181DA268" w14:textId="4098A3D2" w:rsidR="00372C1C" w:rsidRPr="004B723C" w:rsidRDefault="00372C1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417" w:type="dxa"/>
            <w:noWrap/>
            <w:hideMark/>
          </w:tcPr>
          <w:p w14:paraId="43EC2A4D" w14:textId="77777777" w:rsidR="00372C1C" w:rsidRPr="004B723C" w:rsidRDefault="00372C1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98/721</w:t>
            </w:r>
          </w:p>
        </w:tc>
        <w:tc>
          <w:tcPr>
            <w:tcW w:w="1418" w:type="dxa"/>
            <w:noWrap/>
            <w:hideMark/>
          </w:tcPr>
          <w:p w14:paraId="561FA07E" w14:textId="01D19FE4" w:rsidR="00372C1C" w:rsidRPr="004B723C" w:rsidRDefault="00372C1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1.79 (1.30–2.45)</w:t>
            </w:r>
          </w:p>
        </w:tc>
        <w:tc>
          <w:tcPr>
            <w:tcW w:w="1236" w:type="dxa"/>
            <w:noWrap/>
            <w:hideMark/>
          </w:tcPr>
          <w:p w14:paraId="165CD76B" w14:textId="60A337BF" w:rsidR="00372C1C" w:rsidRPr="004B723C" w:rsidRDefault="00D53FD9"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sz w:val="18"/>
                <w:szCs w:val="18"/>
              </w:rPr>
              <w:t>3.04 × 10</w:t>
            </w:r>
            <w:r w:rsidRPr="004B723C">
              <w:rPr>
                <w:sz w:val="18"/>
                <w:szCs w:val="18"/>
                <w:vertAlign w:val="superscript"/>
              </w:rPr>
              <w:t>-4</w:t>
            </w:r>
          </w:p>
        </w:tc>
      </w:tr>
      <w:tr w:rsidR="00372C1C" w:rsidRPr="004B723C" w14:paraId="6BEABAEE" w14:textId="77777777" w:rsidTr="00B01F74">
        <w:trPr>
          <w:trHeight w:val="300"/>
          <w:jc w:val="center"/>
        </w:trPr>
        <w:tc>
          <w:tcPr>
            <w:cnfStyle w:val="001000000000" w:firstRow="0" w:lastRow="0" w:firstColumn="1" w:lastColumn="0" w:oddVBand="0" w:evenVBand="0" w:oddHBand="0" w:evenHBand="0" w:firstRowFirstColumn="0" w:firstRowLastColumn="0" w:lastRowFirstColumn="0" w:lastRowLastColumn="0"/>
            <w:tcW w:w="2684" w:type="dxa"/>
            <w:noWrap/>
          </w:tcPr>
          <w:p w14:paraId="3E9BBA44" w14:textId="77777777" w:rsidR="00372C1C" w:rsidRPr="004B723C" w:rsidRDefault="00372C1C" w:rsidP="00C72C10">
            <w:pPr>
              <w:spacing w:line="276" w:lineRule="auto"/>
              <w:rPr>
                <w:rFonts w:eastAsia="Times New Roman" w:cs="Times New Roman"/>
                <w:color w:val="000000"/>
                <w:sz w:val="18"/>
                <w:szCs w:val="18"/>
                <w:lang w:eastAsia="en-GB"/>
              </w:rPr>
            </w:pPr>
          </w:p>
        </w:tc>
        <w:tc>
          <w:tcPr>
            <w:tcW w:w="850" w:type="dxa"/>
            <w:noWrap/>
            <w:hideMark/>
          </w:tcPr>
          <w:p w14:paraId="7745A250" w14:textId="77777777" w:rsidR="00372C1C" w:rsidRPr="004B723C" w:rsidRDefault="00372C1C" w:rsidP="00C72C10">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D−/R+</w:t>
            </w:r>
          </w:p>
        </w:tc>
        <w:tc>
          <w:tcPr>
            <w:tcW w:w="1134" w:type="dxa"/>
            <w:noWrap/>
          </w:tcPr>
          <w:p w14:paraId="4570BF36" w14:textId="3AD185D5" w:rsidR="00372C1C" w:rsidRPr="004B723C" w:rsidRDefault="00372C1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418" w:type="dxa"/>
            <w:noWrap/>
            <w:hideMark/>
          </w:tcPr>
          <w:p w14:paraId="1164670B" w14:textId="77777777" w:rsidR="00372C1C" w:rsidRPr="004B723C" w:rsidRDefault="00372C1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160/874</w:t>
            </w:r>
          </w:p>
        </w:tc>
        <w:tc>
          <w:tcPr>
            <w:tcW w:w="1559" w:type="dxa"/>
            <w:noWrap/>
            <w:hideMark/>
          </w:tcPr>
          <w:p w14:paraId="53D1BE1A" w14:textId="20D514E2" w:rsidR="00372C1C" w:rsidRPr="004B723C" w:rsidRDefault="00372C1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2.33 (1.75–3.11)</w:t>
            </w:r>
          </w:p>
        </w:tc>
        <w:tc>
          <w:tcPr>
            <w:tcW w:w="1134" w:type="dxa"/>
            <w:noWrap/>
            <w:hideMark/>
          </w:tcPr>
          <w:p w14:paraId="3076D29F" w14:textId="1BB64C74" w:rsidR="00372C1C" w:rsidRPr="004B723C" w:rsidRDefault="00D53FD9"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sz w:val="18"/>
                <w:szCs w:val="18"/>
              </w:rPr>
              <w:t>7.04 × 10</w:t>
            </w:r>
            <w:r w:rsidRPr="004B723C">
              <w:rPr>
                <w:sz w:val="18"/>
                <w:szCs w:val="18"/>
                <w:vertAlign w:val="superscript"/>
              </w:rPr>
              <w:t>-9</w:t>
            </w:r>
          </w:p>
        </w:tc>
        <w:tc>
          <w:tcPr>
            <w:tcW w:w="1134" w:type="dxa"/>
            <w:noWrap/>
          </w:tcPr>
          <w:p w14:paraId="597AFC2C" w14:textId="13080E5B" w:rsidR="00372C1C" w:rsidRPr="004B723C" w:rsidRDefault="00372C1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417" w:type="dxa"/>
            <w:noWrap/>
            <w:hideMark/>
          </w:tcPr>
          <w:p w14:paraId="5E28F8BA" w14:textId="77777777" w:rsidR="00372C1C" w:rsidRPr="004B723C" w:rsidRDefault="00372C1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159/870</w:t>
            </w:r>
          </w:p>
        </w:tc>
        <w:tc>
          <w:tcPr>
            <w:tcW w:w="1418" w:type="dxa"/>
            <w:noWrap/>
            <w:hideMark/>
          </w:tcPr>
          <w:p w14:paraId="64DAE21E" w14:textId="2128A46B" w:rsidR="00372C1C" w:rsidRPr="004B723C" w:rsidRDefault="00372C1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2.09 (1.56–2.80)</w:t>
            </w:r>
          </w:p>
        </w:tc>
        <w:tc>
          <w:tcPr>
            <w:tcW w:w="1236" w:type="dxa"/>
            <w:noWrap/>
            <w:hideMark/>
          </w:tcPr>
          <w:p w14:paraId="3C217DFA" w14:textId="41DF0E1D" w:rsidR="00372C1C" w:rsidRPr="004B723C" w:rsidRDefault="00D53FD9"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sz w:val="18"/>
                <w:szCs w:val="18"/>
              </w:rPr>
              <w:t>6.65 × 10</w:t>
            </w:r>
            <w:r w:rsidRPr="004B723C">
              <w:rPr>
                <w:sz w:val="18"/>
                <w:szCs w:val="18"/>
                <w:vertAlign w:val="superscript"/>
              </w:rPr>
              <w:t>-7</w:t>
            </w:r>
          </w:p>
        </w:tc>
      </w:tr>
      <w:tr w:rsidR="005E1957" w:rsidRPr="004B723C" w14:paraId="629FB17E" w14:textId="77777777" w:rsidTr="00B01F74">
        <w:trPr>
          <w:trHeight w:val="300"/>
          <w:jc w:val="center"/>
        </w:trPr>
        <w:tc>
          <w:tcPr>
            <w:cnfStyle w:val="001000000000" w:firstRow="0" w:lastRow="0" w:firstColumn="1" w:lastColumn="0" w:oddVBand="0" w:evenVBand="0" w:oddHBand="0" w:evenHBand="0" w:firstRowFirstColumn="0" w:firstRowLastColumn="0" w:lastRowFirstColumn="0" w:lastRowLastColumn="0"/>
            <w:tcW w:w="2684" w:type="dxa"/>
            <w:noWrap/>
            <w:hideMark/>
          </w:tcPr>
          <w:p w14:paraId="271237DF" w14:textId="77777777" w:rsidR="00B0565C" w:rsidRPr="004B723C" w:rsidRDefault="00B0565C" w:rsidP="00C72C10">
            <w:pPr>
              <w:spacing w:line="276" w:lineRule="auto"/>
              <w:rPr>
                <w:rFonts w:eastAsia="Times New Roman" w:cs="Times New Roman"/>
                <w:color w:val="000000"/>
                <w:sz w:val="18"/>
                <w:szCs w:val="18"/>
                <w:lang w:eastAsia="en-GB"/>
              </w:rPr>
            </w:pPr>
            <w:r w:rsidRPr="004B723C">
              <w:rPr>
                <w:rFonts w:eastAsia="Times New Roman" w:cs="Times New Roman"/>
                <w:color w:val="000000"/>
                <w:sz w:val="18"/>
                <w:szCs w:val="18"/>
                <w:lang w:eastAsia="en-GB"/>
              </w:rPr>
              <w:t>HLA mismatch (per mismatch)</w:t>
            </w:r>
          </w:p>
        </w:tc>
        <w:tc>
          <w:tcPr>
            <w:tcW w:w="850" w:type="dxa"/>
            <w:noWrap/>
            <w:hideMark/>
          </w:tcPr>
          <w:p w14:paraId="00F61FC9" w14:textId="77777777" w:rsidR="00B0565C" w:rsidRPr="004B723C" w:rsidRDefault="00B0565C" w:rsidP="00C72C10">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w:t>
            </w:r>
          </w:p>
        </w:tc>
        <w:tc>
          <w:tcPr>
            <w:tcW w:w="1134" w:type="dxa"/>
            <w:noWrap/>
            <w:hideMark/>
          </w:tcPr>
          <w:p w14:paraId="7D2E1737" w14:textId="77777777" w:rsidR="00B0565C" w:rsidRPr="004B723C" w:rsidRDefault="00B0565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529/3,713</w:t>
            </w:r>
          </w:p>
        </w:tc>
        <w:tc>
          <w:tcPr>
            <w:tcW w:w="1418" w:type="dxa"/>
            <w:noWrap/>
            <w:hideMark/>
          </w:tcPr>
          <w:p w14:paraId="6C3D97D5" w14:textId="77777777" w:rsidR="00B0565C" w:rsidRPr="004B723C" w:rsidRDefault="00B0565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w:t>
            </w:r>
          </w:p>
        </w:tc>
        <w:tc>
          <w:tcPr>
            <w:tcW w:w="1559" w:type="dxa"/>
            <w:noWrap/>
            <w:hideMark/>
          </w:tcPr>
          <w:p w14:paraId="11F6BFB1" w14:textId="528A5C2F" w:rsidR="00B0565C" w:rsidRPr="004B723C" w:rsidRDefault="00B0565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1</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14 (1</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08–1</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21)</w:t>
            </w:r>
          </w:p>
        </w:tc>
        <w:tc>
          <w:tcPr>
            <w:tcW w:w="1134" w:type="dxa"/>
            <w:noWrap/>
            <w:hideMark/>
          </w:tcPr>
          <w:p w14:paraId="42249FC6" w14:textId="6C4D0D3F" w:rsidR="00B0565C" w:rsidRPr="004B723C" w:rsidRDefault="00D53FD9"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1.16 × 10</w:t>
            </w:r>
            <w:r w:rsidRPr="004B723C">
              <w:rPr>
                <w:rFonts w:eastAsia="Times New Roman" w:cs="Times New Roman"/>
                <w:color w:val="000000"/>
                <w:sz w:val="18"/>
                <w:szCs w:val="18"/>
                <w:vertAlign w:val="superscript"/>
                <w:lang w:eastAsia="en-GB"/>
              </w:rPr>
              <w:t>-5</w:t>
            </w:r>
          </w:p>
        </w:tc>
        <w:tc>
          <w:tcPr>
            <w:tcW w:w="1134" w:type="dxa"/>
            <w:noWrap/>
            <w:hideMark/>
          </w:tcPr>
          <w:p w14:paraId="12124ACB" w14:textId="77777777" w:rsidR="00B0565C" w:rsidRPr="004B723C" w:rsidRDefault="00B0565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526/3,693</w:t>
            </w:r>
          </w:p>
        </w:tc>
        <w:tc>
          <w:tcPr>
            <w:tcW w:w="1417" w:type="dxa"/>
            <w:noWrap/>
            <w:hideMark/>
          </w:tcPr>
          <w:p w14:paraId="62CC1BBF" w14:textId="77777777" w:rsidR="00B0565C" w:rsidRPr="004B723C" w:rsidRDefault="00B0565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w:t>
            </w:r>
          </w:p>
        </w:tc>
        <w:tc>
          <w:tcPr>
            <w:tcW w:w="1418" w:type="dxa"/>
            <w:noWrap/>
            <w:hideMark/>
          </w:tcPr>
          <w:p w14:paraId="4B514B99" w14:textId="3D75ABBB" w:rsidR="00B0565C" w:rsidRPr="004B723C" w:rsidRDefault="00B0565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1</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15 (1</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07–1</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23)</w:t>
            </w:r>
          </w:p>
        </w:tc>
        <w:tc>
          <w:tcPr>
            <w:tcW w:w="1236" w:type="dxa"/>
            <w:noWrap/>
            <w:hideMark/>
          </w:tcPr>
          <w:p w14:paraId="08CE04ED" w14:textId="01E456FD" w:rsidR="00B0565C" w:rsidRPr="004B723C" w:rsidRDefault="00D53FD9"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7.19 × 10</w:t>
            </w:r>
            <w:r w:rsidRPr="004B723C">
              <w:rPr>
                <w:rFonts w:eastAsia="Times New Roman" w:cs="Times New Roman"/>
                <w:color w:val="000000"/>
                <w:sz w:val="18"/>
                <w:szCs w:val="18"/>
                <w:vertAlign w:val="superscript"/>
                <w:lang w:eastAsia="en-GB"/>
              </w:rPr>
              <w:t>-5</w:t>
            </w:r>
          </w:p>
        </w:tc>
      </w:tr>
      <w:tr w:rsidR="005E1957" w:rsidRPr="004B723C" w14:paraId="6E8D7391" w14:textId="77777777" w:rsidTr="00B01F74">
        <w:trPr>
          <w:trHeight w:val="300"/>
          <w:jc w:val="center"/>
        </w:trPr>
        <w:tc>
          <w:tcPr>
            <w:cnfStyle w:val="001000000000" w:firstRow="0" w:lastRow="0" w:firstColumn="1" w:lastColumn="0" w:oddVBand="0" w:evenVBand="0" w:oddHBand="0" w:evenHBand="0" w:firstRowFirstColumn="0" w:firstRowLastColumn="0" w:lastRowFirstColumn="0" w:lastRowLastColumn="0"/>
            <w:tcW w:w="2684" w:type="dxa"/>
            <w:noWrap/>
            <w:hideMark/>
          </w:tcPr>
          <w:p w14:paraId="23690DDC" w14:textId="08ED7089" w:rsidR="00B0565C" w:rsidRPr="004B723C" w:rsidRDefault="00B0565C" w:rsidP="00C72C10">
            <w:pPr>
              <w:spacing w:line="276" w:lineRule="auto"/>
              <w:rPr>
                <w:rFonts w:eastAsia="Times New Roman" w:cs="Times New Roman"/>
                <w:color w:val="000000"/>
                <w:sz w:val="18"/>
                <w:szCs w:val="18"/>
                <w:lang w:eastAsia="en-GB"/>
              </w:rPr>
            </w:pPr>
            <w:r w:rsidRPr="004B723C">
              <w:rPr>
                <w:rFonts w:eastAsia="Times New Roman" w:cs="Times New Roman"/>
                <w:color w:val="000000"/>
                <w:sz w:val="18"/>
                <w:szCs w:val="18"/>
                <w:lang w:eastAsia="en-GB"/>
              </w:rPr>
              <w:t>HLA-DSA</w:t>
            </w:r>
            <w:r w:rsidR="0004484F" w:rsidRPr="004B723C">
              <w:rPr>
                <w:rFonts w:eastAsia="Times New Roman" w:cs="Times New Roman"/>
                <w:color w:val="000000"/>
                <w:sz w:val="18"/>
                <w:szCs w:val="18"/>
                <w:lang w:eastAsia="en-GB"/>
              </w:rPr>
              <w:t xml:space="preserve"> status</w:t>
            </w:r>
          </w:p>
        </w:tc>
        <w:tc>
          <w:tcPr>
            <w:tcW w:w="850" w:type="dxa"/>
            <w:noWrap/>
            <w:hideMark/>
          </w:tcPr>
          <w:p w14:paraId="104577A8" w14:textId="77777777" w:rsidR="00B0565C" w:rsidRPr="004B723C" w:rsidRDefault="00B0565C" w:rsidP="00C72C10">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Negative</w:t>
            </w:r>
          </w:p>
        </w:tc>
        <w:tc>
          <w:tcPr>
            <w:tcW w:w="1134" w:type="dxa"/>
            <w:noWrap/>
            <w:hideMark/>
          </w:tcPr>
          <w:p w14:paraId="540C2D7D" w14:textId="77777777" w:rsidR="00B0565C" w:rsidRPr="004B723C" w:rsidRDefault="00B0565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529/3,709</w:t>
            </w:r>
          </w:p>
        </w:tc>
        <w:tc>
          <w:tcPr>
            <w:tcW w:w="1418" w:type="dxa"/>
            <w:noWrap/>
            <w:hideMark/>
          </w:tcPr>
          <w:p w14:paraId="7239FCDC" w14:textId="77777777" w:rsidR="00B0565C" w:rsidRPr="004B723C" w:rsidRDefault="00B0565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379/3,326</w:t>
            </w:r>
          </w:p>
        </w:tc>
        <w:tc>
          <w:tcPr>
            <w:tcW w:w="1559" w:type="dxa"/>
            <w:noWrap/>
            <w:hideMark/>
          </w:tcPr>
          <w:p w14:paraId="35A665B4" w14:textId="2FE9EA4C" w:rsidR="00B0565C" w:rsidRPr="004B723C" w:rsidRDefault="00D45F56"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Ref.</w:t>
            </w:r>
          </w:p>
        </w:tc>
        <w:tc>
          <w:tcPr>
            <w:tcW w:w="1134" w:type="dxa"/>
            <w:noWrap/>
            <w:hideMark/>
          </w:tcPr>
          <w:p w14:paraId="4B9885E1" w14:textId="3BCE3CE7" w:rsidR="00B0565C" w:rsidRPr="004B723C" w:rsidRDefault="00D45F56"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Ref.</w:t>
            </w:r>
          </w:p>
        </w:tc>
        <w:tc>
          <w:tcPr>
            <w:tcW w:w="1134" w:type="dxa"/>
            <w:noWrap/>
            <w:hideMark/>
          </w:tcPr>
          <w:p w14:paraId="3554DA43" w14:textId="77777777" w:rsidR="00B0565C" w:rsidRPr="004B723C" w:rsidRDefault="00B0565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526/3,693</w:t>
            </w:r>
          </w:p>
        </w:tc>
        <w:tc>
          <w:tcPr>
            <w:tcW w:w="1417" w:type="dxa"/>
            <w:noWrap/>
            <w:hideMark/>
          </w:tcPr>
          <w:p w14:paraId="134607CC" w14:textId="77777777" w:rsidR="00B0565C" w:rsidRPr="004B723C" w:rsidRDefault="00B0565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376/3,311</w:t>
            </w:r>
          </w:p>
        </w:tc>
        <w:tc>
          <w:tcPr>
            <w:tcW w:w="1418" w:type="dxa"/>
            <w:noWrap/>
            <w:hideMark/>
          </w:tcPr>
          <w:p w14:paraId="00A5CD38" w14:textId="72034BD9" w:rsidR="00B0565C" w:rsidRPr="004B723C" w:rsidRDefault="00D45F56"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Ref.</w:t>
            </w:r>
          </w:p>
        </w:tc>
        <w:tc>
          <w:tcPr>
            <w:tcW w:w="1236" w:type="dxa"/>
            <w:noWrap/>
            <w:hideMark/>
          </w:tcPr>
          <w:p w14:paraId="73BE81FB" w14:textId="0381AD2F" w:rsidR="00B0565C" w:rsidRPr="004B723C" w:rsidRDefault="00D45F56"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Ref.</w:t>
            </w:r>
          </w:p>
        </w:tc>
      </w:tr>
      <w:tr w:rsidR="005E1957" w:rsidRPr="004B723C" w14:paraId="632F5C48" w14:textId="77777777" w:rsidTr="00B01F74">
        <w:trPr>
          <w:trHeight w:val="300"/>
          <w:jc w:val="center"/>
        </w:trPr>
        <w:tc>
          <w:tcPr>
            <w:cnfStyle w:val="001000000000" w:firstRow="0" w:lastRow="0" w:firstColumn="1" w:lastColumn="0" w:oddVBand="0" w:evenVBand="0" w:oddHBand="0" w:evenHBand="0" w:firstRowFirstColumn="0" w:firstRowLastColumn="0" w:lastRowFirstColumn="0" w:lastRowLastColumn="0"/>
            <w:tcW w:w="2684" w:type="dxa"/>
            <w:noWrap/>
          </w:tcPr>
          <w:p w14:paraId="439770F2" w14:textId="25F58F31" w:rsidR="00B0565C" w:rsidRPr="004B723C" w:rsidRDefault="00B0565C" w:rsidP="00C72C10">
            <w:pPr>
              <w:spacing w:line="276" w:lineRule="auto"/>
              <w:rPr>
                <w:rFonts w:eastAsia="Times New Roman" w:cs="Times New Roman"/>
                <w:color w:val="000000"/>
                <w:sz w:val="18"/>
                <w:szCs w:val="18"/>
                <w:lang w:eastAsia="en-GB"/>
              </w:rPr>
            </w:pPr>
          </w:p>
        </w:tc>
        <w:tc>
          <w:tcPr>
            <w:tcW w:w="850" w:type="dxa"/>
            <w:noWrap/>
            <w:hideMark/>
          </w:tcPr>
          <w:p w14:paraId="23D4C3B7" w14:textId="77777777" w:rsidR="00B0565C" w:rsidRPr="004B723C" w:rsidRDefault="00B0565C" w:rsidP="00C72C10">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Positive</w:t>
            </w:r>
          </w:p>
        </w:tc>
        <w:tc>
          <w:tcPr>
            <w:tcW w:w="1134" w:type="dxa"/>
            <w:noWrap/>
          </w:tcPr>
          <w:p w14:paraId="3465081E" w14:textId="0C4835AD" w:rsidR="00B0565C" w:rsidRPr="004B723C" w:rsidRDefault="00B0565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418" w:type="dxa"/>
            <w:noWrap/>
            <w:hideMark/>
          </w:tcPr>
          <w:p w14:paraId="22F52910" w14:textId="77777777" w:rsidR="00B0565C" w:rsidRPr="004B723C" w:rsidRDefault="00B0565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150/383</w:t>
            </w:r>
          </w:p>
        </w:tc>
        <w:tc>
          <w:tcPr>
            <w:tcW w:w="1559" w:type="dxa"/>
            <w:noWrap/>
            <w:hideMark/>
          </w:tcPr>
          <w:p w14:paraId="32350D33" w14:textId="36E95DB7" w:rsidR="00B0565C" w:rsidRPr="004B723C" w:rsidRDefault="00B0565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4</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25 (3</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51–5</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13)</w:t>
            </w:r>
          </w:p>
        </w:tc>
        <w:tc>
          <w:tcPr>
            <w:tcW w:w="1134" w:type="dxa"/>
            <w:noWrap/>
            <w:hideMark/>
          </w:tcPr>
          <w:p w14:paraId="384834D2" w14:textId="52CD7DB8" w:rsidR="00B0565C" w:rsidRPr="004B723C" w:rsidRDefault="00D53FD9"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2.09 × 10</w:t>
            </w:r>
            <w:r w:rsidRPr="004B723C">
              <w:rPr>
                <w:rFonts w:eastAsia="Times New Roman" w:cs="Times New Roman"/>
                <w:color w:val="000000"/>
                <w:sz w:val="18"/>
                <w:szCs w:val="18"/>
                <w:vertAlign w:val="superscript"/>
                <w:lang w:eastAsia="en-GB"/>
              </w:rPr>
              <w:t>-50</w:t>
            </w:r>
          </w:p>
        </w:tc>
        <w:tc>
          <w:tcPr>
            <w:tcW w:w="1134" w:type="dxa"/>
            <w:noWrap/>
          </w:tcPr>
          <w:p w14:paraId="451F2738" w14:textId="493FE37F" w:rsidR="00B0565C" w:rsidRPr="004B723C" w:rsidRDefault="00B0565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417" w:type="dxa"/>
            <w:noWrap/>
            <w:hideMark/>
          </w:tcPr>
          <w:p w14:paraId="57305B65" w14:textId="77777777" w:rsidR="00B0565C" w:rsidRPr="004B723C" w:rsidRDefault="00B0565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150/382</w:t>
            </w:r>
          </w:p>
        </w:tc>
        <w:tc>
          <w:tcPr>
            <w:tcW w:w="1418" w:type="dxa"/>
            <w:noWrap/>
            <w:hideMark/>
          </w:tcPr>
          <w:p w14:paraId="752F198A" w14:textId="2544D693" w:rsidR="00B0565C" w:rsidRPr="004B723C" w:rsidRDefault="00B0565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3</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61 (2</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89–4</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51)</w:t>
            </w:r>
          </w:p>
        </w:tc>
        <w:tc>
          <w:tcPr>
            <w:tcW w:w="1236" w:type="dxa"/>
            <w:noWrap/>
            <w:hideMark/>
          </w:tcPr>
          <w:p w14:paraId="2AF3B9E5" w14:textId="0BC8CEFC" w:rsidR="00B0565C" w:rsidRPr="004B723C" w:rsidRDefault="00D53FD9"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5.91 × 10</w:t>
            </w:r>
            <w:r w:rsidRPr="004B723C">
              <w:rPr>
                <w:rFonts w:eastAsia="Times New Roman" w:cs="Times New Roman"/>
                <w:color w:val="000000"/>
                <w:sz w:val="18"/>
                <w:szCs w:val="18"/>
                <w:vertAlign w:val="superscript"/>
                <w:lang w:eastAsia="en-GB"/>
              </w:rPr>
              <w:t>-30</w:t>
            </w:r>
          </w:p>
        </w:tc>
      </w:tr>
      <w:tr w:rsidR="005E1957" w:rsidRPr="004B723C" w14:paraId="4BE2843B" w14:textId="77777777" w:rsidTr="00B01F74">
        <w:trPr>
          <w:trHeight w:val="300"/>
          <w:jc w:val="center"/>
        </w:trPr>
        <w:tc>
          <w:tcPr>
            <w:cnfStyle w:val="001000000000" w:firstRow="0" w:lastRow="0" w:firstColumn="1" w:lastColumn="0" w:oddVBand="0" w:evenVBand="0" w:oddHBand="0" w:evenHBand="0" w:firstRowFirstColumn="0" w:firstRowLastColumn="0" w:lastRowFirstColumn="0" w:lastRowLastColumn="0"/>
            <w:tcW w:w="2684" w:type="dxa"/>
            <w:noWrap/>
            <w:hideMark/>
          </w:tcPr>
          <w:p w14:paraId="2AF42B0C" w14:textId="77777777" w:rsidR="00B0565C" w:rsidRPr="004B723C" w:rsidRDefault="00B0565C" w:rsidP="00C72C10">
            <w:pPr>
              <w:spacing w:line="276" w:lineRule="auto"/>
              <w:rPr>
                <w:rFonts w:eastAsia="Times New Roman" w:cs="Times New Roman"/>
                <w:color w:val="000000"/>
                <w:sz w:val="18"/>
                <w:szCs w:val="18"/>
                <w:lang w:eastAsia="en-GB"/>
              </w:rPr>
            </w:pPr>
            <w:r w:rsidRPr="004B723C">
              <w:rPr>
                <w:rFonts w:eastAsia="Times New Roman" w:cs="Times New Roman"/>
                <w:color w:val="000000"/>
                <w:sz w:val="18"/>
                <w:szCs w:val="18"/>
                <w:lang w:eastAsia="en-GB"/>
              </w:rPr>
              <w:t>Recipient age (per 10 years)</w:t>
            </w:r>
          </w:p>
        </w:tc>
        <w:tc>
          <w:tcPr>
            <w:tcW w:w="850" w:type="dxa"/>
            <w:noWrap/>
            <w:hideMark/>
          </w:tcPr>
          <w:p w14:paraId="74242C9E" w14:textId="77777777" w:rsidR="00B0565C" w:rsidRPr="004B723C" w:rsidRDefault="00B0565C" w:rsidP="00C72C10">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w:t>
            </w:r>
          </w:p>
        </w:tc>
        <w:tc>
          <w:tcPr>
            <w:tcW w:w="1134" w:type="dxa"/>
            <w:noWrap/>
            <w:hideMark/>
          </w:tcPr>
          <w:p w14:paraId="2AD0B19F" w14:textId="77777777" w:rsidR="00B0565C" w:rsidRPr="004B723C" w:rsidRDefault="00B0565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529/3,713</w:t>
            </w:r>
          </w:p>
        </w:tc>
        <w:tc>
          <w:tcPr>
            <w:tcW w:w="1418" w:type="dxa"/>
            <w:noWrap/>
            <w:hideMark/>
          </w:tcPr>
          <w:p w14:paraId="233ADCEE" w14:textId="77777777" w:rsidR="00B0565C" w:rsidRPr="004B723C" w:rsidRDefault="00B0565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w:t>
            </w:r>
          </w:p>
        </w:tc>
        <w:tc>
          <w:tcPr>
            <w:tcW w:w="1559" w:type="dxa"/>
            <w:noWrap/>
            <w:hideMark/>
          </w:tcPr>
          <w:p w14:paraId="243A6AD5" w14:textId="27F0F5BB" w:rsidR="00B0565C" w:rsidRPr="004B723C" w:rsidRDefault="00B0565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1</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04 (0</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97–1</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11)</w:t>
            </w:r>
          </w:p>
        </w:tc>
        <w:tc>
          <w:tcPr>
            <w:tcW w:w="1134" w:type="dxa"/>
            <w:noWrap/>
            <w:hideMark/>
          </w:tcPr>
          <w:p w14:paraId="70213515" w14:textId="620FCD24" w:rsidR="00B0565C" w:rsidRPr="004B723C" w:rsidRDefault="00B0565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0</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28</w:t>
            </w:r>
          </w:p>
        </w:tc>
        <w:tc>
          <w:tcPr>
            <w:tcW w:w="1134" w:type="dxa"/>
            <w:noWrap/>
            <w:hideMark/>
          </w:tcPr>
          <w:p w14:paraId="44FE6050" w14:textId="77777777" w:rsidR="00B0565C" w:rsidRPr="004B723C" w:rsidRDefault="00B0565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526/3,693</w:t>
            </w:r>
          </w:p>
        </w:tc>
        <w:tc>
          <w:tcPr>
            <w:tcW w:w="1417" w:type="dxa"/>
            <w:noWrap/>
            <w:hideMark/>
          </w:tcPr>
          <w:p w14:paraId="6DC1B64D" w14:textId="77777777" w:rsidR="00B0565C" w:rsidRPr="004B723C" w:rsidRDefault="00B0565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w:t>
            </w:r>
          </w:p>
        </w:tc>
        <w:tc>
          <w:tcPr>
            <w:tcW w:w="1418" w:type="dxa"/>
            <w:noWrap/>
            <w:hideMark/>
          </w:tcPr>
          <w:p w14:paraId="3B7B8EA0" w14:textId="532F3A57" w:rsidR="00B0565C" w:rsidRPr="004B723C" w:rsidRDefault="00B0565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0</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97 (0</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90–1</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04)</w:t>
            </w:r>
          </w:p>
        </w:tc>
        <w:tc>
          <w:tcPr>
            <w:tcW w:w="1236" w:type="dxa"/>
            <w:noWrap/>
            <w:hideMark/>
          </w:tcPr>
          <w:p w14:paraId="0E1B6446" w14:textId="55DE0FAB" w:rsidR="00B0565C" w:rsidRPr="004B723C" w:rsidRDefault="00B0565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0</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37</w:t>
            </w:r>
          </w:p>
        </w:tc>
      </w:tr>
      <w:tr w:rsidR="005E1957" w:rsidRPr="004B723C" w14:paraId="6DA2BBD6" w14:textId="77777777" w:rsidTr="00B01F74">
        <w:trPr>
          <w:trHeight w:val="300"/>
          <w:jc w:val="center"/>
        </w:trPr>
        <w:tc>
          <w:tcPr>
            <w:cnfStyle w:val="001000000000" w:firstRow="0" w:lastRow="0" w:firstColumn="1" w:lastColumn="0" w:oddVBand="0" w:evenVBand="0" w:oddHBand="0" w:evenHBand="0" w:firstRowFirstColumn="0" w:firstRowLastColumn="0" w:lastRowFirstColumn="0" w:lastRowLastColumn="0"/>
            <w:tcW w:w="2684" w:type="dxa"/>
            <w:noWrap/>
            <w:hideMark/>
          </w:tcPr>
          <w:p w14:paraId="4BF7AB1E" w14:textId="77777777" w:rsidR="00B0565C" w:rsidRPr="004B723C" w:rsidRDefault="00B0565C" w:rsidP="00C72C10">
            <w:pPr>
              <w:spacing w:line="276" w:lineRule="auto"/>
              <w:rPr>
                <w:rFonts w:eastAsia="Times New Roman" w:cs="Times New Roman"/>
                <w:color w:val="000000"/>
                <w:sz w:val="18"/>
                <w:szCs w:val="18"/>
                <w:lang w:eastAsia="en-GB"/>
              </w:rPr>
            </w:pPr>
            <w:r w:rsidRPr="004B723C">
              <w:rPr>
                <w:rFonts w:eastAsia="Times New Roman" w:cs="Times New Roman"/>
                <w:color w:val="000000"/>
                <w:sz w:val="18"/>
                <w:szCs w:val="18"/>
                <w:lang w:eastAsia="en-GB"/>
              </w:rPr>
              <w:t>Recipient sex</w:t>
            </w:r>
          </w:p>
        </w:tc>
        <w:tc>
          <w:tcPr>
            <w:tcW w:w="850" w:type="dxa"/>
            <w:noWrap/>
            <w:hideMark/>
          </w:tcPr>
          <w:p w14:paraId="776C7603" w14:textId="475793F5" w:rsidR="00B0565C" w:rsidRPr="004B723C" w:rsidRDefault="00633B5C" w:rsidP="00C72C10">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Male</w:t>
            </w:r>
          </w:p>
        </w:tc>
        <w:tc>
          <w:tcPr>
            <w:tcW w:w="1134" w:type="dxa"/>
            <w:noWrap/>
            <w:hideMark/>
          </w:tcPr>
          <w:p w14:paraId="16F8424F" w14:textId="77777777" w:rsidR="00B0565C" w:rsidRPr="004B723C" w:rsidRDefault="00B0565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529/3,713</w:t>
            </w:r>
          </w:p>
        </w:tc>
        <w:tc>
          <w:tcPr>
            <w:tcW w:w="1418" w:type="dxa"/>
            <w:noWrap/>
          </w:tcPr>
          <w:p w14:paraId="4D1495DC" w14:textId="1A7B6080" w:rsidR="00B0565C" w:rsidRPr="004B723C" w:rsidRDefault="00E2586F"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284/2,402</w:t>
            </w:r>
          </w:p>
        </w:tc>
        <w:tc>
          <w:tcPr>
            <w:tcW w:w="1559" w:type="dxa"/>
            <w:noWrap/>
            <w:hideMark/>
          </w:tcPr>
          <w:p w14:paraId="29C5E580" w14:textId="430BFAD2" w:rsidR="00B0565C" w:rsidRPr="004B723C" w:rsidRDefault="00D45F56"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Ref.</w:t>
            </w:r>
          </w:p>
        </w:tc>
        <w:tc>
          <w:tcPr>
            <w:tcW w:w="1134" w:type="dxa"/>
            <w:noWrap/>
            <w:hideMark/>
          </w:tcPr>
          <w:p w14:paraId="28022B67" w14:textId="3DA2331D" w:rsidR="00B0565C" w:rsidRPr="004B723C" w:rsidRDefault="00D45F56"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Ref.</w:t>
            </w:r>
          </w:p>
        </w:tc>
        <w:tc>
          <w:tcPr>
            <w:tcW w:w="1134" w:type="dxa"/>
            <w:noWrap/>
            <w:hideMark/>
          </w:tcPr>
          <w:p w14:paraId="7647E854" w14:textId="77777777" w:rsidR="00B0565C" w:rsidRPr="004B723C" w:rsidRDefault="00B0565C"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526/3,693</w:t>
            </w:r>
          </w:p>
        </w:tc>
        <w:tc>
          <w:tcPr>
            <w:tcW w:w="1417" w:type="dxa"/>
            <w:noWrap/>
            <w:hideMark/>
          </w:tcPr>
          <w:p w14:paraId="3FA8DD85" w14:textId="40D96F4D" w:rsidR="00B0565C" w:rsidRPr="004B723C" w:rsidRDefault="00A2451D"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282/2,391</w:t>
            </w:r>
          </w:p>
        </w:tc>
        <w:tc>
          <w:tcPr>
            <w:tcW w:w="1418" w:type="dxa"/>
            <w:noWrap/>
            <w:hideMark/>
          </w:tcPr>
          <w:p w14:paraId="4C470CA9" w14:textId="128FBDCC" w:rsidR="00B0565C" w:rsidRPr="004B723C" w:rsidRDefault="00D45F56"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Ref.</w:t>
            </w:r>
          </w:p>
        </w:tc>
        <w:tc>
          <w:tcPr>
            <w:tcW w:w="1236" w:type="dxa"/>
            <w:noWrap/>
            <w:hideMark/>
          </w:tcPr>
          <w:p w14:paraId="5CBD84F6" w14:textId="2F7101EB" w:rsidR="00B0565C" w:rsidRPr="004B723C" w:rsidRDefault="00D45F56"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Ref.</w:t>
            </w:r>
          </w:p>
        </w:tc>
      </w:tr>
      <w:tr w:rsidR="005E1957" w:rsidRPr="004B723C" w14:paraId="7AEA5D03" w14:textId="77777777" w:rsidTr="00B01F74">
        <w:trPr>
          <w:trHeight w:val="300"/>
          <w:jc w:val="center"/>
        </w:trPr>
        <w:tc>
          <w:tcPr>
            <w:cnfStyle w:val="001000000000" w:firstRow="0" w:lastRow="0" w:firstColumn="1" w:lastColumn="0" w:oddVBand="0" w:evenVBand="0" w:oddHBand="0" w:evenHBand="0" w:firstRowFirstColumn="0" w:firstRowLastColumn="0" w:lastRowFirstColumn="0" w:lastRowLastColumn="0"/>
            <w:tcW w:w="2684" w:type="dxa"/>
            <w:noWrap/>
            <w:hideMark/>
          </w:tcPr>
          <w:p w14:paraId="170D0538" w14:textId="77777777" w:rsidR="00E2586F" w:rsidRPr="004B723C" w:rsidRDefault="00E2586F" w:rsidP="00C72C10">
            <w:pPr>
              <w:spacing w:line="276" w:lineRule="auto"/>
              <w:rPr>
                <w:rFonts w:eastAsia="Times New Roman" w:cs="Times New Roman"/>
                <w:color w:val="000000"/>
                <w:sz w:val="18"/>
                <w:szCs w:val="18"/>
                <w:lang w:eastAsia="en-GB"/>
              </w:rPr>
            </w:pPr>
          </w:p>
        </w:tc>
        <w:tc>
          <w:tcPr>
            <w:tcW w:w="850" w:type="dxa"/>
            <w:noWrap/>
            <w:hideMark/>
          </w:tcPr>
          <w:p w14:paraId="698DEE36" w14:textId="2B3FB5B2" w:rsidR="00E2586F" w:rsidRPr="004B723C" w:rsidRDefault="00E2586F" w:rsidP="00C72C10">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Female</w:t>
            </w:r>
          </w:p>
        </w:tc>
        <w:tc>
          <w:tcPr>
            <w:tcW w:w="1134" w:type="dxa"/>
            <w:noWrap/>
          </w:tcPr>
          <w:p w14:paraId="04F888A7" w14:textId="03F81723" w:rsidR="00E2586F" w:rsidRPr="004B723C" w:rsidRDefault="00E2586F"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418" w:type="dxa"/>
            <w:noWrap/>
            <w:hideMark/>
          </w:tcPr>
          <w:p w14:paraId="4D9F2BE2" w14:textId="650A7FEF" w:rsidR="00E2586F" w:rsidRPr="004B723C" w:rsidRDefault="00E2586F"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245/1,311</w:t>
            </w:r>
          </w:p>
        </w:tc>
        <w:tc>
          <w:tcPr>
            <w:tcW w:w="1559" w:type="dxa"/>
            <w:noWrap/>
            <w:hideMark/>
          </w:tcPr>
          <w:p w14:paraId="6E63664C" w14:textId="7E51E8D7" w:rsidR="00E2586F" w:rsidRPr="004B723C" w:rsidRDefault="00E2586F"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1</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56 (1</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31–1</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85)</w:t>
            </w:r>
          </w:p>
        </w:tc>
        <w:tc>
          <w:tcPr>
            <w:tcW w:w="1134" w:type="dxa"/>
            <w:noWrap/>
            <w:hideMark/>
          </w:tcPr>
          <w:p w14:paraId="765872B5" w14:textId="168EBC9E" w:rsidR="00E2586F" w:rsidRPr="004B723C" w:rsidRDefault="00D53FD9" w:rsidP="00C72C10">
            <w:pPr>
              <w:spacing w:after="160"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3.65 × 10</w:t>
            </w:r>
            <w:r w:rsidRPr="004B723C">
              <w:rPr>
                <w:rFonts w:cs="Times New Roman"/>
                <w:color w:val="000000"/>
                <w:sz w:val="18"/>
                <w:szCs w:val="18"/>
                <w:vertAlign w:val="superscript"/>
              </w:rPr>
              <w:t>-7</w:t>
            </w:r>
          </w:p>
        </w:tc>
        <w:tc>
          <w:tcPr>
            <w:tcW w:w="1134" w:type="dxa"/>
            <w:noWrap/>
          </w:tcPr>
          <w:p w14:paraId="3A3588C2" w14:textId="5F9C3DE7" w:rsidR="00E2586F" w:rsidRPr="004B723C" w:rsidRDefault="00E2586F"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417" w:type="dxa"/>
            <w:noWrap/>
            <w:hideMark/>
          </w:tcPr>
          <w:p w14:paraId="32CC4FD2" w14:textId="3CFDA093" w:rsidR="00E2586F" w:rsidRPr="004B723C" w:rsidRDefault="00E2586F"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244/1,302</w:t>
            </w:r>
          </w:p>
        </w:tc>
        <w:tc>
          <w:tcPr>
            <w:tcW w:w="1418" w:type="dxa"/>
            <w:noWrap/>
            <w:hideMark/>
          </w:tcPr>
          <w:p w14:paraId="631F00DB" w14:textId="2702CE18" w:rsidR="00E2586F" w:rsidRPr="004B723C" w:rsidRDefault="00E2586F"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1</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27 (1</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07–1</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52)</w:t>
            </w:r>
          </w:p>
        </w:tc>
        <w:tc>
          <w:tcPr>
            <w:tcW w:w="1236" w:type="dxa"/>
            <w:noWrap/>
            <w:hideMark/>
          </w:tcPr>
          <w:p w14:paraId="3770BC08" w14:textId="31A93E98" w:rsidR="00E2586F" w:rsidRPr="004B723C" w:rsidRDefault="00E2586F"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0</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007</w:t>
            </w:r>
          </w:p>
        </w:tc>
      </w:tr>
      <w:tr w:rsidR="005E1957" w:rsidRPr="004B723C" w14:paraId="22630B85" w14:textId="77777777" w:rsidTr="00B01F74">
        <w:trPr>
          <w:trHeight w:val="300"/>
          <w:jc w:val="center"/>
        </w:trPr>
        <w:tc>
          <w:tcPr>
            <w:cnfStyle w:val="001000000000" w:firstRow="0" w:lastRow="0" w:firstColumn="1" w:lastColumn="0" w:oddVBand="0" w:evenVBand="0" w:oddHBand="0" w:evenHBand="0" w:firstRowFirstColumn="0" w:firstRowLastColumn="0" w:lastRowFirstColumn="0" w:lastRowLastColumn="0"/>
            <w:tcW w:w="2684" w:type="dxa"/>
            <w:noWrap/>
            <w:hideMark/>
          </w:tcPr>
          <w:p w14:paraId="0BFF41B1" w14:textId="77777777" w:rsidR="00E2586F" w:rsidRPr="004B723C" w:rsidRDefault="00E2586F" w:rsidP="00C72C10">
            <w:pPr>
              <w:spacing w:line="276" w:lineRule="auto"/>
              <w:rPr>
                <w:rFonts w:eastAsia="Times New Roman" w:cs="Times New Roman"/>
                <w:color w:val="000000"/>
                <w:sz w:val="18"/>
                <w:szCs w:val="18"/>
                <w:lang w:eastAsia="en-GB"/>
              </w:rPr>
            </w:pPr>
            <w:r w:rsidRPr="004B723C">
              <w:rPr>
                <w:rFonts w:eastAsia="Times New Roman" w:cs="Times New Roman"/>
                <w:color w:val="000000"/>
                <w:sz w:val="18"/>
                <w:szCs w:val="18"/>
                <w:lang w:eastAsia="en-GB"/>
              </w:rPr>
              <w:t>Repeat transplantation</w:t>
            </w:r>
          </w:p>
        </w:tc>
        <w:tc>
          <w:tcPr>
            <w:tcW w:w="850" w:type="dxa"/>
            <w:noWrap/>
            <w:hideMark/>
          </w:tcPr>
          <w:p w14:paraId="5A87D1AE" w14:textId="77777777" w:rsidR="00E2586F" w:rsidRPr="004B723C" w:rsidRDefault="00E2586F" w:rsidP="00C72C10">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No</w:t>
            </w:r>
          </w:p>
        </w:tc>
        <w:tc>
          <w:tcPr>
            <w:tcW w:w="1134" w:type="dxa"/>
            <w:noWrap/>
            <w:hideMark/>
          </w:tcPr>
          <w:p w14:paraId="2783EAC3" w14:textId="77777777" w:rsidR="00E2586F" w:rsidRPr="004B723C" w:rsidRDefault="00E2586F"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529/3,713</w:t>
            </w:r>
          </w:p>
        </w:tc>
        <w:tc>
          <w:tcPr>
            <w:tcW w:w="1418" w:type="dxa"/>
            <w:noWrap/>
            <w:hideMark/>
          </w:tcPr>
          <w:p w14:paraId="0AD1F98F" w14:textId="77777777" w:rsidR="00E2586F" w:rsidRPr="004B723C" w:rsidRDefault="00E2586F"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405/3,155</w:t>
            </w:r>
          </w:p>
        </w:tc>
        <w:tc>
          <w:tcPr>
            <w:tcW w:w="1559" w:type="dxa"/>
            <w:noWrap/>
            <w:hideMark/>
          </w:tcPr>
          <w:p w14:paraId="345F97B3" w14:textId="44D318D2" w:rsidR="00E2586F" w:rsidRPr="004B723C" w:rsidRDefault="00D45F56"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Ref.</w:t>
            </w:r>
          </w:p>
        </w:tc>
        <w:tc>
          <w:tcPr>
            <w:tcW w:w="1134" w:type="dxa"/>
            <w:noWrap/>
            <w:hideMark/>
          </w:tcPr>
          <w:p w14:paraId="524B8312" w14:textId="716C14B1" w:rsidR="00E2586F" w:rsidRPr="004B723C" w:rsidRDefault="00D45F56"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Ref.</w:t>
            </w:r>
          </w:p>
        </w:tc>
        <w:tc>
          <w:tcPr>
            <w:tcW w:w="1134" w:type="dxa"/>
            <w:noWrap/>
            <w:hideMark/>
          </w:tcPr>
          <w:p w14:paraId="35F02999" w14:textId="77777777" w:rsidR="00E2586F" w:rsidRPr="004B723C" w:rsidRDefault="00E2586F"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526/3,693</w:t>
            </w:r>
          </w:p>
        </w:tc>
        <w:tc>
          <w:tcPr>
            <w:tcW w:w="1417" w:type="dxa"/>
            <w:noWrap/>
            <w:hideMark/>
          </w:tcPr>
          <w:p w14:paraId="5978A72D" w14:textId="77777777" w:rsidR="00E2586F" w:rsidRPr="004B723C" w:rsidRDefault="00E2586F"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402/3,135</w:t>
            </w:r>
          </w:p>
        </w:tc>
        <w:tc>
          <w:tcPr>
            <w:tcW w:w="1418" w:type="dxa"/>
            <w:noWrap/>
            <w:hideMark/>
          </w:tcPr>
          <w:p w14:paraId="04B245F7" w14:textId="5A62B36D" w:rsidR="00E2586F" w:rsidRPr="004B723C" w:rsidRDefault="00D45F56"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Ref.</w:t>
            </w:r>
          </w:p>
        </w:tc>
        <w:tc>
          <w:tcPr>
            <w:tcW w:w="1236" w:type="dxa"/>
            <w:noWrap/>
            <w:hideMark/>
          </w:tcPr>
          <w:p w14:paraId="4632B553" w14:textId="178A3072" w:rsidR="00E2586F" w:rsidRPr="004B723C" w:rsidRDefault="00D45F56"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Ref.</w:t>
            </w:r>
          </w:p>
        </w:tc>
      </w:tr>
      <w:tr w:rsidR="005E1957" w:rsidRPr="004B723C" w14:paraId="7D0D2DCA" w14:textId="77777777" w:rsidTr="00B01F74">
        <w:trPr>
          <w:trHeight w:val="300"/>
          <w:jc w:val="center"/>
        </w:trPr>
        <w:tc>
          <w:tcPr>
            <w:cnfStyle w:val="001000000000" w:firstRow="0" w:lastRow="0" w:firstColumn="1" w:lastColumn="0" w:oddVBand="0" w:evenVBand="0" w:oddHBand="0" w:evenHBand="0" w:firstRowFirstColumn="0" w:firstRowLastColumn="0" w:lastRowFirstColumn="0" w:lastRowLastColumn="0"/>
            <w:tcW w:w="2684" w:type="dxa"/>
            <w:noWrap/>
            <w:hideMark/>
          </w:tcPr>
          <w:p w14:paraId="4CBDA30A" w14:textId="77777777" w:rsidR="00E2586F" w:rsidRPr="004B723C" w:rsidRDefault="00E2586F" w:rsidP="00C72C10">
            <w:pPr>
              <w:spacing w:line="276" w:lineRule="auto"/>
              <w:rPr>
                <w:rFonts w:eastAsia="Times New Roman" w:cs="Times New Roman"/>
                <w:color w:val="000000"/>
                <w:sz w:val="18"/>
                <w:szCs w:val="18"/>
                <w:lang w:eastAsia="en-GB"/>
              </w:rPr>
            </w:pPr>
          </w:p>
        </w:tc>
        <w:tc>
          <w:tcPr>
            <w:tcW w:w="850" w:type="dxa"/>
            <w:noWrap/>
            <w:hideMark/>
          </w:tcPr>
          <w:p w14:paraId="2224998A" w14:textId="77777777" w:rsidR="00E2586F" w:rsidRPr="004B723C" w:rsidRDefault="00E2586F" w:rsidP="00C72C10">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Yes</w:t>
            </w:r>
          </w:p>
        </w:tc>
        <w:tc>
          <w:tcPr>
            <w:tcW w:w="1134" w:type="dxa"/>
            <w:noWrap/>
          </w:tcPr>
          <w:p w14:paraId="712313FA" w14:textId="60901674" w:rsidR="00E2586F" w:rsidRPr="004B723C" w:rsidRDefault="00E2586F"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418" w:type="dxa"/>
            <w:noWrap/>
            <w:hideMark/>
          </w:tcPr>
          <w:p w14:paraId="69C25DA5" w14:textId="77777777" w:rsidR="00E2586F" w:rsidRPr="004B723C" w:rsidRDefault="00E2586F"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124/558</w:t>
            </w:r>
          </w:p>
        </w:tc>
        <w:tc>
          <w:tcPr>
            <w:tcW w:w="1559" w:type="dxa"/>
            <w:noWrap/>
            <w:hideMark/>
          </w:tcPr>
          <w:p w14:paraId="608F7EA5" w14:textId="5CDEBB91" w:rsidR="00E2586F" w:rsidRPr="004B723C" w:rsidRDefault="00E2586F"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1</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88 (1</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54–2</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30)</w:t>
            </w:r>
          </w:p>
        </w:tc>
        <w:tc>
          <w:tcPr>
            <w:tcW w:w="1134" w:type="dxa"/>
            <w:noWrap/>
            <w:hideMark/>
          </w:tcPr>
          <w:p w14:paraId="7BFA7BDF" w14:textId="56414CD3" w:rsidR="00E2586F" w:rsidRPr="004B723C" w:rsidRDefault="00D53FD9"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7.32 × 10</w:t>
            </w:r>
            <w:r w:rsidRPr="004B723C">
              <w:rPr>
                <w:rFonts w:eastAsia="Times New Roman" w:cs="Times New Roman"/>
                <w:color w:val="000000"/>
                <w:sz w:val="18"/>
                <w:szCs w:val="18"/>
                <w:vertAlign w:val="superscript"/>
                <w:lang w:eastAsia="en-GB"/>
              </w:rPr>
              <w:t>-10</w:t>
            </w:r>
          </w:p>
        </w:tc>
        <w:tc>
          <w:tcPr>
            <w:tcW w:w="1134" w:type="dxa"/>
            <w:noWrap/>
          </w:tcPr>
          <w:p w14:paraId="536F047C" w14:textId="12BA4286" w:rsidR="00E2586F" w:rsidRPr="004B723C" w:rsidRDefault="00E2586F"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417" w:type="dxa"/>
            <w:noWrap/>
            <w:hideMark/>
          </w:tcPr>
          <w:p w14:paraId="650BE73B" w14:textId="77777777" w:rsidR="00E2586F" w:rsidRPr="004B723C" w:rsidRDefault="00E2586F"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124/558</w:t>
            </w:r>
          </w:p>
        </w:tc>
        <w:tc>
          <w:tcPr>
            <w:tcW w:w="1418" w:type="dxa"/>
            <w:noWrap/>
            <w:hideMark/>
          </w:tcPr>
          <w:p w14:paraId="14B2A8A4" w14:textId="1153ED39" w:rsidR="00E2586F" w:rsidRPr="004B723C" w:rsidRDefault="00E2586F"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1</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20 (0</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95–1</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51)</w:t>
            </w:r>
          </w:p>
        </w:tc>
        <w:tc>
          <w:tcPr>
            <w:tcW w:w="1236" w:type="dxa"/>
            <w:noWrap/>
            <w:hideMark/>
          </w:tcPr>
          <w:p w14:paraId="24FC45C4" w14:textId="5BC06E7C" w:rsidR="00E2586F" w:rsidRPr="004B723C" w:rsidRDefault="00E2586F" w:rsidP="00C72C1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0</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13</w:t>
            </w:r>
          </w:p>
        </w:tc>
      </w:tr>
    </w:tbl>
    <w:p w14:paraId="6CF3C04D" w14:textId="732CC1A4" w:rsidR="00C22EA6" w:rsidRPr="004B723C" w:rsidRDefault="00C22EA6" w:rsidP="00BF0A42">
      <w:pPr>
        <w:spacing w:before="240" w:line="360" w:lineRule="auto"/>
      </w:pPr>
      <w:r w:rsidRPr="004B723C">
        <w:lastRenderedPageBreak/>
        <w:t>Values are hazard ratios (HRs) with 95% confidence intervals (CIs) from univariable and multivariable Cox proportional-hazards models. Total events and events per subgroup are presented as n/N, where n denotes the number of events and N the number of participants with non-missing data for the respective covariate. Multivariable models were adjusted for recipient age and sex; donor age and type (living, donation after circulatory death or donation after brain death); repeat transplantation; calendar year of transplantation; HLA mismatch; HLA</w:t>
      </w:r>
      <w:r w:rsidR="00C03565" w:rsidRPr="004B723C">
        <w:t>-</w:t>
      </w:r>
      <w:r w:rsidRPr="004B723C">
        <w:t xml:space="preserve">DSA status at transplantation; cold </w:t>
      </w:r>
      <w:r w:rsidR="00492FBC" w:rsidRPr="004B723C">
        <w:t>ischemia</w:t>
      </w:r>
      <w:r w:rsidRPr="004B723C">
        <w:t xml:space="preserve"> time; and transplant </w:t>
      </w:r>
      <w:r w:rsidR="00492FBC" w:rsidRPr="004B723C">
        <w:t>center</w:t>
      </w:r>
      <w:r w:rsidRPr="004B723C">
        <w:t>.</w:t>
      </w:r>
    </w:p>
    <w:p w14:paraId="417A4712" w14:textId="1860095A" w:rsidR="00C22EA6" w:rsidRPr="004B723C" w:rsidRDefault="00C22EA6" w:rsidP="007F3A2D">
      <w:pPr>
        <w:spacing w:before="240" w:line="360" w:lineRule="auto"/>
      </w:pPr>
      <w:r w:rsidRPr="004B723C">
        <w:t xml:space="preserve">Abbreviations: CMV, cytomegalovirus; D, donor; DSA, donor-specific antibody; HLA, human leukocyte antigen; R, recipient; </w:t>
      </w:r>
      <w:r w:rsidR="00D45F56" w:rsidRPr="004B723C">
        <w:t>Ref.</w:t>
      </w:r>
      <w:r w:rsidRPr="004B723C">
        <w:t>, reference.</w:t>
      </w:r>
    </w:p>
    <w:p w14:paraId="4860765C" w14:textId="77777777" w:rsidR="00E06651" w:rsidRPr="004B723C" w:rsidRDefault="00E06651" w:rsidP="007F3A2D">
      <w:pPr>
        <w:spacing w:before="240" w:line="360" w:lineRule="auto"/>
      </w:pPr>
    </w:p>
    <w:p w14:paraId="1CD9F0EB" w14:textId="77777777" w:rsidR="008F2DD5" w:rsidRPr="004B723C" w:rsidRDefault="008F2DD5" w:rsidP="007F3A2D">
      <w:pPr>
        <w:spacing w:before="240" w:line="360" w:lineRule="auto"/>
        <w:sectPr w:rsidR="008F2DD5" w:rsidRPr="004B723C" w:rsidSect="00380509">
          <w:pgSz w:w="16838" w:h="11906" w:orient="landscape"/>
          <w:pgMar w:top="1417" w:right="1417" w:bottom="1417" w:left="1417" w:header="708" w:footer="708" w:gutter="0"/>
          <w:cols w:space="708"/>
          <w:docGrid w:linePitch="360"/>
        </w:sectPr>
      </w:pPr>
    </w:p>
    <w:p w14:paraId="4D728AE5" w14:textId="37D252F2" w:rsidR="00D93031" w:rsidRPr="004B723C" w:rsidRDefault="00BD42E9" w:rsidP="007F3A2D">
      <w:pPr>
        <w:pStyle w:val="Heading2"/>
      </w:pPr>
      <w:bookmarkStart w:id="5" w:name="_Toc216645090"/>
      <w:r w:rsidRPr="004B723C">
        <w:lastRenderedPageBreak/>
        <w:t>T</w:t>
      </w:r>
      <w:r w:rsidR="00D15F90" w:rsidRPr="004B723C">
        <w:t xml:space="preserve">able </w:t>
      </w:r>
      <w:r w:rsidR="00267FED" w:rsidRPr="004B723C">
        <w:t>S5</w:t>
      </w:r>
      <w:r w:rsidR="00ED6FD9" w:rsidRPr="004B723C">
        <w:t xml:space="preserve">: </w:t>
      </w:r>
      <w:r w:rsidR="002F0F29" w:rsidRPr="004B723C">
        <w:t>Cox proportional hazards models for</w:t>
      </w:r>
      <w:r w:rsidR="00663206" w:rsidRPr="004B723C">
        <w:t xml:space="preserve"> CMV serostatus and</w:t>
      </w:r>
      <w:r w:rsidR="002F0F29" w:rsidRPr="004B723C">
        <w:t xml:space="preserve"> first MVI without glomerulitis</w:t>
      </w:r>
      <w:bookmarkEnd w:id="5"/>
    </w:p>
    <w:tbl>
      <w:tblPr>
        <w:tblStyle w:val="Nature"/>
        <w:tblW w:w="0" w:type="auto"/>
        <w:jc w:val="center"/>
        <w:tblLayout w:type="fixed"/>
        <w:tblLook w:val="04A0" w:firstRow="1" w:lastRow="0" w:firstColumn="1" w:lastColumn="0" w:noHBand="0" w:noVBand="1"/>
      </w:tblPr>
      <w:tblGrid>
        <w:gridCol w:w="2684"/>
        <w:gridCol w:w="992"/>
        <w:gridCol w:w="1134"/>
        <w:gridCol w:w="1417"/>
        <w:gridCol w:w="1418"/>
        <w:gridCol w:w="1134"/>
        <w:gridCol w:w="1134"/>
        <w:gridCol w:w="1417"/>
        <w:gridCol w:w="1560"/>
        <w:gridCol w:w="1094"/>
      </w:tblGrid>
      <w:tr w:rsidR="00EC0F8C" w:rsidRPr="004B723C" w14:paraId="118B9E67" w14:textId="77777777" w:rsidTr="00EC0F8C">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684" w:type="dxa"/>
            <w:noWrap/>
            <w:hideMark/>
          </w:tcPr>
          <w:p w14:paraId="07AC5697" w14:textId="5146D655" w:rsidR="00FC2617" w:rsidRPr="004B723C" w:rsidRDefault="009B73F9" w:rsidP="006D6EF2">
            <w:pPr>
              <w:spacing w:line="276" w:lineRule="auto"/>
              <w:rPr>
                <w:rFonts w:eastAsia="Times New Roman" w:cs="Times New Roman"/>
                <w:b/>
                <w:bCs/>
                <w:i w:val="0"/>
                <w:iCs w:val="0"/>
                <w:color w:val="000000"/>
                <w:sz w:val="18"/>
                <w:szCs w:val="18"/>
                <w:lang w:eastAsia="en-GB"/>
              </w:rPr>
            </w:pPr>
            <w:r>
              <w:rPr>
                <w:rFonts w:eastAsia="Times New Roman" w:cs="Times New Roman"/>
                <w:b/>
                <w:bCs/>
                <w:color w:val="000000"/>
                <w:sz w:val="18"/>
                <w:szCs w:val="18"/>
                <w:lang w:eastAsia="en-GB"/>
              </w:rPr>
              <w:t>Factors</w:t>
            </w:r>
          </w:p>
        </w:tc>
        <w:tc>
          <w:tcPr>
            <w:tcW w:w="992" w:type="dxa"/>
            <w:noWrap/>
            <w:hideMark/>
          </w:tcPr>
          <w:p w14:paraId="79828CDC" w14:textId="1C95690D" w:rsidR="00FC2617" w:rsidRPr="004B723C" w:rsidRDefault="00FC2617" w:rsidP="006D6EF2">
            <w:pPr>
              <w:spacing w:line="276" w:lineRule="auto"/>
              <w:cnfStyle w:val="100000000000" w:firstRow="1" w:lastRow="0" w:firstColumn="0" w:lastColumn="0" w:oddVBand="0" w:evenVBand="0" w:oddHBand="0" w:evenHBand="0" w:firstRowFirstColumn="0" w:firstRowLastColumn="0" w:lastRowFirstColumn="0" w:lastRowLastColumn="0"/>
              <w:rPr>
                <w:rFonts w:eastAsia="Times New Roman" w:cs="Times New Roman"/>
                <w:b/>
                <w:bCs/>
                <w:i w:val="0"/>
                <w:iCs w:val="0"/>
                <w:color w:val="000000"/>
                <w:sz w:val="18"/>
                <w:szCs w:val="18"/>
                <w:lang w:eastAsia="en-GB"/>
              </w:rPr>
            </w:pPr>
            <w:r w:rsidRPr="004B723C">
              <w:rPr>
                <w:rFonts w:eastAsia="Times New Roman" w:cs="Times New Roman"/>
                <w:b/>
                <w:bCs/>
                <w:color w:val="000000"/>
                <w:sz w:val="18"/>
                <w:szCs w:val="18"/>
                <w:lang w:eastAsia="en-GB"/>
              </w:rPr>
              <w:t>Level</w:t>
            </w:r>
          </w:p>
        </w:tc>
        <w:tc>
          <w:tcPr>
            <w:tcW w:w="1134" w:type="dxa"/>
            <w:noWrap/>
            <w:hideMark/>
          </w:tcPr>
          <w:p w14:paraId="2062C1FE" w14:textId="68D79614" w:rsidR="00FC2617" w:rsidRPr="004B723C" w:rsidRDefault="00FC2617" w:rsidP="006D6EF2">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i w:val="0"/>
                <w:iCs w:val="0"/>
                <w:color w:val="000000"/>
                <w:sz w:val="18"/>
                <w:szCs w:val="18"/>
                <w:lang w:eastAsia="en-GB"/>
              </w:rPr>
            </w:pPr>
            <w:r w:rsidRPr="004B723C">
              <w:rPr>
                <w:rFonts w:eastAsia="Times New Roman" w:cs="Times New Roman"/>
                <w:b/>
                <w:bCs/>
                <w:color w:val="000000"/>
                <w:sz w:val="18"/>
                <w:szCs w:val="18"/>
                <w:lang w:eastAsia="en-GB"/>
              </w:rPr>
              <w:t>Events/</w:t>
            </w:r>
            <w:r w:rsidR="00BC3F6F" w:rsidRPr="004B723C">
              <w:rPr>
                <w:rFonts w:eastAsia="Times New Roman" w:cs="Times New Roman"/>
                <w:b/>
                <w:bCs/>
                <w:color w:val="000000"/>
                <w:sz w:val="18"/>
                <w:szCs w:val="18"/>
                <w:lang w:eastAsia="en-GB"/>
              </w:rPr>
              <w:br/>
            </w:r>
            <w:r w:rsidRPr="004B723C">
              <w:rPr>
                <w:rFonts w:eastAsia="Times New Roman" w:cs="Times New Roman"/>
                <w:b/>
                <w:bCs/>
                <w:color w:val="000000"/>
                <w:sz w:val="18"/>
                <w:szCs w:val="18"/>
                <w:lang w:eastAsia="en-GB"/>
              </w:rPr>
              <w:t xml:space="preserve">N </w:t>
            </w:r>
            <w:r w:rsidR="00492FBC" w:rsidRPr="004B723C">
              <w:rPr>
                <w:rFonts w:eastAsia="Times New Roman" w:cs="Times New Roman"/>
                <w:b/>
                <w:bCs/>
                <w:color w:val="000000"/>
                <w:sz w:val="18"/>
                <w:szCs w:val="18"/>
                <w:lang w:eastAsia="en-GB"/>
              </w:rPr>
              <w:t>analyzed</w:t>
            </w:r>
          </w:p>
        </w:tc>
        <w:tc>
          <w:tcPr>
            <w:tcW w:w="1417" w:type="dxa"/>
            <w:noWrap/>
            <w:hideMark/>
          </w:tcPr>
          <w:p w14:paraId="07B900AC" w14:textId="0CBC5EF4" w:rsidR="00FC2617" w:rsidRPr="004B723C" w:rsidRDefault="00FC2617" w:rsidP="006D6EF2">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i w:val="0"/>
                <w:iCs w:val="0"/>
                <w:color w:val="000000"/>
                <w:sz w:val="18"/>
                <w:szCs w:val="18"/>
                <w:lang w:eastAsia="en-GB"/>
              </w:rPr>
            </w:pPr>
            <w:r w:rsidRPr="004B723C">
              <w:rPr>
                <w:rFonts w:eastAsia="Times New Roman" w:cs="Times New Roman"/>
                <w:b/>
                <w:bCs/>
                <w:color w:val="000000"/>
                <w:sz w:val="18"/>
                <w:szCs w:val="18"/>
                <w:lang w:eastAsia="en-GB"/>
              </w:rPr>
              <w:t>Events (group)/</w:t>
            </w:r>
            <w:r w:rsidR="00BC3F6F" w:rsidRPr="004B723C">
              <w:rPr>
                <w:rFonts w:eastAsia="Times New Roman" w:cs="Times New Roman"/>
                <w:b/>
                <w:bCs/>
                <w:color w:val="000000"/>
                <w:sz w:val="18"/>
                <w:szCs w:val="18"/>
                <w:lang w:eastAsia="en-GB"/>
              </w:rPr>
              <w:br/>
            </w:r>
            <w:r w:rsidRPr="004B723C">
              <w:rPr>
                <w:rFonts w:eastAsia="Times New Roman" w:cs="Times New Roman"/>
                <w:b/>
                <w:bCs/>
                <w:color w:val="000000"/>
                <w:sz w:val="18"/>
                <w:szCs w:val="18"/>
                <w:lang w:eastAsia="en-GB"/>
              </w:rPr>
              <w:t>N (group)</w:t>
            </w:r>
          </w:p>
        </w:tc>
        <w:tc>
          <w:tcPr>
            <w:tcW w:w="1418" w:type="dxa"/>
            <w:noWrap/>
            <w:hideMark/>
          </w:tcPr>
          <w:p w14:paraId="5F5B8054" w14:textId="7F8E903D" w:rsidR="00FC2617" w:rsidRPr="004B723C" w:rsidRDefault="00FC2617" w:rsidP="006D6EF2">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i w:val="0"/>
                <w:iCs w:val="0"/>
                <w:color w:val="000000"/>
                <w:sz w:val="18"/>
                <w:szCs w:val="18"/>
                <w:lang w:eastAsia="en-GB"/>
              </w:rPr>
            </w:pPr>
            <w:r w:rsidRPr="004B723C">
              <w:rPr>
                <w:rFonts w:eastAsia="Times New Roman" w:cs="Times New Roman"/>
                <w:b/>
                <w:bCs/>
                <w:color w:val="000000"/>
                <w:sz w:val="18"/>
                <w:szCs w:val="18"/>
                <w:lang w:eastAsia="en-GB"/>
              </w:rPr>
              <w:t>HR</w:t>
            </w:r>
            <w:r w:rsidR="00BC3F6F" w:rsidRPr="004B723C">
              <w:rPr>
                <w:rFonts w:eastAsia="Times New Roman" w:cs="Times New Roman"/>
                <w:b/>
                <w:bCs/>
                <w:color w:val="000000"/>
                <w:sz w:val="18"/>
                <w:szCs w:val="18"/>
                <w:lang w:eastAsia="en-GB"/>
              </w:rPr>
              <w:br/>
            </w:r>
            <w:r w:rsidRPr="004B723C">
              <w:rPr>
                <w:rFonts w:eastAsia="Times New Roman" w:cs="Times New Roman"/>
                <w:b/>
                <w:bCs/>
                <w:color w:val="000000"/>
                <w:sz w:val="18"/>
                <w:szCs w:val="18"/>
                <w:lang w:eastAsia="en-GB"/>
              </w:rPr>
              <w:t>(95% CI)</w:t>
            </w:r>
          </w:p>
        </w:tc>
        <w:tc>
          <w:tcPr>
            <w:tcW w:w="1134" w:type="dxa"/>
            <w:noWrap/>
            <w:hideMark/>
          </w:tcPr>
          <w:p w14:paraId="5456F90C" w14:textId="1AD3E316" w:rsidR="00FC2617" w:rsidRPr="004B723C" w:rsidRDefault="00AE37FE" w:rsidP="006D6EF2">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i w:val="0"/>
                <w:iCs w:val="0"/>
                <w:color w:val="000000"/>
                <w:sz w:val="18"/>
                <w:szCs w:val="18"/>
                <w:lang w:eastAsia="en-GB"/>
              </w:rPr>
            </w:pPr>
            <w:r>
              <w:rPr>
                <w:rFonts w:eastAsia="Times New Roman" w:cs="Times New Roman"/>
                <w:b/>
                <w:bCs/>
                <w:color w:val="000000"/>
                <w:sz w:val="18"/>
                <w:szCs w:val="18"/>
                <w:lang w:eastAsia="en-GB"/>
              </w:rPr>
              <w:t xml:space="preserve">P </w:t>
            </w:r>
            <w:r w:rsidR="00FC2617" w:rsidRPr="004B723C">
              <w:rPr>
                <w:rFonts w:eastAsia="Times New Roman" w:cs="Times New Roman"/>
                <w:b/>
                <w:bCs/>
                <w:color w:val="000000"/>
                <w:sz w:val="18"/>
                <w:szCs w:val="18"/>
                <w:lang w:eastAsia="en-GB"/>
              </w:rPr>
              <w:t>value</w:t>
            </w:r>
          </w:p>
        </w:tc>
        <w:tc>
          <w:tcPr>
            <w:tcW w:w="1134" w:type="dxa"/>
            <w:noWrap/>
            <w:hideMark/>
          </w:tcPr>
          <w:p w14:paraId="279D15BB" w14:textId="31A57B72" w:rsidR="00FC2617" w:rsidRPr="004B723C" w:rsidRDefault="00FC2617" w:rsidP="006D6EF2">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i w:val="0"/>
                <w:iCs w:val="0"/>
                <w:color w:val="000000"/>
                <w:sz w:val="18"/>
                <w:szCs w:val="18"/>
                <w:lang w:eastAsia="en-GB"/>
              </w:rPr>
            </w:pPr>
            <w:r w:rsidRPr="004B723C">
              <w:rPr>
                <w:rFonts w:eastAsia="Times New Roman" w:cs="Times New Roman"/>
                <w:b/>
                <w:bCs/>
                <w:color w:val="000000"/>
                <w:sz w:val="18"/>
                <w:szCs w:val="18"/>
                <w:lang w:eastAsia="en-GB"/>
              </w:rPr>
              <w:t>Events/</w:t>
            </w:r>
            <w:r w:rsidR="00BC3F6F" w:rsidRPr="004B723C">
              <w:rPr>
                <w:rFonts w:eastAsia="Times New Roman" w:cs="Times New Roman"/>
                <w:b/>
                <w:bCs/>
                <w:color w:val="000000"/>
                <w:sz w:val="18"/>
                <w:szCs w:val="18"/>
                <w:lang w:eastAsia="en-GB"/>
              </w:rPr>
              <w:br/>
            </w:r>
            <w:r w:rsidRPr="004B723C">
              <w:rPr>
                <w:rFonts w:eastAsia="Times New Roman" w:cs="Times New Roman"/>
                <w:b/>
                <w:bCs/>
                <w:color w:val="000000"/>
                <w:sz w:val="18"/>
                <w:szCs w:val="18"/>
                <w:lang w:eastAsia="en-GB"/>
              </w:rPr>
              <w:t xml:space="preserve">N </w:t>
            </w:r>
            <w:r w:rsidR="00492FBC" w:rsidRPr="004B723C">
              <w:rPr>
                <w:rFonts w:eastAsia="Times New Roman" w:cs="Times New Roman"/>
                <w:b/>
                <w:bCs/>
                <w:color w:val="000000"/>
                <w:sz w:val="18"/>
                <w:szCs w:val="18"/>
                <w:lang w:eastAsia="en-GB"/>
              </w:rPr>
              <w:t>analyzed</w:t>
            </w:r>
          </w:p>
        </w:tc>
        <w:tc>
          <w:tcPr>
            <w:tcW w:w="1417" w:type="dxa"/>
            <w:noWrap/>
            <w:hideMark/>
          </w:tcPr>
          <w:p w14:paraId="50576EA4" w14:textId="130D61EA" w:rsidR="00FC2617" w:rsidRPr="004B723C" w:rsidRDefault="00FC2617" w:rsidP="006D6EF2">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i w:val="0"/>
                <w:iCs w:val="0"/>
                <w:sz w:val="18"/>
                <w:szCs w:val="18"/>
                <w:lang w:eastAsia="en-GB"/>
              </w:rPr>
            </w:pPr>
            <w:r w:rsidRPr="004B723C">
              <w:rPr>
                <w:rFonts w:eastAsia="Times New Roman" w:cs="Times New Roman"/>
                <w:b/>
                <w:bCs/>
                <w:color w:val="000000"/>
                <w:sz w:val="18"/>
                <w:szCs w:val="18"/>
                <w:lang w:eastAsia="en-GB"/>
              </w:rPr>
              <w:t>Events (group)/</w:t>
            </w:r>
            <w:r w:rsidR="00BC3F6F" w:rsidRPr="004B723C">
              <w:rPr>
                <w:rFonts w:eastAsia="Times New Roman" w:cs="Times New Roman"/>
                <w:b/>
                <w:bCs/>
                <w:color w:val="000000"/>
                <w:sz w:val="18"/>
                <w:szCs w:val="18"/>
                <w:lang w:eastAsia="en-GB"/>
              </w:rPr>
              <w:br/>
            </w:r>
            <w:r w:rsidRPr="004B723C">
              <w:rPr>
                <w:rFonts w:eastAsia="Times New Roman" w:cs="Times New Roman"/>
                <w:b/>
                <w:bCs/>
                <w:color w:val="000000"/>
                <w:sz w:val="18"/>
                <w:szCs w:val="18"/>
                <w:lang w:eastAsia="en-GB"/>
              </w:rPr>
              <w:t>N (group)</w:t>
            </w:r>
          </w:p>
        </w:tc>
        <w:tc>
          <w:tcPr>
            <w:tcW w:w="1560" w:type="dxa"/>
            <w:noWrap/>
            <w:hideMark/>
          </w:tcPr>
          <w:p w14:paraId="453C5CE6" w14:textId="489E58FC" w:rsidR="00FC2617" w:rsidRPr="004B723C" w:rsidRDefault="00FC2617" w:rsidP="006D6EF2">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i w:val="0"/>
                <w:iCs w:val="0"/>
                <w:sz w:val="18"/>
                <w:szCs w:val="18"/>
                <w:lang w:eastAsia="en-GB"/>
              </w:rPr>
            </w:pPr>
            <w:r w:rsidRPr="004B723C">
              <w:rPr>
                <w:rFonts w:eastAsia="Times New Roman" w:cs="Times New Roman"/>
                <w:b/>
                <w:bCs/>
                <w:color w:val="000000"/>
                <w:sz w:val="18"/>
                <w:szCs w:val="18"/>
                <w:lang w:eastAsia="en-GB"/>
              </w:rPr>
              <w:t>Adjusted HR</w:t>
            </w:r>
            <w:r w:rsidR="00BC3F6F" w:rsidRPr="004B723C">
              <w:rPr>
                <w:rFonts w:eastAsia="Times New Roman" w:cs="Times New Roman"/>
                <w:b/>
                <w:bCs/>
                <w:color w:val="000000"/>
                <w:sz w:val="18"/>
                <w:szCs w:val="18"/>
                <w:lang w:eastAsia="en-GB"/>
              </w:rPr>
              <w:br/>
            </w:r>
            <w:r w:rsidRPr="004B723C">
              <w:rPr>
                <w:rFonts w:eastAsia="Times New Roman" w:cs="Times New Roman"/>
                <w:b/>
                <w:bCs/>
                <w:color w:val="000000"/>
                <w:sz w:val="18"/>
                <w:szCs w:val="18"/>
                <w:lang w:eastAsia="en-GB"/>
              </w:rPr>
              <w:t>(95% CI)</w:t>
            </w:r>
          </w:p>
        </w:tc>
        <w:tc>
          <w:tcPr>
            <w:tcW w:w="1094" w:type="dxa"/>
            <w:noWrap/>
            <w:hideMark/>
          </w:tcPr>
          <w:p w14:paraId="37C4BCCC" w14:textId="2D381A32" w:rsidR="00FC2617" w:rsidRPr="004B723C" w:rsidRDefault="00AE37FE" w:rsidP="006D6EF2">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i w:val="0"/>
                <w:iCs w:val="0"/>
                <w:sz w:val="18"/>
                <w:szCs w:val="18"/>
                <w:lang w:eastAsia="en-GB"/>
              </w:rPr>
            </w:pPr>
            <w:r>
              <w:rPr>
                <w:rFonts w:eastAsia="Times New Roman" w:cs="Times New Roman"/>
                <w:b/>
                <w:bCs/>
                <w:color w:val="000000"/>
                <w:sz w:val="18"/>
                <w:szCs w:val="18"/>
                <w:lang w:eastAsia="en-GB"/>
              </w:rPr>
              <w:t>P</w:t>
            </w:r>
            <w:r w:rsidR="00FC2617" w:rsidRPr="004B723C">
              <w:rPr>
                <w:rFonts w:eastAsia="Times New Roman" w:cs="Times New Roman"/>
                <w:b/>
                <w:bCs/>
                <w:color w:val="000000"/>
                <w:sz w:val="18"/>
                <w:szCs w:val="18"/>
                <w:lang w:eastAsia="en-GB"/>
              </w:rPr>
              <w:t xml:space="preserve"> value</w:t>
            </w:r>
          </w:p>
        </w:tc>
      </w:tr>
      <w:tr w:rsidR="00FC2617" w:rsidRPr="004B723C" w14:paraId="34973883" w14:textId="77777777" w:rsidTr="00EC0F8C">
        <w:trPr>
          <w:trHeight w:val="300"/>
          <w:jc w:val="center"/>
        </w:trPr>
        <w:tc>
          <w:tcPr>
            <w:cnfStyle w:val="001000000000" w:firstRow="0" w:lastRow="0" w:firstColumn="1" w:lastColumn="0" w:oddVBand="0" w:evenVBand="0" w:oddHBand="0" w:evenHBand="0" w:firstRowFirstColumn="0" w:firstRowLastColumn="0" w:lastRowFirstColumn="0" w:lastRowLastColumn="0"/>
            <w:tcW w:w="2684" w:type="dxa"/>
            <w:noWrap/>
          </w:tcPr>
          <w:p w14:paraId="3F43A10B" w14:textId="77777777" w:rsidR="00FC2617" w:rsidRPr="004B723C" w:rsidRDefault="00FC2617" w:rsidP="006D6EF2">
            <w:pPr>
              <w:spacing w:line="276" w:lineRule="auto"/>
              <w:rPr>
                <w:rFonts w:eastAsia="Times New Roman" w:cs="Times New Roman"/>
                <w:color w:val="000000"/>
                <w:sz w:val="18"/>
                <w:szCs w:val="18"/>
                <w:lang w:eastAsia="en-GB"/>
              </w:rPr>
            </w:pPr>
          </w:p>
        </w:tc>
        <w:tc>
          <w:tcPr>
            <w:tcW w:w="992" w:type="dxa"/>
            <w:noWrap/>
          </w:tcPr>
          <w:p w14:paraId="2085F2A6" w14:textId="77777777" w:rsidR="00FC2617" w:rsidRPr="004B723C" w:rsidRDefault="00FC2617" w:rsidP="006D6EF2">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5103" w:type="dxa"/>
            <w:gridSpan w:val="4"/>
            <w:noWrap/>
          </w:tcPr>
          <w:p w14:paraId="26BF693A" w14:textId="347D99C2"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b/>
                <w:bCs/>
                <w:color w:val="000000"/>
                <w:sz w:val="18"/>
                <w:szCs w:val="18"/>
                <w:lang w:eastAsia="en-GB"/>
              </w:rPr>
              <w:t xml:space="preserve">UNIVARIABLE </w:t>
            </w:r>
            <w:r w:rsidR="00E13E1E" w:rsidRPr="004B723C">
              <w:rPr>
                <w:rFonts w:eastAsia="Times New Roman" w:cs="Times New Roman"/>
                <w:b/>
                <w:bCs/>
                <w:color w:val="000000"/>
                <w:sz w:val="18"/>
                <w:szCs w:val="18"/>
                <w:lang w:eastAsia="en-GB"/>
              </w:rPr>
              <w:t>ANALYSIS</w:t>
            </w:r>
          </w:p>
        </w:tc>
        <w:tc>
          <w:tcPr>
            <w:tcW w:w="5205" w:type="dxa"/>
            <w:gridSpan w:val="4"/>
            <w:noWrap/>
          </w:tcPr>
          <w:p w14:paraId="4EAF4281" w14:textId="51807D0B"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b/>
                <w:bCs/>
                <w:color w:val="000000"/>
                <w:sz w:val="18"/>
                <w:szCs w:val="18"/>
                <w:lang w:eastAsia="en-GB"/>
              </w:rPr>
              <w:t xml:space="preserve">MULTIVARIABLE </w:t>
            </w:r>
            <w:r w:rsidR="00E13E1E" w:rsidRPr="004B723C">
              <w:rPr>
                <w:rFonts w:eastAsia="Times New Roman" w:cs="Times New Roman"/>
                <w:b/>
                <w:bCs/>
                <w:color w:val="000000"/>
                <w:sz w:val="18"/>
                <w:szCs w:val="18"/>
                <w:lang w:eastAsia="en-GB"/>
              </w:rPr>
              <w:t>ANALYSIS</w:t>
            </w:r>
          </w:p>
        </w:tc>
      </w:tr>
      <w:tr w:rsidR="00EC0F8C" w:rsidRPr="004B723C" w14:paraId="6214B8A7" w14:textId="77777777" w:rsidTr="00EC0F8C">
        <w:trPr>
          <w:trHeight w:val="300"/>
          <w:jc w:val="center"/>
        </w:trPr>
        <w:tc>
          <w:tcPr>
            <w:cnfStyle w:val="001000000000" w:firstRow="0" w:lastRow="0" w:firstColumn="1" w:lastColumn="0" w:oddVBand="0" w:evenVBand="0" w:oddHBand="0" w:evenHBand="0" w:firstRowFirstColumn="0" w:firstRowLastColumn="0" w:lastRowFirstColumn="0" w:lastRowLastColumn="0"/>
            <w:tcW w:w="2684" w:type="dxa"/>
            <w:noWrap/>
            <w:hideMark/>
          </w:tcPr>
          <w:p w14:paraId="3448830D" w14:textId="77777777" w:rsidR="00FC2617" w:rsidRPr="004B723C" w:rsidRDefault="00FC2617" w:rsidP="006D6EF2">
            <w:pPr>
              <w:spacing w:line="276" w:lineRule="auto"/>
              <w:rPr>
                <w:rFonts w:eastAsia="Times New Roman" w:cs="Times New Roman"/>
                <w:color w:val="000000"/>
                <w:sz w:val="18"/>
                <w:szCs w:val="18"/>
                <w:lang w:eastAsia="en-GB"/>
              </w:rPr>
            </w:pPr>
            <w:r w:rsidRPr="004B723C">
              <w:rPr>
                <w:rFonts w:eastAsia="Times New Roman" w:cs="Times New Roman"/>
                <w:color w:val="000000"/>
                <w:sz w:val="18"/>
                <w:szCs w:val="18"/>
                <w:lang w:eastAsia="en-GB"/>
              </w:rPr>
              <w:t>Calendar year of transplantation (per year)</w:t>
            </w:r>
          </w:p>
        </w:tc>
        <w:tc>
          <w:tcPr>
            <w:tcW w:w="992" w:type="dxa"/>
            <w:noWrap/>
            <w:hideMark/>
          </w:tcPr>
          <w:p w14:paraId="5CD854F3" w14:textId="77777777" w:rsidR="00FC2617" w:rsidRPr="004B723C" w:rsidRDefault="00FC2617" w:rsidP="006D6EF2">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w:t>
            </w:r>
          </w:p>
        </w:tc>
        <w:tc>
          <w:tcPr>
            <w:tcW w:w="1134" w:type="dxa"/>
            <w:noWrap/>
            <w:hideMark/>
          </w:tcPr>
          <w:p w14:paraId="723FD633" w14:textId="77777777"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637/3,713</w:t>
            </w:r>
          </w:p>
        </w:tc>
        <w:tc>
          <w:tcPr>
            <w:tcW w:w="1417" w:type="dxa"/>
            <w:noWrap/>
            <w:hideMark/>
          </w:tcPr>
          <w:p w14:paraId="16096043" w14:textId="77777777"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w:t>
            </w:r>
          </w:p>
        </w:tc>
        <w:tc>
          <w:tcPr>
            <w:tcW w:w="1418" w:type="dxa"/>
            <w:noWrap/>
            <w:hideMark/>
          </w:tcPr>
          <w:p w14:paraId="00BE9607" w14:textId="787C2E9F"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0</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96 (0</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94–0</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97)</w:t>
            </w:r>
          </w:p>
        </w:tc>
        <w:tc>
          <w:tcPr>
            <w:tcW w:w="1134" w:type="dxa"/>
            <w:noWrap/>
            <w:hideMark/>
          </w:tcPr>
          <w:p w14:paraId="2A8E3A0D" w14:textId="5DED7017" w:rsidR="00FC2617" w:rsidRPr="004B723C" w:rsidRDefault="00D53FD9"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6.45 × 10</w:t>
            </w:r>
            <w:r w:rsidRPr="004B723C">
              <w:rPr>
                <w:rFonts w:eastAsia="Times New Roman" w:cs="Times New Roman"/>
                <w:color w:val="000000"/>
                <w:sz w:val="18"/>
                <w:szCs w:val="18"/>
                <w:vertAlign w:val="superscript"/>
                <w:lang w:eastAsia="en-GB"/>
              </w:rPr>
              <w:t>-9</w:t>
            </w:r>
          </w:p>
        </w:tc>
        <w:tc>
          <w:tcPr>
            <w:tcW w:w="1134" w:type="dxa"/>
            <w:noWrap/>
            <w:hideMark/>
          </w:tcPr>
          <w:p w14:paraId="2D55BE58" w14:textId="77777777"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633/3,693</w:t>
            </w:r>
          </w:p>
        </w:tc>
        <w:tc>
          <w:tcPr>
            <w:tcW w:w="1417" w:type="dxa"/>
            <w:noWrap/>
            <w:hideMark/>
          </w:tcPr>
          <w:p w14:paraId="4D740F18" w14:textId="77777777"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w:t>
            </w:r>
          </w:p>
        </w:tc>
        <w:tc>
          <w:tcPr>
            <w:tcW w:w="1560" w:type="dxa"/>
            <w:noWrap/>
            <w:hideMark/>
          </w:tcPr>
          <w:p w14:paraId="7873FB19" w14:textId="6C31B8DD"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0</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93 (0</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91–0</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95)</w:t>
            </w:r>
          </w:p>
        </w:tc>
        <w:tc>
          <w:tcPr>
            <w:tcW w:w="1094" w:type="dxa"/>
            <w:noWrap/>
            <w:hideMark/>
          </w:tcPr>
          <w:p w14:paraId="1474DB7B" w14:textId="2A3CA453" w:rsidR="00FC2617" w:rsidRPr="004B723C" w:rsidRDefault="00D53FD9"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1.69 × 10</w:t>
            </w:r>
            <w:r w:rsidRPr="004B723C">
              <w:rPr>
                <w:rFonts w:eastAsia="Times New Roman" w:cs="Times New Roman"/>
                <w:color w:val="000000"/>
                <w:sz w:val="18"/>
                <w:szCs w:val="18"/>
                <w:vertAlign w:val="superscript"/>
                <w:lang w:eastAsia="en-GB"/>
              </w:rPr>
              <w:t>-9</w:t>
            </w:r>
          </w:p>
        </w:tc>
      </w:tr>
      <w:tr w:rsidR="00EC0F8C" w:rsidRPr="004B723C" w14:paraId="3C3B845F" w14:textId="77777777" w:rsidTr="00EC0F8C">
        <w:trPr>
          <w:trHeight w:val="300"/>
          <w:jc w:val="center"/>
        </w:trPr>
        <w:tc>
          <w:tcPr>
            <w:cnfStyle w:val="001000000000" w:firstRow="0" w:lastRow="0" w:firstColumn="1" w:lastColumn="0" w:oddVBand="0" w:evenVBand="0" w:oddHBand="0" w:evenHBand="0" w:firstRowFirstColumn="0" w:firstRowLastColumn="0" w:lastRowFirstColumn="0" w:lastRowLastColumn="0"/>
            <w:tcW w:w="2684" w:type="dxa"/>
            <w:noWrap/>
            <w:hideMark/>
          </w:tcPr>
          <w:p w14:paraId="4FFCB6A2" w14:textId="77777777" w:rsidR="00FC2617" w:rsidRPr="004B723C" w:rsidRDefault="00FC2617" w:rsidP="006D6EF2">
            <w:pPr>
              <w:spacing w:line="276" w:lineRule="auto"/>
              <w:rPr>
                <w:rFonts w:eastAsia="Times New Roman" w:cs="Times New Roman"/>
                <w:color w:val="000000"/>
                <w:sz w:val="18"/>
                <w:szCs w:val="18"/>
                <w:lang w:eastAsia="en-GB"/>
              </w:rPr>
            </w:pPr>
            <w:r w:rsidRPr="004B723C">
              <w:rPr>
                <w:rFonts w:eastAsia="Times New Roman" w:cs="Times New Roman"/>
                <w:color w:val="000000"/>
                <w:sz w:val="18"/>
                <w:szCs w:val="18"/>
                <w:lang w:eastAsia="en-GB"/>
              </w:rPr>
              <w:t>Centre</w:t>
            </w:r>
          </w:p>
        </w:tc>
        <w:tc>
          <w:tcPr>
            <w:tcW w:w="992" w:type="dxa"/>
            <w:noWrap/>
            <w:hideMark/>
          </w:tcPr>
          <w:p w14:paraId="2CF74822" w14:textId="77777777" w:rsidR="00FC2617" w:rsidRPr="004B723C" w:rsidRDefault="00FC2617" w:rsidP="006D6EF2">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Basel</w:t>
            </w:r>
          </w:p>
        </w:tc>
        <w:tc>
          <w:tcPr>
            <w:tcW w:w="1134" w:type="dxa"/>
            <w:noWrap/>
            <w:hideMark/>
          </w:tcPr>
          <w:p w14:paraId="25970DAE" w14:textId="77777777"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637/3,713</w:t>
            </w:r>
          </w:p>
        </w:tc>
        <w:tc>
          <w:tcPr>
            <w:tcW w:w="1417" w:type="dxa"/>
            <w:noWrap/>
            <w:hideMark/>
          </w:tcPr>
          <w:p w14:paraId="2EF49112" w14:textId="77777777"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84/460</w:t>
            </w:r>
          </w:p>
        </w:tc>
        <w:tc>
          <w:tcPr>
            <w:tcW w:w="1418" w:type="dxa"/>
            <w:noWrap/>
            <w:hideMark/>
          </w:tcPr>
          <w:p w14:paraId="776E369A" w14:textId="7378C32A" w:rsidR="00FC2617" w:rsidRPr="004B723C" w:rsidRDefault="00D45F56"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Ref.</w:t>
            </w:r>
          </w:p>
        </w:tc>
        <w:tc>
          <w:tcPr>
            <w:tcW w:w="1134" w:type="dxa"/>
            <w:noWrap/>
            <w:hideMark/>
          </w:tcPr>
          <w:p w14:paraId="5A31B4B2" w14:textId="7AE4193E" w:rsidR="00FC2617" w:rsidRPr="004B723C" w:rsidRDefault="00D45F56"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Ref.</w:t>
            </w:r>
          </w:p>
        </w:tc>
        <w:tc>
          <w:tcPr>
            <w:tcW w:w="1134" w:type="dxa"/>
            <w:noWrap/>
            <w:hideMark/>
          </w:tcPr>
          <w:p w14:paraId="3FEDE928" w14:textId="77777777"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633/3,693</w:t>
            </w:r>
          </w:p>
        </w:tc>
        <w:tc>
          <w:tcPr>
            <w:tcW w:w="1417" w:type="dxa"/>
            <w:noWrap/>
            <w:hideMark/>
          </w:tcPr>
          <w:p w14:paraId="25166ADD" w14:textId="77777777"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84/460</w:t>
            </w:r>
          </w:p>
        </w:tc>
        <w:tc>
          <w:tcPr>
            <w:tcW w:w="1560" w:type="dxa"/>
            <w:noWrap/>
            <w:hideMark/>
          </w:tcPr>
          <w:p w14:paraId="680E7720" w14:textId="1BA94A73" w:rsidR="00FC2617" w:rsidRPr="004B723C" w:rsidRDefault="00D45F56"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Ref.</w:t>
            </w:r>
          </w:p>
        </w:tc>
        <w:tc>
          <w:tcPr>
            <w:tcW w:w="1094" w:type="dxa"/>
            <w:noWrap/>
            <w:hideMark/>
          </w:tcPr>
          <w:p w14:paraId="0DFCF479" w14:textId="4899D90C" w:rsidR="00FC2617" w:rsidRPr="004B723C" w:rsidRDefault="00D45F56"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Ref.</w:t>
            </w:r>
          </w:p>
        </w:tc>
      </w:tr>
      <w:tr w:rsidR="00EC0F8C" w:rsidRPr="004B723C" w14:paraId="7450F79A" w14:textId="77777777" w:rsidTr="00EC0F8C">
        <w:trPr>
          <w:trHeight w:val="300"/>
          <w:jc w:val="center"/>
        </w:trPr>
        <w:tc>
          <w:tcPr>
            <w:cnfStyle w:val="001000000000" w:firstRow="0" w:lastRow="0" w:firstColumn="1" w:lastColumn="0" w:oddVBand="0" w:evenVBand="0" w:oddHBand="0" w:evenHBand="0" w:firstRowFirstColumn="0" w:firstRowLastColumn="0" w:lastRowFirstColumn="0" w:lastRowLastColumn="0"/>
            <w:tcW w:w="2684" w:type="dxa"/>
            <w:noWrap/>
          </w:tcPr>
          <w:p w14:paraId="5252161D" w14:textId="0AD5C7AA" w:rsidR="00FC2617" w:rsidRPr="004B723C" w:rsidRDefault="00FC2617" w:rsidP="006D6EF2">
            <w:pPr>
              <w:spacing w:line="276" w:lineRule="auto"/>
              <w:rPr>
                <w:rFonts w:eastAsia="Times New Roman" w:cs="Times New Roman"/>
                <w:color w:val="000000"/>
                <w:sz w:val="18"/>
                <w:szCs w:val="18"/>
                <w:lang w:eastAsia="en-GB"/>
              </w:rPr>
            </w:pPr>
          </w:p>
        </w:tc>
        <w:tc>
          <w:tcPr>
            <w:tcW w:w="992" w:type="dxa"/>
            <w:noWrap/>
            <w:hideMark/>
          </w:tcPr>
          <w:p w14:paraId="32273C10" w14:textId="77777777" w:rsidR="00FC2617" w:rsidRPr="004B723C" w:rsidRDefault="00FC2617" w:rsidP="006D6EF2">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Leuven</w:t>
            </w:r>
          </w:p>
        </w:tc>
        <w:tc>
          <w:tcPr>
            <w:tcW w:w="1134" w:type="dxa"/>
            <w:noWrap/>
          </w:tcPr>
          <w:p w14:paraId="26381060" w14:textId="188CDAAC"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417" w:type="dxa"/>
            <w:noWrap/>
            <w:hideMark/>
          </w:tcPr>
          <w:p w14:paraId="4FD8EF31" w14:textId="77777777"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374/1,805</w:t>
            </w:r>
          </w:p>
        </w:tc>
        <w:tc>
          <w:tcPr>
            <w:tcW w:w="1418" w:type="dxa"/>
            <w:noWrap/>
            <w:hideMark/>
          </w:tcPr>
          <w:p w14:paraId="505D0D1B" w14:textId="483CAEF5"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0</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89 (0</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70–1</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14)</w:t>
            </w:r>
          </w:p>
        </w:tc>
        <w:tc>
          <w:tcPr>
            <w:tcW w:w="1134" w:type="dxa"/>
            <w:noWrap/>
            <w:hideMark/>
          </w:tcPr>
          <w:p w14:paraId="1CCCAAA3" w14:textId="5B10CA23"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0</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36</w:t>
            </w:r>
          </w:p>
        </w:tc>
        <w:tc>
          <w:tcPr>
            <w:tcW w:w="1134" w:type="dxa"/>
            <w:noWrap/>
          </w:tcPr>
          <w:p w14:paraId="72BB0348" w14:textId="6EADB720"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417" w:type="dxa"/>
            <w:noWrap/>
            <w:hideMark/>
          </w:tcPr>
          <w:p w14:paraId="0B79D9B8" w14:textId="77777777"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373/1,804</w:t>
            </w:r>
          </w:p>
        </w:tc>
        <w:tc>
          <w:tcPr>
            <w:tcW w:w="1560" w:type="dxa"/>
            <w:noWrap/>
            <w:hideMark/>
          </w:tcPr>
          <w:p w14:paraId="5CA2255C" w14:textId="4DFFA6BD"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0</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84 (0</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62–1</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14)</w:t>
            </w:r>
          </w:p>
        </w:tc>
        <w:tc>
          <w:tcPr>
            <w:tcW w:w="1094" w:type="dxa"/>
            <w:noWrap/>
            <w:hideMark/>
          </w:tcPr>
          <w:p w14:paraId="53801921" w14:textId="63AC9147"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0</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27</w:t>
            </w:r>
          </w:p>
        </w:tc>
      </w:tr>
      <w:tr w:rsidR="00EC0F8C" w:rsidRPr="004B723C" w14:paraId="171EB78D" w14:textId="77777777" w:rsidTr="00EC0F8C">
        <w:trPr>
          <w:trHeight w:val="300"/>
          <w:jc w:val="center"/>
        </w:trPr>
        <w:tc>
          <w:tcPr>
            <w:cnfStyle w:val="001000000000" w:firstRow="0" w:lastRow="0" w:firstColumn="1" w:lastColumn="0" w:oddVBand="0" w:evenVBand="0" w:oddHBand="0" w:evenHBand="0" w:firstRowFirstColumn="0" w:firstRowLastColumn="0" w:lastRowFirstColumn="0" w:lastRowLastColumn="0"/>
            <w:tcW w:w="2684" w:type="dxa"/>
            <w:noWrap/>
          </w:tcPr>
          <w:p w14:paraId="6137CF5F" w14:textId="465980DA" w:rsidR="00FC2617" w:rsidRPr="004B723C" w:rsidRDefault="00FC2617" w:rsidP="006D6EF2">
            <w:pPr>
              <w:spacing w:line="276" w:lineRule="auto"/>
              <w:rPr>
                <w:rFonts w:eastAsia="Times New Roman" w:cs="Times New Roman"/>
                <w:color w:val="000000"/>
                <w:sz w:val="18"/>
                <w:szCs w:val="18"/>
                <w:lang w:eastAsia="en-GB"/>
              </w:rPr>
            </w:pPr>
          </w:p>
        </w:tc>
        <w:tc>
          <w:tcPr>
            <w:tcW w:w="992" w:type="dxa"/>
            <w:noWrap/>
            <w:hideMark/>
          </w:tcPr>
          <w:p w14:paraId="351B563D" w14:textId="77777777" w:rsidR="00FC2617" w:rsidRPr="004B723C" w:rsidRDefault="00FC2617" w:rsidP="006D6EF2">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Prague</w:t>
            </w:r>
          </w:p>
        </w:tc>
        <w:tc>
          <w:tcPr>
            <w:tcW w:w="1134" w:type="dxa"/>
            <w:noWrap/>
          </w:tcPr>
          <w:p w14:paraId="74C83D1F" w14:textId="195731C6"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417" w:type="dxa"/>
            <w:noWrap/>
            <w:hideMark/>
          </w:tcPr>
          <w:p w14:paraId="40DDBBBB" w14:textId="77777777"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68/786</w:t>
            </w:r>
          </w:p>
        </w:tc>
        <w:tc>
          <w:tcPr>
            <w:tcW w:w="1418" w:type="dxa"/>
            <w:noWrap/>
            <w:hideMark/>
          </w:tcPr>
          <w:p w14:paraId="1577DD50" w14:textId="6A5EDDD0"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0</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63 (0</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45–0</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86)</w:t>
            </w:r>
          </w:p>
        </w:tc>
        <w:tc>
          <w:tcPr>
            <w:tcW w:w="1134" w:type="dxa"/>
            <w:noWrap/>
            <w:hideMark/>
          </w:tcPr>
          <w:p w14:paraId="3271FA83" w14:textId="5470713E"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0</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0042</w:t>
            </w:r>
          </w:p>
        </w:tc>
        <w:tc>
          <w:tcPr>
            <w:tcW w:w="1134" w:type="dxa"/>
            <w:noWrap/>
          </w:tcPr>
          <w:p w14:paraId="59A4531F" w14:textId="411D4907"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417" w:type="dxa"/>
            <w:noWrap/>
            <w:hideMark/>
          </w:tcPr>
          <w:p w14:paraId="1015BCCF" w14:textId="77777777"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68/782</w:t>
            </w:r>
          </w:p>
        </w:tc>
        <w:tc>
          <w:tcPr>
            <w:tcW w:w="1560" w:type="dxa"/>
            <w:noWrap/>
            <w:hideMark/>
          </w:tcPr>
          <w:p w14:paraId="2CF8FDEF" w14:textId="2A21EA0D"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0</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78 (0</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55–1</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10)</w:t>
            </w:r>
          </w:p>
        </w:tc>
        <w:tc>
          <w:tcPr>
            <w:tcW w:w="1094" w:type="dxa"/>
            <w:noWrap/>
            <w:hideMark/>
          </w:tcPr>
          <w:p w14:paraId="67327E28" w14:textId="721CB41C"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0</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16</w:t>
            </w:r>
          </w:p>
        </w:tc>
      </w:tr>
      <w:tr w:rsidR="00EC0F8C" w:rsidRPr="004B723C" w14:paraId="0D9F8EC3" w14:textId="77777777" w:rsidTr="00EC0F8C">
        <w:trPr>
          <w:trHeight w:val="300"/>
          <w:jc w:val="center"/>
        </w:trPr>
        <w:tc>
          <w:tcPr>
            <w:cnfStyle w:val="001000000000" w:firstRow="0" w:lastRow="0" w:firstColumn="1" w:lastColumn="0" w:oddVBand="0" w:evenVBand="0" w:oddHBand="0" w:evenHBand="0" w:firstRowFirstColumn="0" w:firstRowLastColumn="0" w:lastRowFirstColumn="0" w:lastRowLastColumn="0"/>
            <w:tcW w:w="2684" w:type="dxa"/>
            <w:noWrap/>
          </w:tcPr>
          <w:p w14:paraId="107448BC" w14:textId="72B0F898" w:rsidR="00FC2617" w:rsidRPr="004B723C" w:rsidRDefault="00FC2617" w:rsidP="006D6EF2">
            <w:pPr>
              <w:spacing w:line="276" w:lineRule="auto"/>
              <w:rPr>
                <w:rFonts w:eastAsia="Times New Roman" w:cs="Times New Roman"/>
                <w:color w:val="000000"/>
                <w:sz w:val="18"/>
                <w:szCs w:val="18"/>
                <w:lang w:eastAsia="en-GB"/>
              </w:rPr>
            </w:pPr>
          </w:p>
        </w:tc>
        <w:tc>
          <w:tcPr>
            <w:tcW w:w="992" w:type="dxa"/>
            <w:noWrap/>
            <w:hideMark/>
          </w:tcPr>
          <w:p w14:paraId="581703BA" w14:textId="77777777" w:rsidR="00FC2617" w:rsidRPr="004B723C" w:rsidRDefault="00FC2617" w:rsidP="006D6EF2">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Vienna</w:t>
            </w:r>
          </w:p>
        </w:tc>
        <w:tc>
          <w:tcPr>
            <w:tcW w:w="1134" w:type="dxa"/>
            <w:noWrap/>
          </w:tcPr>
          <w:p w14:paraId="05F6CF97" w14:textId="1B87720E"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417" w:type="dxa"/>
            <w:noWrap/>
            <w:hideMark/>
          </w:tcPr>
          <w:p w14:paraId="68867F3D" w14:textId="77777777"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111/662</w:t>
            </w:r>
          </w:p>
        </w:tc>
        <w:tc>
          <w:tcPr>
            <w:tcW w:w="1418" w:type="dxa"/>
            <w:noWrap/>
            <w:hideMark/>
          </w:tcPr>
          <w:p w14:paraId="0ACC2786" w14:textId="06960CB6"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0</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97 (0</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73–1</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29)</w:t>
            </w:r>
          </w:p>
        </w:tc>
        <w:tc>
          <w:tcPr>
            <w:tcW w:w="1134" w:type="dxa"/>
            <w:noWrap/>
            <w:hideMark/>
          </w:tcPr>
          <w:p w14:paraId="5514E36B" w14:textId="457252E5"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0</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84</w:t>
            </w:r>
          </w:p>
        </w:tc>
        <w:tc>
          <w:tcPr>
            <w:tcW w:w="1134" w:type="dxa"/>
            <w:noWrap/>
          </w:tcPr>
          <w:p w14:paraId="1D65725D" w14:textId="362F34C4"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417" w:type="dxa"/>
            <w:noWrap/>
            <w:hideMark/>
          </w:tcPr>
          <w:p w14:paraId="57E1223D" w14:textId="77777777"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108/647</w:t>
            </w:r>
          </w:p>
        </w:tc>
        <w:tc>
          <w:tcPr>
            <w:tcW w:w="1560" w:type="dxa"/>
            <w:noWrap/>
            <w:hideMark/>
          </w:tcPr>
          <w:p w14:paraId="72EB70CC" w14:textId="39D46045"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0</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80 (0</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59–1</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09)</w:t>
            </w:r>
          </w:p>
        </w:tc>
        <w:tc>
          <w:tcPr>
            <w:tcW w:w="1094" w:type="dxa"/>
            <w:noWrap/>
            <w:hideMark/>
          </w:tcPr>
          <w:p w14:paraId="4D533EDD" w14:textId="237E0E83"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0</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15</w:t>
            </w:r>
          </w:p>
        </w:tc>
      </w:tr>
      <w:tr w:rsidR="00EC0F8C" w:rsidRPr="004B723C" w14:paraId="3EAFBC2C" w14:textId="77777777" w:rsidTr="00EC0F8C">
        <w:trPr>
          <w:trHeight w:val="300"/>
          <w:jc w:val="center"/>
        </w:trPr>
        <w:tc>
          <w:tcPr>
            <w:cnfStyle w:val="001000000000" w:firstRow="0" w:lastRow="0" w:firstColumn="1" w:lastColumn="0" w:oddVBand="0" w:evenVBand="0" w:oddHBand="0" w:evenHBand="0" w:firstRowFirstColumn="0" w:firstRowLastColumn="0" w:lastRowFirstColumn="0" w:lastRowLastColumn="0"/>
            <w:tcW w:w="2684" w:type="dxa"/>
            <w:noWrap/>
            <w:hideMark/>
          </w:tcPr>
          <w:p w14:paraId="3D348696" w14:textId="35FF6A18" w:rsidR="00FC2617" w:rsidRPr="004B723C" w:rsidRDefault="00FC2617" w:rsidP="006D6EF2">
            <w:pPr>
              <w:spacing w:line="276" w:lineRule="auto"/>
              <w:rPr>
                <w:rFonts w:eastAsia="Times New Roman" w:cs="Times New Roman"/>
                <w:color w:val="000000"/>
                <w:sz w:val="18"/>
                <w:szCs w:val="18"/>
                <w:lang w:eastAsia="en-GB"/>
              </w:rPr>
            </w:pPr>
            <w:r w:rsidRPr="004B723C">
              <w:rPr>
                <w:rFonts w:eastAsia="Times New Roman" w:cs="Times New Roman"/>
                <w:color w:val="000000"/>
                <w:sz w:val="18"/>
                <w:szCs w:val="18"/>
                <w:lang w:eastAsia="en-GB"/>
              </w:rPr>
              <w:t xml:space="preserve">Cold </w:t>
            </w:r>
            <w:r w:rsidR="00492FBC" w:rsidRPr="004B723C">
              <w:rPr>
                <w:rFonts w:eastAsia="Times New Roman" w:cs="Times New Roman"/>
                <w:color w:val="000000"/>
                <w:sz w:val="18"/>
                <w:szCs w:val="18"/>
                <w:lang w:eastAsia="en-GB"/>
              </w:rPr>
              <w:t>ischemia</w:t>
            </w:r>
            <w:r w:rsidRPr="004B723C">
              <w:rPr>
                <w:rFonts w:eastAsia="Times New Roman" w:cs="Times New Roman"/>
                <w:color w:val="000000"/>
                <w:sz w:val="18"/>
                <w:szCs w:val="18"/>
                <w:lang w:eastAsia="en-GB"/>
              </w:rPr>
              <w:t xml:space="preserve"> time (per 5 hours)</w:t>
            </w:r>
          </w:p>
        </w:tc>
        <w:tc>
          <w:tcPr>
            <w:tcW w:w="992" w:type="dxa"/>
            <w:noWrap/>
            <w:hideMark/>
          </w:tcPr>
          <w:p w14:paraId="231C07BA" w14:textId="77777777" w:rsidR="00FC2617" w:rsidRPr="004B723C" w:rsidRDefault="00FC2617" w:rsidP="006D6EF2">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w:t>
            </w:r>
          </w:p>
        </w:tc>
        <w:tc>
          <w:tcPr>
            <w:tcW w:w="1134" w:type="dxa"/>
            <w:noWrap/>
            <w:hideMark/>
          </w:tcPr>
          <w:p w14:paraId="05613F3E" w14:textId="77777777"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633/3,697</w:t>
            </w:r>
          </w:p>
        </w:tc>
        <w:tc>
          <w:tcPr>
            <w:tcW w:w="1417" w:type="dxa"/>
            <w:noWrap/>
            <w:hideMark/>
          </w:tcPr>
          <w:p w14:paraId="7EC3EABD" w14:textId="77777777"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w:t>
            </w:r>
          </w:p>
        </w:tc>
        <w:tc>
          <w:tcPr>
            <w:tcW w:w="1418" w:type="dxa"/>
            <w:noWrap/>
            <w:hideMark/>
          </w:tcPr>
          <w:p w14:paraId="3D113DDC" w14:textId="4FF2884C"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1</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10 (1</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04–1</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18)</w:t>
            </w:r>
          </w:p>
        </w:tc>
        <w:tc>
          <w:tcPr>
            <w:tcW w:w="1134" w:type="dxa"/>
            <w:noWrap/>
            <w:hideMark/>
          </w:tcPr>
          <w:p w14:paraId="597EFBA9" w14:textId="26639EC8"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0</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002</w:t>
            </w:r>
          </w:p>
        </w:tc>
        <w:tc>
          <w:tcPr>
            <w:tcW w:w="1134" w:type="dxa"/>
            <w:noWrap/>
            <w:hideMark/>
          </w:tcPr>
          <w:p w14:paraId="77895AF5" w14:textId="77777777"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633/3,693</w:t>
            </w:r>
          </w:p>
        </w:tc>
        <w:tc>
          <w:tcPr>
            <w:tcW w:w="1417" w:type="dxa"/>
            <w:noWrap/>
            <w:hideMark/>
          </w:tcPr>
          <w:p w14:paraId="6B735DAA" w14:textId="77777777"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w:t>
            </w:r>
          </w:p>
        </w:tc>
        <w:tc>
          <w:tcPr>
            <w:tcW w:w="1560" w:type="dxa"/>
            <w:noWrap/>
            <w:hideMark/>
          </w:tcPr>
          <w:p w14:paraId="43DD3BEB" w14:textId="0BA26CCE"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1</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13 (1</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03–1</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23)</w:t>
            </w:r>
          </w:p>
        </w:tc>
        <w:tc>
          <w:tcPr>
            <w:tcW w:w="1094" w:type="dxa"/>
            <w:noWrap/>
            <w:hideMark/>
          </w:tcPr>
          <w:p w14:paraId="19507546" w14:textId="7134C6BE"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0</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0068</w:t>
            </w:r>
          </w:p>
        </w:tc>
      </w:tr>
      <w:tr w:rsidR="00EC0F8C" w:rsidRPr="004B723C" w14:paraId="6CF814D9" w14:textId="77777777" w:rsidTr="00EC0F8C">
        <w:trPr>
          <w:trHeight w:val="300"/>
          <w:jc w:val="center"/>
        </w:trPr>
        <w:tc>
          <w:tcPr>
            <w:cnfStyle w:val="001000000000" w:firstRow="0" w:lastRow="0" w:firstColumn="1" w:lastColumn="0" w:oddVBand="0" w:evenVBand="0" w:oddHBand="0" w:evenHBand="0" w:firstRowFirstColumn="0" w:firstRowLastColumn="0" w:lastRowFirstColumn="0" w:lastRowLastColumn="0"/>
            <w:tcW w:w="2684" w:type="dxa"/>
            <w:noWrap/>
            <w:hideMark/>
          </w:tcPr>
          <w:p w14:paraId="76D2B13C" w14:textId="77777777" w:rsidR="00FC2617" w:rsidRPr="004B723C" w:rsidRDefault="00FC2617" w:rsidP="006D6EF2">
            <w:pPr>
              <w:spacing w:line="276" w:lineRule="auto"/>
              <w:rPr>
                <w:rFonts w:eastAsia="Times New Roman" w:cs="Times New Roman"/>
                <w:color w:val="000000"/>
                <w:sz w:val="18"/>
                <w:szCs w:val="18"/>
                <w:lang w:eastAsia="en-GB"/>
              </w:rPr>
            </w:pPr>
            <w:r w:rsidRPr="004B723C">
              <w:rPr>
                <w:rFonts w:eastAsia="Times New Roman" w:cs="Times New Roman"/>
                <w:color w:val="000000"/>
                <w:sz w:val="18"/>
                <w:szCs w:val="18"/>
                <w:lang w:eastAsia="en-GB"/>
              </w:rPr>
              <w:t>Donor age (per 10 years)</w:t>
            </w:r>
          </w:p>
        </w:tc>
        <w:tc>
          <w:tcPr>
            <w:tcW w:w="992" w:type="dxa"/>
            <w:noWrap/>
            <w:hideMark/>
          </w:tcPr>
          <w:p w14:paraId="0BE62F0E" w14:textId="77777777" w:rsidR="00FC2617" w:rsidRPr="004B723C" w:rsidRDefault="00FC2617" w:rsidP="006D6EF2">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w:t>
            </w:r>
          </w:p>
        </w:tc>
        <w:tc>
          <w:tcPr>
            <w:tcW w:w="1134" w:type="dxa"/>
            <w:noWrap/>
            <w:hideMark/>
          </w:tcPr>
          <w:p w14:paraId="18A7E110" w14:textId="77777777"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637/3,713</w:t>
            </w:r>
          </w:p>
        </w:tc>
        <w:tc>
          <w:tcPr>
            <w:tcW w:w="1417" w:type="dxa"/>
            <w:noWrap/>
            <w:hideMark/>
          </w:tcPr>
          <w:p w14:paraId="7B71E665" w14:textId="77777777"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w:t>
            </w:r>
          </w:p>
        </w:tc>
        <w:tc>
          <w:tcPr>
            <w:tcW w:w="1418" w:type="dxa"/>
            <w:noWrap/>
            <w:hideMark/>
          </w:tcPr>
          <w:p w14:paraId="5BA0AAC0" w14:textId="4C3AFE8E"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1</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03 (0</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98–1</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09)</w:t>
            </w:r>
          </w:p>
        </w:tc>
        <w:tc>
          <w:tcPr>
            <w:tcW w:w="1134" w:type="dxa"/>
            <w:noWrap/>
            <w:hideMark/>
          </w:tcPr>
          <w:p w14:paraId="3DC35D8B" w14:textId="0E445FA3"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0</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21</w:t>
            </w:r>
          </w:p>
        </w:tc>
        <w:tc>
          <w:tcPr>
            <w:tcW w:w="1134" w:type="dxa"/>
            <w:noWrap/>
            <w:hideMark/>
          </w:tcPr>
          <w:p w14:paraId="0AE87684" w14:textId="77777777"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633/3,693</w:t>
            </w:r>
          </w:p>
        </w:tc>
        <w:tc>
          <w:tcPr>
            <w:tcW w:w="1417" w:type="dxa"/>
            <w:noWrap/>
            <w:hideMark/>
          </w:tcPr>
          <w:p w14:paraId="13175157" w14:textId="77777777"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w:t>
            </w:r>
          </w:p>
        </w:tc>
        <w:tc>
          <w:tcPr>
            <w:tcW w:w="1560" w:type="dxa"/>
            <w:noWrap/>
            <w:hideMark/>
          </w:tcPr>
          <w:p w14:paraId="0098309B" w14:textId="1226D3B8"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1</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08 (1</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02–1</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14)</w:t>
            </w:r>
          </w:p>
        </w:tc>
        <w:tc>
          <w:tcPr>
            <w:tcW w:w="1094" w:type="dxa"/>
            <w:noWrap/>
            <w:hideMark/>
          </w:tcPr>
          <w:p w14:paraId="698D4E0C" w14:textId="7694FB2E"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0</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011</w:t>
            </w:r>
          </w:p>
        </w:tc>
      </w:tr>
      <w:tr w:rsidR="00EC0F8C" w:rsidRPr="004B723C" w14:paraId="1B2CD30C" w14:textId="77777777" w:rsidTr="00EC0F8C">
        <w:trPr>
          <w:trHeight w:val="300"/>
          <w:jc w:val="center"/>
        </w:trPr>
        <w:tc>
          <w:tcPr>
            <w:cnfStyle w:val="001000000000" w:firstRow="0" w:lastRow="0" w:firstColumn="1" w:lastColumn="0" w:oddVBand="0" w:evenVBand="0" w:oddHBand="0" w:evenHBand="0" w:firstRowFirstColumn="0" w:firstRowLastColumn="0" w:lastRowFirstColumn="0" w:lastRowLastColumn="0"/>
            <w:tcW w:w="2684" w:type="dxa"/>
            <w:noWrap/>
            <w:hideMark/>
          </w:tcPr>
          <w:p w14:paraId="0444C31E" w14:textId="77777777" w:rsidR="00FC2617" w:rsidRPr="004B723C" w:rsidRDefault="00FC2617" w:rsidP="006D6EF2">
            <w:pPr>
              <w:spacing w:line="276" w:lineRule="auto"/>
              <w:rPr>
                <w:rFonts w:eastAsia="Times New Roman" w:cs="Times New Roman"/>
                <w:color w:val="000000"/>
                <w:sz w:val="18"/>
                <w:szCs w:val="18"/>
                <w:lang w:eastAsia="en-GB"/>
              </w:rPr>
            </w:pPr>
            <w:r w:rsidRPr="004B723C">
              <w:rPr>
                <w:rFonts w:eastAsia="Times New Roman" w:cs="Times New Roman"/>
                <w:color w:val="000000"/>
                <w:sz w:val="18"/>
                <w:szCs w:val="18"/>
                <w:lang w:eastAsia="en-GB"/>
              </w:rPr>
              <w:t>Donor type</w:t>
            </w:r>
          </w:p>
        </w:tc>
        <w:tc>
          <w:tcPr>
            <w:tcW w:w="992" w:type="dxa"/>
            <w:noWrap/>
            <w:hideMark/>
          </w:tcPr>
          <w:p w14:paraId="5CFE1A28" w14:textId="77777777" w:rsidR="00FC2617" w:rsidRPr="004B723C" w:rsidRDefault="00FC2617" w:rsidP="006D6EF2">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Living</w:t>
            </w:r>
          </w:p>
        </w:tc>
        <w:tc>
          <w:tcPr>
            <w:tcW w:w="1134" w:type="dxa"/>
            <w:noWrap/>
            <w:hideMark/>
          </w:tcPr>
          <w:p w14:paraId="1B3E5C95" w14:textId="77777777"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637/3,713</w:t>
            </w:r>
          </w:p>
        </w:tc>
        <w:tc>
          <w:tcPr>
            <w:tcW w:w="1417" w:type="dxa"/>
            <w:noWrap/>
            <w:hideMark/>
          </w:tcPr>
          <w:p w14:paraId="427270C2" w14:textId="77777777"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82/522</w:t>
            </w:r>
          </w:p>
        </w:tc>
        <w:tc>
          <w:tcPr>
            <w:tcW w:w="1418" w:type="dxa"/>
            <w:noWrap/>
            <w:hideMark/>
          </w:tcPr>
          <w:p w14:paraId="3B5C97E5" w14:textId="4C74FC89" w:rsidR="00FC2617" w:rsidRPr="004B723C" w:rsidRDefault="00D45F56"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Ref.</w:t>
            </w:r>
          </w:p>
        </w:tc>
        <w:tc>
          <w:tcPr>
            <w:tcW w:w="1134" w:type="dxa"/>
            <w:noWrap/>
            <w:hideMark/>
          </w:tcPr>
          <w:p w14:paraId="6A3C08BA" w14:textId="3F08F21B" w:rsidR="00FC2617" w:rsidRPr="004B723C" w:rsidRDefault="00D45F56"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Ref.</w:t>
            </w:r>
          </w:p>
        </w:tc>
        <w:tc>
          <w:tcPr>
            <w:tcW w:w="1134" w:type="dxa"/>
            <w:noWrap/>
            <w:hideMark/>
          </w:tcPr>
          <w:p w14:paraId="1C27ADED" w14:textId="77777777"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633/3,693</w:t>
            </w:r>
          </w:p>
        </w:tc>
        <w:tc>
          <w:tcPr>
            <w:tcW w:w="1417" w:type="dxa"/>
            <w:noWrap/>
            <w:hideMark/>
          </w:tcPr>
          <w:p w14:paraId="39481538" w14:textId="77777777"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80/511</w:t>
            </w:r>
          </w:p>
        </w:tc>
        <w:tc>
          <w:tcPr>
            <w:tcW w:w="1560" w:type="dxa"/>
            <w:noWrap/>
            <w:hideMark/>
          </w:tcPr>
          <w:p w14:paraId="1D62E10F" w14:textId="553CC395" w:rsidR="00FC2617" w:rsidRPr="004B723C" w:rsidRDefault="00D45F56"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Ref.</w:t>
            </w:r>
          </w:p>
        </w:tc>
        <w:tc>
          <w:tcPr>
            <w:tcW w:w="1094" w:type="dxa"/>
            <w:noWrap/>
            <w:hideMark/>
          </w:tcPr>
          <w:p w14:paraId="7560BC83" w14:textId="172819CD" w:rsidR="00FC2617" w:rsidRPr="004B723C" w:rsidRDefault="00D45F56"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Ref.</w:t>
            </w:r>
          </w:p>
        </w:tc>
      </w:tr>
      <w:tr w:rsidR="00EC0F8C" w:rsidRPr="004B723C" w14:paraId="4BFBEBC4" w14:textId="77777777" w:rsidTr="00EC0F8C">
        <w:trPr>
          <w:trHeight w:val="300"/>
          <w:jc w:val="center"/>
        </w:trPr>
        <w:tc>
          <w:tcPr>
            <w:cnfStyle w:val="001000000000" w:firstRow="0" w:lastRow="0" w:firstColumn="1" w:lastColumn="0" w:oddVBand="0" w:evenVBand="0" w:oddHBand="0" w:evenHBand="0" w:firstRowFirstColumn="0" w:firstRowLastColumn="0" w:lastRowFirstColumn="0" w:lastRowLastColumn="0"/>
            <w:tcW w:w="2684" w:type="dxa"/>
            <w:noWrap/>
          </w:tcPr>
          <w:p w14:paraId="21A924BD" w14:textId="0A3DD16A" w:rsidR="00FC2617" w:rsidRPr="004B723C" w:rsidRDefault="00FC2617" w:rsidP="006D6EF2">
            <w:pPr>
              <w:spacing w:line="276" w:lineRule="auto"/>
              <w:rPr>
                <w:rFonts w:eastAsia="Times New Roman" w:cs="Times New Roman"/>
                <w:color w:val="000000"/>
                <w:sz w:val="18"/>
                <w:szCs w:val="18"/>
                <w:lang w:eastAsia="en-GB"/>
              </w:rPr>
            </w:pPr>
          </w:p>
        </w:tc>
        <w:tc>
          <w:tcPr>
            <w:tcW w:w="992" w:type="dxa"/>
            <w:noWrap/>
            <w:hideMark/>
          </w:tcPr>
          <w:p w14:paraId="70F33508" w14:textId="77777777" w:rsidR="00FC2617" w:rsidRPr="004B723C" w:rsidRDefault="00FC2617" w:rsidP="006D6EF2">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DBD</w:t>
            </w:r>
          </w:p>
        </w:tc>
        <w:tc>
          <w:tcPr>
            <w:tcW w:w="1134" w:type="dxa"/>
            <w:noWrap/>
          </w:tcPr>
          <w:p w14:paraId="3D4673F6" w14:textId="0F6CF291"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417" w:type="dxa"/>
            <w:noWrap/>
            <w:hideMark/>
          </w:tcPr>
          <w:p w14:paraId="52DB682D" w14:textId="77777777"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459/2,634</w:t>
            </w:r>
          </w:p>
        </w:tc>
        <w:tc>
          <w:tcPr>
            <w:tcW w:w="1418" w:type="dxa"/>
            <w:noWrap/>
            <w:hideMark/>
          </w:tcPr>
          <w:p w14:paraId="46386EF3" w14:textId="5B1E2CE3"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1</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08 (0</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85–1</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36)</w:t>
            </w:r>
          </w:p>
        </w:tc>
        <w:tc>
          <w:tcPr>
            <w:tcW w:w="1134" w:type="dxa"/>
            <w:noWrap/>
            <w:hideMark/>
          </w:tcPr>
          <w:p w14:paraId="7E0529A1" w14:textId="2FACE59F"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0</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54</w:t>
            </w:r>
          </w:p>
        </w:tc>
        <w:tc>
          <w:tcPr>
            <w:tcW w:w="1134" w:type="dxa"/>
            <w:noWrap/>
          </w:tcPr>
          <w:p w14:paraId="271AFF06" w14:textId="61A25899"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417" w:type="dxa"/>
            <w:noWrap/>
            <w:hideMark/>
          </w:tcPr>
          <w:p w14:paraId="51B654A2" w14:textId="77777777"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457/2,626</w:t>
            </w:r>
          </w:p>
        </w:tc>
        <w:tc>
          <w:tcPr>
            <w:tcW w:w="1560" w:type="dxa"/>
            <w:noWrap/>
            <w:hideMark/>
          </w:tcPr>
          <w:p w14:paraId="5AD9A151" w14:textId="5767BDBD"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0</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82 (0</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59–1</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14)</w:t>
            </w:r>
          </w:p>
        </w:tc>
        <w:tc>
          <w:tcPr>
            <w:tcW w:w="1094" w:type="dxa"/>
            <w:noWrap/>
            <w:hideMark/>
          </w:tcPr>
          <w:p w14:paraId="6A0E91CA" w14:textId="41E6F319"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0</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24</w:t>
            </w:r>
          </w:p>
        </w:tc>
      </w:tr>
      <w:tr w:rsidR="00EC0F8C" w:rsidRPr="004B723C" w14:paraId="46147FAE" w14:textId="77777777" w:rsidTr="00EC0F8C">
        <w:trPr>
          <w:trHeight w:val="300"/>
          <w:jc w:val="center"/>
        </w:trPr>
        <w:tc>
          <w:tcPr>
            <w:cnfStyle w:val="001000000000" w:firstRow="0" w:lastRow="0" w:firstColumn="1" w:lastColumn="0" w:oddVBand="0" w:evenVBand="0" w:oddHBand="0" w:evenHBand="0" w:firstRowFirstColumn="0" w:firstRowLastColumn="0" w:lastRowFirstColumn="0" w:lastRowLastColumn="0"/>
            <w:tcW w:w="2684" w:type="dxa"/>
            <w:noWrap/>
          </w:tcPr>
          <w:p w14:paraId="1A90A1EF" w14:textId="00977C18" w:rsidR="00FC2617" w:rsidRPr="004B723C" w:rsidRDefault="00FC2617" w:rsidP="006D6EF2">
            <w:pPr>
              <w:spacing w:line="276" w:lineRule="auto"/>
              <w:rPr>
                <w:rFonts w:eastAsia="Times New Roman" w:cs="Times New Roman"/>
                <w:color w:val="000000"/>
                <w:sz w:val="18"/>
                <w:szCs w:val="18"/>
                <w:lang w:eastAsia="en-GB"/>
              </w:rPr>
            </w:pPr>
          </w:p>
        </w:tc>
        <w:tc>
          <w:tcPr>
            <w:tcW w:w="992" w:type="dxa"/>
            <w:noWrap/>
            <w:hideMark/>
          </w:tcPr>
          <w:p w14:paraId="39A11E99" w14:textId="77777777" w:rsidR="00FC2617" w:rsidRPr="004B723C" w:rsidRDefault="00FC2617" w:rsidP="006D6EF2">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DCD</w:t>
            </w:r>
          </w:p>
        </w:tc>
        <w:tc>
          <w:tcPr>
            <w:tcW w:w="1134" w:type="dxa"/>
            <w:noWrap/>
          </w:tcPr>
          <w:p w14:paraId="751FA613" w14:textId="2C2DE111"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417" w:type="dxa"/>
            <w:noWrap/>
            <w:hideMark/>
          </w:tcPr>
          <w:p w14:paraId="5A332694" w14:textId="77777777"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96/557</w:t>
            </w:r>
          </w:p>
        </w:tc>
        <w:tc>
          <w:tcPr>
            <w:tcW w:w="1418" w:type="dxa"/>
            <w:noWrap/>
            <w:hideMark/>
          </w:tcPr>
          <w:p w14:paraId="775BE962" w14:textId="05BB2732"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1</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02 (0</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76–1</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37)</w:t>
            </w:r>
          </w:p>
        </w:tc>
        <w:tc>
          <w:tcPr>
            <w:tcW w:w="1134" w:type="dxa"/>
            <w:noWrap/>
            <w:hideMark/>
          </w:tcPr>
          <w:p w14:paraId="1C154AD7" w14:textId="77DB6B06"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0</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88</w:t>
            </w:r>
          </w:p>
        </w:tc>
        <w:tc>
          <w:tcPr>
            <w:tcW w:w="1134" w:type="dxa"/>
            <w:noWrap/>
          </w:tcPr>
          <w:p w14:paraId="77E4E5DB" w14:textId="772009D6"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417" w:type="dxa"/>
            <w:noWrap/>
            <w:hideMark/>
          </w:tcPr>
          <w:p w14:paraId="2352F4E7" w14:textId="77777777"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96/556</w:t>
            </w:r>
          </w:p>
        </w:tc>
        <w:tc>
          <w:tcPr>
            <w:tcW w:w="1560" w:type="dxa"/>
            <w:noWrap/>
            <w:hideMark/>
          </w:tcPr>
          <w:p w14:paraId="4089FC96" w14:textId="1244117B"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0</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90 (0</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62–1</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30)</w:t>
            </w:r>
          </w:p>
        </w:tc>
        <w:tc>
          <w:tcPr>
            <w:tcW w:w="1094" w:type="dxa"/>
            <w:noWrap/>
            <w:hideMark/>
          </w:tcPr>
          <w:p w14:paraId="08ABE8F4" w14:textId="585F475E"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0</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57</w:t>
            </w:r>
          </w:p>
        </w:tc>
      </w:tr>
      <w:tr w:rsidR="00EC0F8C" w:rsidRPr="004B723C" w14:paraId="59E96F4C" w14:textId="77777777" w:rsidTr="00EC0F8C">
        <w:trPr>
          <w:trHeight w:val="300"/>
          <w:jc w:val="center"/>
        </w:trPr>
        <w:tc>
          <w:tcPr>
            <w:cnfStyle w:val="001000000000" w:firstRow="0" w:lastRow="0" w:firstColumn="1" w:lastColumn="0" w:oddVBand="0" w:evenVBand="0" w:oddHBand="0" w:evenHBand="0" w:firstRowFirstColumn="0" w:firstRowLastColumn="0" w:lastRowFirstColumn="0" w:lastRowLastColumn="0"/>
            <w:tcW w:w="2684" w:type="dxa"/>
            <w:noWrap/>
            <w:hideMark/>
          </w:tcPr>
          <w:p w14:paraId="1B73020A" w14:textId="77777777" w:rsidR="00FC2617" w:rsidRPr="004B723C" w:rsidRDefault="00FC2617" w:rsidP="006D6EF2">
            <w:pPr>
              <w:spacing w:line="276" w:lineRule="auto"/>
              <w:rPr>
                <w:rFonts w:eastAsia="Times New Roman" w:cs="Times New Roman"/>
                <w:color w:val="000000"/>
                <w:sz w:val="18"/>
                <w:szCs w:val="18"/>
                <w:lang w:eastAsia="en-GB"/>
              </w:rPr>
            </w:pPr>
            <w:r w:rsidRPr="004B723C">
              <w:rPr>
                <w:rFonts w:eastAsia="Times New Roman" w:cs="Times New Roman"/>
                <w:color w:val="000000"/>
                <w:sz w:val="18"/>
                <w:szCs w:val="18"/>
                <w:lang w:eastAsia="en-GB"/>
              </w:rPr>
              <w:t>Donor–recipient CMV serostatus</w:t>
            </w:r>
          </w:p>
        </w:tc>
        <w:tc>
          <w:tcPr>
            <w:tcW w:w="992" w:type="dxa"/>
            <w:noWrap/>
            <w:hideMark/>
          </w:tcPr>
          <w:p w14:paraId="26220C95" w14:textId="77777777" w:rsidR="00FC2617" w:rsidRPr="004B723C" w:rsidRDefault="00FC2617" w:rsidP="006D6EF2">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D−/R−</w:t>
            </w:r>
          </w:p>
        </w:tc>
        <w:tc>
          <w:tcPr>
            <w:tcW w:w="1134" w:type="dxa"/>
            <w:noWrap/>
            <w:hideMark/>
          </w:tcPr>
          <w:p w14:paraId="03496688" w14:textId="77777777"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637/3,713</w:t>
            </w:r>
          </w:p>
        </w:tc>
        <w:tc>
          <w:tcPr>
            <w:tcW w:w="1417" w:type="dxa"/>
            <w:noWrap/>
            <w:hideMark/>
          </w:tcPr>
          <w:p w14:paraId="31EF1DF0" w14:textId="77777777"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83/743</w:t>
            </w:r>
          </w:p>
        </w:tc>
        <w:tc>
          <w:tcPr>
            <w:tcW w:w="1418" w:type="dxa"/>
            <w:noWrap/>
            <w:hideMark/>
          </w:tcPr>
          <w:p w14:paraId="3D5C5250" w14:textId="5A41B704" w:rsidR="00FC2617" w:rsidRPr="004B723C" w:rsidRDefault="00D45F56"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Ref.</w:t>
            </w:r>
          </w:p>
        </w:tc>
        <w:tc>
          <w:tcPr>
            <w:tcW w:w="1134" w:type="dxa"/>
            <w:noWrap/>
            <w:hideMark/>
          </w:tcPr>
          <w:p w14:paraId="19CE948A" w14:textId="2616F470" w:rsidR="00FC2617" w:rsidRPr="004B723C" w:rsidRDefault="00D45F56"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Ref.</w:t>
            </w:r>
          </w:p>
        </w:tc>
        <w:tc>
          <w:tcPr>
            <w:tcW w:w="1134" w:type="dxa"/>
            <w:noWrap/>
            <w:hideMark/>
          </w:tcPr>
          <w:p w14:paraId="252544EE" w14:textId="77777777"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633/3,693</w:t>
            </w:r>
          </w:p>
        </w:tc>
        <w:tc>
          <w:tcPr>
            <w:tcW w:w="1417" w:type="dxa"/>
            <w:noWrap/>
            <w:hideMark/>
          </w:tcPr>
          <w:p w14:paraId="21D22D4A" w14:textId="77777777"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83/739</w:t>
            </w:r>
          </w:p>
        </w:tc>
        <w:tc>
          <w:tcPr>
            <w:tcW w:w="1560" w:type="dxa"/>
            <w:noWrap/>
            <w:hideMark/>
          </w:tcPr>
          <w:p w14:paraId="172026A9" w14:textId="59AC3A50" w:rsidR="00FC2617" w:rsidRPr="004B723C" w:rsidRDefault="00D45F56"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Ref.</w:t>
            </w:r>
          </w:p>
        </w:tc>
        <w:tc>
          <w:tcPr>
            <w:tcW w:w="1094" w:type="dxa"/>
            <w:noWrap/>
            <w:hideMark/>
          </w:tcPr>
          <w:p w14:paraId="4777CC67" w14:textId="3F45EFCC" w:rsidR="00FC2617" w:rsidRPr="004B723C" w:rsidRDefault="00D45F56"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Ref.</w:t>
            </w:r>
          </w:p>
        </w:tc>
      </w:tr>
      <w:tr w:rsidR="00EC0F8C" w:rsidRPr="004B723C" w14:paraId="22A13234" w14:textId="77777777" w:rsidTr="00EC0F8C">
        <w:trPr>
          <w:trHeight w:val="300"/>
          <w:jc w:val="center"/>
        </w:trPr>
        <w:tc>
          <w:tcPr>
            <w:cnfStyle w:val="001000000000" w:firstRow="0" w:lastRow="0" w:firstColumn="1" w:lastColumn="0" w:oddVBand="0" w:evenVBand="0" w:oddHBand="0" w:evenHBand="0" w:firstRowFirstColumn="0" w:firstRowLastColumn="0" w:lastRowFirstColumn="0" w:lastRowLastColumn="0"/>
            <w:tcW w:w="2684" w:type="dxa"/>
            <w:noWrap/>
          </w:tcPr>
          <w:p w14:paraId="6B5F9551" w14:textId="4E805B1E" w:rsidR="00BA2BFF" w:rsidRPr="004B723C" w:rsidRDefault="00BA2BFF" w:rsidP="006D6EF2">
            <w:pPr>
              <w:spacing w:line="276" w:lineRule="auto"/>
              <w:rPr>
                <w:rFonts w:eastAsia="Times New Roman" w:cs="Times New Roman"/>
                <w:color w:val="000000"/>
                <w:sz w:val="18"/>
                <w:szCs w:val="18"/>
                <w:lang w:eastAsia="en-GB"/>
              </w:rPr>
            </w:pPr>
          </w:p>
        </w:tc>
        <w:tc>
          <w:tcPr>
            <w:tcW w:w="992" w:type="dxa"/>
            <w:noWrap/>
            <w:hideMark/>
          </w:tcPr>
          <w:p w14:paraId="4CF0350B" w14:textId="77777777" w:rsidR="00BA2BFF" w:rsidRPr="004B723C" w:rsidRDefault="00BA2BFF" w:rsidP="006D6EF2">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D+/R+</w:t>
            </w:r>
          </w:p>
        </w:tc>
        <w:tc>
          <w:tcPr>
            <w:tcW w:w="1134" w:type="dxa"/>
            <w:noWrap/>
          </w:tcPr>
          <w:p w14:paraId="362FC123" w14:textId="0A537F39" w:rsidR="00BA2BFF" w:rsidRPr="004B723C" w:rsidRDefault="00BA2BFF"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417" w:type="dxa"/>
            <w:noWrap/>
            <w:hideMark/>
          </w:tcPr>
          <w:p w14:paraId="611122E5" w14:textId="77777777" w:rsidR="00BA2BFF" w:rsidRPr="004B723C" w:rsidRDefault="00BA2BFF"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252/1,372</w:t>
            </w:r>
          </w:p>
        </w:tc>
        <w:tc>
          <w:tcPr>
            <w:tcW w:w="1418" w:type="dxa"/>
            <w:noWrap/>
            <w:hideMark/>
          </w:tcPr>
          <w:p w14:paraId="69749A75" w14:textId="2A5112D8" w:rsidR="00BA2BFF" w:rsidRPr="004B723C" w:rsidRDefault="00BA2BFF"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2.15 (1.68–2.76)</w:t>
            </w:r>
          </w:p>
        </w:tc>
        <w:tc>
          <w:tcPr>
            <w:tcW w:w="1134" w:type="dxa"/>
            <w:noWrap/>
            <w:vAlign w:val="bottom"/>
            <w:hideMark/>
          </w:tcPr>
          <w:p w14:paraId="39567097" w14:textId="104EA4A8" w:rsidR="00BA2BFF" w:rsidRPr="004B723C" w:rsidRDefault="00D53FD9"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1.53 × 10</w:t>
            </w:r>
            <w:r w:rsidRPr="004B723C">
              <w:rPr>
                <w:rFonts w:cs="Times New Roman"/>
                <w:color w:val="000000"/>
                <w:sz w:val="18"/>
                <w:szCs w:val="18"/>
                <w:vertAlign w:val="superscript"/>
              </w:rPr>
              <w:t>-9</w:t>
            </w:r>
          </w:p>
        </w:tc>
        <w:tc>
          <w:tcPr>
            <w:tcW w:w="1134" w:type="dxa"/>
            <w:noWrap/>
          </w:tcPr>
          <w:p w14:paraId="442A34E3" w14:textId="40445F9C" w:rsidR="00BA2BFF" w:rsidRPr="004B723C" w:rsidRDefault="00BA2BFF"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417" w:type="dxa"/>
            <w:noWrap/>
            <w:hideMark/>
          </w:tcPr>
          <w:p w14:paraId="223BAEC0" w14:textId="77777777" w:rsidR="00BA2BFF" w:rsidRPr="004B723C" w:rsidRDefault="00BA2BFF"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251/1,363</w:t>
            </w:r>
          </w:p>
        </w:tc>
        <w:tc>
          <w:tcPr>
            <w:tcW w:w="1560" w:type="dxa"/>
            <w:noWrap/>
            <w:hideMark/>
          </w:tcPr>
          <w:p w14:paraId="66ABBDC3" w14:textId="6C92EE51" w:rsidR="00BA2BFF" w:rsidRPr="004B723C" w:rsidRDefault="00BA2BFF"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2.32 (1.80–3.00)</w:t>
            </w:r>
          </w:p>
        </w:tc>
        <w:tc>
          <w:tcPr>
            <w:tcW w:w="1094" w:type="dxa"/>
            <w:noWrap/>
            <w:hideMark/>
          </w:tcPr>
          <w:p w14:paraId="659BBCA7" w14:textId="797B0CCB" w:rsidR="00BA2BFF" w:rsidRPr="004B723C" w:rsidRDefault="00D53FD9"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sz w:val="18"/>
                <w:szCs w:val="18"/>
              </w:rPr>
              <w:t>1.21 × 10</w:t>
            </w:r>
            <w:r w:rsidRPr="004B723C">
              <w:rPr>
                <w:sz w:val="18"/>
                <w:szCs w:val="18"/>
                <w:vertAlign w:val="superscript"/>
              </w:rPr>
              <w:t>-10</w:t>
            </w:r>
          </w:p>
        </w:tc>
      </w:tr>
      <w:tr w:rsidR="00EC0F8C" w:rsidRPr="004B723C" w14:paraId="724D73CC" w14:textId="77777777" w:rsidTr="00EC0F8C">
        <w:trPr>
          <w:trHeight w:val="300"/>
          <w:jc w:val="center"/>
        </w:trPr>
        <w:tc>
          <w:tcPr>
            <w:cnfStyle w:val="001000000000" w:firstRow="0" w:lastRow="0" w:firstColumn="1" w:lastColumn="0" w:oddVBand="0" w:evenVBand="0" w:oddHBand="0" w:evenHBand="0" w:firstRowFirstColumn="0" w:firstRowLastColumn="0" w:lastRowFirstColumn="0" w:lastRowLastColumn="0"/>
            <w:tcW w:w="2684" w:type="dxa"/>
            <w:noWrap/>
          </w:tcPr>
          <w:p w14:paraId="1D0FBF12" w14:textId="2D3462CB" w:rsidR="00BA2BFF" w:rsidRPr="004B723C" w:rsidRDefault="00BA2BFF" w:rsidP="006D6EF2">
            <w:pPr>
              <w:spacing w:line="276" w:lineRule="auto"/>
              <w:rPr>
                <w:rFonts w:eastAsia="Times New Roman" w:cs="Times New Roman"/>
                <w:color w:val="000000"/>
                <w:sz w:val="18"/>
                <w:szCs w:val="18"/>
                <w:lang w:eastAsia="en-GB"/>
              </w:rPr>
            </w:pPr>
          </w:p>
        </w:tc>
        <w:tc>
          <w:tcPr>
            <w:tcW w:w="992" w:type="dxa"/>
            <w:noWrap/>
            <w:hideMark/>
          </w:tcPr>
          <w:p w14:paraId="0021E8A4" w14:textId="77777777" w:rsidR="00BA2BFF" w:rsidRPr="004B723C" w:rsidRDefault="00BA2BFF" w:rsidP="006D6EF2">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D+/R−</w:t>
            </w:r>
          </w:p>
        </w:tc>
        <w:tc>
          <w:tcPr>
            <w:tcW w:w="1134" w:type="dxa"/>
            <w:noWrap/>
          </w:tcPr>
          <w:p w14:paraId="2FE6798D" w14:textId="1A14BC77" w:rsidR="00BA2BFF" w:rsidRPr="004B723C" w:rsidRDefault="00BA2BFF"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417" w:type="dxa"/>
            <w:noWrap/>
            <w:hideMark/>
          </w:tcPr>
          <w:p w14:paraId="37D1E2E0" w14:textId="77777777" w:rsidR="00BA2BFF" w:rsidRPr="004B723C" w:rsidRDefault="00BA2BFF"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117/724</w:t>
            </w:r>
          </w:p>
        </w:tc>
        <w:tc>
          <w:tcPr>
            <w:tcW w:w="1418" w:type="dxa"/>
            <w:noWrap/>
            <w:hideMark/>
          </w:tcPr>
          <w:p w14:paraId="09F98CA3" w14:textId="7F26F3B5" w:rsidR="00BA2BFF" w:rsidRPr="004B723C" w:rsidRDefault="00BA2BFF"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1.65 (1.24–2.18)</w:t>
            </w:r>
          </w:p>
        </w:tc>
        <w:tc>
          <w:tcPr>
            <w:tcW w:w="1134" w:type="dxa"/>
            <w:noWrap/>
            <w:vAlign w:val="bottom"/>
            <w:hideMark/>
          </w:tcPr>
          <w:p w14:paraId="4594F3D9" w14:textId="25F58B47" w:rsidR="00BA2BFF" w:rsidRPr="004B723C" w:rsidRDefault="00D53FD9"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5.21 × 10</w:t>
            </w:r>
            <w:r w:rsidRPr="004B723C">
              <w:rPr>
                <w:rFonts w:cs="Times New Roman"/>
                <w:color w:val="000000"/>
                <w:sz w:val="18"/>
                <w:szCs w:val="18"/>
                <w:vertAlign w:val="superscript"/>
              </w:rPr>
              <w:t>-4</w:t>
            </w:r>
          </w:p>
        </w:tc>
        <w:tc>
          <w:tcPr>
            <w:tcW w:w="1134" w:type="dxa"/>
            <w:noWrap/>
          </w:tcPr>
          <w:p w14:paraId="7E5BB33B" w14:textId="288EDE13" w:rsidR="00BA2BFF" w:rsidRPr="004B723C" w:rsidRDefault="00BA2BFF"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417" w:type="dxa"/>
            <w:noWrap/>
            <w:hideMark/>
          </w:tcPr>
          <w:p w14:paraId="1EF7D1C0" w14:textId="77777777" w:rsidR="00BA2BFF" w:rsidRPr="004B723C" w:rsidRDefault="00BA2BFF"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116/721</w:t>
            </w:r>
          </w:p>
        </w:tc>
        <w:tc>
          <w:tcPr>
            <w:tcW w:w="1560" w:type="dxa"/>
            <w:noWrap/>
            <w:hideMark/>
          </w:tcPr>
          <w:p w14:paraId="24367B35" w14:textId="046086C2" w:rsidR="00BA2BFF" w:rsidRPr="004B723C" w:rsidRDefault="00BA2BFF"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1.74 (1.31–2.31)</w:t>
            </w:r>
          </w:p>
        </w:tc>
        <w:tc>
          <w:tcPr>
            <w:tcW w:w="1094" w:type="dxa"/>
            <w:noWrap/>
            <w:hideMark/>
          </w:tcPr>
          <w:p w14:paraId="59216C88" w14:textId="61FE4226" w:rsidR="00BA2BFF" w:rsidRPr="004B723C" w:rsidRDefault="00D53FD9"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sz w:val="18"/>
                <w:szCs w:val="18"/>
              </w:rPr>
              <w:t>1.41 × 10</w:t>
            </w:r>
            <w:r w:rsidRPr="004B723C">
              <w:rPr>
                <w:sz w:val="18"/>
                <w:szCs w:val="18"/>
                <w:vertAlign w:val="superscript"/>
              </w:rPr>
              <w:t>-4</w:t>
            </w:r>
          </w:p>
        </w:tc>
      </w:tr>
      <w:tr w:rsidR="00EC0F8C" w:rsidRPr="004B723C" w14:paraId="4110AFDD" w14:textId="77777777" w:rsidTr="00EC0F8C">
        <w:trPr>
          <w:trHeight w:val="300"/>
          <w:jc w:val="center"/>
        </w:trPr>
        <w:tc>
          <w:tcPr>
            <w:cnfStyle w:val="001000000000" w:firstRow="0" w:lastRow="0" w:firstColumn="1" w:lastColumn="0" w:oddVBand="0" w:evenVBand="0" w:oddHBand="0" w:evenHBand="0" w:firstRowFirstColumn="0" w:firstRowLastColumn="0" w:lastRowFirstColumn="0" w:lastRowLastColumn="0"/>
            <w:tcW w:w="2684" w:type="dxa"/>
            <w:noWrap/>
          </w:tcPr>
          <w:p w14:paraId="20604383" w14:textId="4DBEE355" w:rsidR="00BA2BFF" w:rsidRPr="004B723C" w:rsidRDefault="00BA2BFF" w:rsidP="006D6EF2">
            <w:pPr>
              <w:spacing w:line="276" w:lineRule="auto"/>
              <w:rPr>
                <w:rFonts w:eastAsia="Times New Roman" w:cs="Times New Roman"/>
                <w:color w:val="000000"/>
                <w:sz w:val="18"/>
                <w:szCs w:val="18"/>
                <w:lang w:eastAsia="en-GB"/>
              </w:rPr>
            </w:pPr>
          </w:p>
        </w:tc>
        <w:tc>
          <w:tcPr>
            <w:tcW w:w="992" w:type="dxa"/>
            <w:noWrap/>
            <w:hideMark/>
          </w:tcPr>
          <w:p w14:paraId="280AA95F" w14:textId="77777777" w:rsidR="00BA2BFF" w:rsidRPr="004B723C" w:rsidRDefault="00BA2BFF" w:rsidP="006D6EF2">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D−/R+</w:t>
            </w:r>
          </w:p>
        </w:tc>
        <w:tc>
          <w:tcPr>
            <w:tcW w:w="1134" w:type="dxa"/>
            <w:noWrap/>
          </w:tcPr>
          <w:p w14:paraId="3C105E81" w14:textId="0BEA4543" w:rsidR="00BA2BFF" w:rsidRPr="004B723C" w:rsidRDefault="00BA2BFF"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417" w:type="dxa"/>
            <w:noWrap/>
            <w:hideMark/>
          </w:tcPr>
          <w:p w14:paraId="5B064F28" w14:textId="77777777" w:rsidR="00BA2BFF" w:rsidRPr="004B723C" w:rsidRDefault="00BA2BFF"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185/874</w:t>
            </w:r>
          </w:p>
        </w:tc>
        <w:tc>
          <w:tcPr>
            <w:tcW w:w="1418" w:type="dxa"/>
            <w:noWrap/>
            <w:hideMark/>
          </w:tcPr>
          <w:p w14:paraId="1C1798A3" w14:textId="79B338B4" w:rsidR="00BA2BFF" w:rsidRPr="004B723C" w:rsidRDefault="00BA2BFF"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2.16 (1.66–2.79)</w:t>
            </w:r>
          </w:p>
        </w:tc>
        <w:tc>
          <w:tcPr>
            <w:tcW w:w="1134" w:type="dxa"/>
            <w:noWrap/>
            <w:vAlign w:val="bottom"/>
            <w:hideMark/>
          </w:tcPr>
          <w:p w14:paraId="5047564B" w14:textId="49877891" w:rsidR="00BA2BFF" w:rsidRPr="004B723C" w:rsidRDefault="00D53FD9"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6.07 × 10</w:t>
            </w:r>
            <w:r w:rsidRPr="004B723C">
              <w:rPr>
                <w:rFonts w:cs="Times New Roman"/>
                <w:color w:val="000000"/>
                <w:sz w:val="18"/>
                <w:szCs w:val="18"/>
                <w:vertAlign w:val="superscript"/>
              </w:rPr>
              <w:t>-9</w:t>
            </w:r>
          </w:p>
        </w:tc>
        <w:tc>
          <w:tcPr>
            <w:tcW w:w="1134" w:type="dxa"/>
            <w:noWrap/>
          </w:tcPr>
          <w:p w14:paraId="5BC6541C" w14:textId="356FE452" w:rsidR="00BA2BFF" w:rsidRPr="004B723C" w:rsidRDefault="00BA2BFF"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417" w:type="dxa"/>
            <w:noWrap/>
            <w:hideMark/>
          </w:tcPr>
          <w:p w14:paraId="6295A058" w14:textId="77777777" w:rsidR="00BA2BFF" w:rsidRPr="004B723C" w:rsidRDefault="00BA2BFF"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183/870</w:t>
            </w:r>
          </w:p>
        </w:tc>
        <w:tc>
          <w:tcPr>
            <w:tcW w:w="1560" w:type="dxa"/>
            <w:noWrap/>
            <w:hideMark/>
          </w:tcPr>
          <w:p w14:paraId="21353892" w14:textId="6ADAED8B" w:rsidR="00BA2BFF" w:rsidRPr="004B723C" w:rsidRDefault="00BA2BFF"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2.04 (1.57–2.65)</w:t>
            </w:r>
          </w:p>
        </w:tc>
        <w:tc>
          <w:tcPr>
            <w:tcW w:w="1094" w:type="dxa"/>
            <w:noWrap/>
            <w:hideMark/>
          </w:tcPr>
          <w:p w14:paraId="11C80266" w14:textId="586CCDAF" w:rsidR="00BA2BFF" w:rsidRPr="004B723C" w:rsidRDefault="00D53FD9"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sz w:val="18"/>
                <w:szCs w:val="18"/>
              </w:rPr>
              <w:t>1.07 × 10</w:t>
            </w:r>
            <w:r w:rsidRPr="004B723C">
              <w:rPr>
                <w:sz w:val="18"/>
                <w:szCs w:val="18"/>
                <w:vertAlign w:val="superscript"/>
              </w:rPr>
              <w:t>-7</w:t>
            </w:r>
          </w:p>
        </w:tc>
      </w:tr>
      <w:tr w:rsidR="00EC0F8C" w:rsidRPr="004B723C" w14:paraId="32F78AC1" w14:textId="77777777" w:rsidTr="00EC0F8C">
        <w:trPr>
          <w:trHeight w:val="300"/>
          <w:jc w:val="center"/>
        </w:trPr>
        <w:tc>
          <w:tcPr>
            <w:cnfStyle w:val="001000000000" w:firstRow="0" w:lastRow="0" w:firstColumn="1" w:lastColumn="0" w:oddVBand="0" w:evenVBand="0" w:oddHBand="0" w:evenHBand="0" w:firstRowFirstColumn="0" w:firstRowLastColumn="0" w:lastRowFirstColumn="0" w:lastRowLastColumn="0"/>
            <w:tcW w:w="2684" w:type="dxa"/>
            <w:noWrap/>
            <w:hideMark/>
          </w:tcPr>
          <w:p w14:paraId="38377C97" w14:textId="77777777" w:rsidR="00BA2BFF" w:rsidRPr="004B723C" w:rsidRDefault="00BA2BFF" w:rsidP="006D6EF2">
            <w:pPr>
              <w:spacing w:line="276" w:lineRule="auto"/>
              <w:rPr>
                <w:rFonts w:eastAsia="Times New Roman" w:cs="Times New Roman"/>
                <w:color w:val="000000"/>
                <w:sz w:val="18"/>
                <w:szCs w:val="18"/>
                <w:lang w:eastAsia="en-GB"/>
              </w:rPr>
            </w:pPr>
            <w:r w:rsidRPr="004B723C">
              <w:rPr>
                <w:rFonts w:eastAsia="Times New Roman" w:cs="Times New Roman"/>
                <w:color w:val="000000"/>
                <w:sz w:val="18"/>
                <w:szCs w:val="18"/>
                <w:lang w:eastAsia="en-GB"/>
              </w:rPr>
              <w:t>HLA mismatch (per mismatch)</w:t>
            </w:r>
          </w:p>
        </w:tc>
        <w:tc>
          <w:tcPr>
            <w:tcW w:w="992" w:type="dxa"/>
            <w:noWrap/>
            <w:hideMark/>
          </w:tcPr>
          <w:p w14:paraId="43B37563" w14:textId="77777777" w:rsidR="00BA2BFF" w:rsidRPr="004B723C" w:rsidRDefault="00BA2BFF" w:rsidP="006D6EF2">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w:t>
            </w:r>
          </w:p>
        </w:tc>
        <w:tc>
          <w:tcPr>
            <w:tcW w:w="1134" w:type="dxa"/>
            <w:noWrap/>
            <w:hideMark/>
          </w:tcPr>
          <w:p w14:paraId="56AB2A36" w14:textId="77777777" w:rsidR="00BA2BFF" w:rsidRPr="004B723C" w:rsidRDefault="00BA2BFF"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637/3,713</w:t>
            </w:r>
          </w:p>
        </w:tc>
        <w:tc>
          <w:tcPr>
            <w:tcW w:w="1417" w:type="dxa"/>
            <w:noWrap/>
            <w:hideMark/>
          </w:tcPr>
          <w:p w14:paraId="7F7F2BE3" w14:textId="77777777" w:rsidR="00BA2BFF" w:rsidRPr="004B723C" w:rsidRDefault="00BA2BFF"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w:t>
            </w:r>
          </w:p>
        </w:tc>
        <w:tc>
          <w:tcPr>
            <w:tcW w:w="1418" w:type="dxa"/>
            <w:noWrap/>
            <w:hideMark/>
          </w:tcPr>
          <w:p w14:paraId="4CC38E3D" w14:textId="20CEE43A" w:rsidR="00BA2BFF" w:rsidRPr="004B723C" w:rsidRDefault="00BA2BFF"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1.14 (1.08–1.21)</w:t>
            </w:r>
          </w:p>
        </w:tc>
        <w:tc>
          <w:tcPr>
            <w:tcW w:w="1134" w:type="dxa"/>
            <w:noWrap/>
            <w:hideMark/>
          </w:tcPr>
          <w:p w14:paraId="05348DDC" w14:textId="70EE9244" w:rsidR="00BA2BFF" w:rsidRPr="004B723C" w:rsidRDefault="00D53FD9"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1.14 × 10</w:t>
            </w:r>
            <w:r w:rsidRPr="004B723C">
              <w:rPr>
                <w:rFonts w:eastAsia="Times New Roman" w:cs="Times New Roman"/>
                <w:color w:val="000000"/>
                <w:sz w:val="18"/>
                <w:szCs w:val="18"/>
                <w:vertAlign w:val="superscript"/>
                <w:lang w:eastAsia="en-GB"/>
              </w:rPr>
              <w:t>-6</w:t>
            </w:r>
          </w:p>
        </w:tc>
        <w:tc>
          <w:tcPr>
            <w:tcW w:w="1134" w:type="dxa"/>
            <w:noWrap/>
            <w:hideMark/>
          </w:tcPr>
          <w:p w14:paraId="4C32E047" w14:textId="77777777" w:rsidR="00BA2BFF" w:rsidRPr="004B723C" w:rsidRDefault="00BA2BFF"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633/3,693</w:t>
            </w:r>
          </w:p>
        </w:tc>
        <w:tc>
          <w:tcPr>
            <w:tcW w:w="1417" w:type="dxa"/>
            <w:noWrap/>
            <w:hideMark/>
          </w:tcPr>
          <w:p w14:paraId="56D2D5D7" w14:textId="77777777" w:rsidR="00BA2BFF" w:rsidRPr="004B723C" w:rsidRDefault="00BA2BFF"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w:t>
            </w:r>
          </w:p>
        </w:tc>
        <w:tc>
          <w:tcPr>
            <w:tcW w:w="1560" w:type="dxa"/>
            <w:noWrap/>
            <w:hideMark/>
          </w:tcPr>
          <w:p w14:paraId="71626EF8" w14:textId="59CB410E" w:rsidR="00BA2BFF" w:rsidRPr="004B723C" w:rsidRDefault="00BA2BFF"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1.17 (1.10–1.25)</w:t>
            </w:r>
          </w:p>
        </w:tc>
        <w:tc>
          <w:tcPr>
            <w:tcW w:w="1094" w:type="dxa"/>
            <w:noWrap/>
            <w:hideMark/>
          </w:tcPr>
          <w:p w14:paraId="68482670" w14:textId="3753E3EE" w:rsidR="00BA2BFF" w:rsidRPr="004B723C" w:rsidRDefault="00D53FD9"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sz w:val="18"/>
                <w:szCs w:val="18"/>
              </w:rPr>
              <w:t>5.33 × 10</w:t>
            </w:r>
            <w:r w:rsidRPr="004B723C">
              <w:rPr>
                <w:sz w:val="18"/>
                <w:szCs w:val="18"/>
                <w:vertAlign w:val="superscript"/>
              </w:rPr>
              <w:t>-7</w:t>
            </w:r>
          </w:p>
        </w:tc>
      </w:tr>
      <w:tr w:rsidR="00EC0F8C" w:rsidRPr="004B723C" w14:paraId="754EA88A" w14:textId="77777777" w:rsidTr="00EC0F8C">
        <w:trPr>
          <w:trHeight w:val="300"/>
          <w:jc w:val="center"/>
        </w:trPr>
        <w:tc>
          <w:tcPr>
            <w:cnfStyle w:val="001000000000" w:firstRow="0" w:lastRow="0" w:firstColumn="1" w:lastColumn="0" w:oddVBand="0" w:evenVBand="0" w:oddHBand="0" w:evenHBand="0" w:firstRowFirstColumn="0" w:firstRowLastColumn="0" w:lastRowFirstColumn="0" w:lastRowLastColumn="0"/>
            <w:tcW w:w="2684" w:type="dxa"/>
            <w:noWrap/>
            <w:hideMark/>
          </w:tcPr>
          <w:p w14:paraId="5D92CF73" w14:textId="2113432A" w:rsidR="00FC2617" w:rsidRPr="004B723C" w:rsidRDefault="00791E50" w:rsidP="006D6EF2">
            <w:pPr>
              <w:spacing w:line="276" w:lineRule="auto"/>
              <w:rPr>
                <w:rFonts w:eastAsia="Times New Roman" w:cs="Times New Roman"/>
                <w:color w:val="000000"/>
                <w:sz w:val="18"/>
                <w:szCs w:val="18"/>
                <w:lang w:eastAsia="en-GB"/>
              </w:rPr>
            </w:pPr>
            <w:r w:rsidRPr="004B723C">
              <w:rPr>
                <w:rFonts w:eastAsia="Times New Roman" w:cs="Times New Roman"/>
                <w:color w:val="000000"/>
                <w:sz w:val="18"/>
                <w:szCs w:val="18"/>
                <w:lang w:eastAsia="en-GB"/>
              </w:rPr>
              <w:t>HLA–DSA status</w:t>
            </w:r>
          </w:p>
        </w:tc>
        <w:tc>
          <w:tcPr>
            <w:tcW w:w="992" w:type="dxa"/>
            <w:noWrap/>
            <w:hideMark/>
          </w:tcPr>
          <w:p w14:paraId="642D579A" w14:textId="77777777" w:rsidR="00FC2617" w:rsidRPr="004B723C" w:rsidRDefault="00FC2617" w:rsidP="006D6EF2">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Negative</w:t>
            </w:r>
          </w:p>
        </w:tc>
        <w:tc>
          <w:tcPr>
            <w:tcW w:w="1134" w:type="dxa"/>
            <w:noWrap/>
            <w:hideMark/>
          </w:tcPr>
          <w:p w14:paraId="3A868D35" w14:textId="77777777"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637/3,709</w:t>
            </w:r>
          </w:p>
        </w:tc>
        <w:tc>
          <w:tcPr>
            <w:tcW w:w="1417" w:type="dxa"/>
            <w:noWrap/>
            <w:hideMark/>
          </w:tcPr>
          <w:p w14:paraId="56E3F10F" w14:textId="77777777"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479/3,326</w:t>
            </w:r>
          </w:p>
        </w:tc>
        <w:tc>
          <w:tcPr>
            <w:tcW w:w="1418" w:type="dxa"/>
            <w:noWrap/>
            <w:hideMark/>
          </w:tcPr>
          <w:p w14:paraId="01A3BF3E" w14:textId="285BFF0C" w:rsidR="00FC2617" w:rsidRPr="004B723C" w:rsidRDefault="00D45F56"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Ref.</w:t>
            </w:r>
          </w:p>
        </w:tc>
        <w:tc>
          <w:tcPr>
            <w:tcW w:w="1134" w:type="dxa"/>
            <w:noWrap/>
            <w:hideMark/>
          </w:tcPr>
          <w:p w14:paraId="01EC6B7E" w14:textId="6C54442D" w:rsidR="00FC2617" w:rsidRPr="004B723C" w:rsidRDefault="00D45F56"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Ref.</w:t>
            </w:r>
          </w:p>
        </w:tc>
        <w:tc>
          <w:tcPr>
            <w:tcW w:w="1134" w:type="dxa"/>
            <w:noWrap/>
            <w:hideMark/>
          </w:tcPr>
          <w:p w14:paraId="65E47C91" w14:textId="77777777"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633/3,693</w:t>
            </w:r>
          </w:p>
        </w:tc>
        <w:tc>
          <w:tcPr>
            <w:tcW w:w="1417" w:type="dxa"/>
            <w:noWrap/>
            <w:hideMark/>
          </w:tcPr>
          <w:p w14:paraId="098BAA12" w14:textId="77777777"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475/3,311</w:t>
            </w:r>
          </w:p>
        </w:tc>
        <w:tc>
          <w:tcPr>
            <w:tcW w:w="1560" w:type="dxa"/>
            <w:noWrap/>
            <w:hideMark/>
          </w:tcPr>
          <w:p w14:paraId="4E08222B" w14:textId="77C863DC" w:rsidR="00FC2617" w:rsidRPr="004B723C" w:rsidRDefault="00D45F56"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Ref.</w:t>
            </w:r>
          </w:p>
        </w:tc>
        <w:tc>
          <w:tcPr>
            <w:tcW w:w="1094" w:type="dxa"/>
            <w:noWrap/>
            <w:hideMark/>
          </w:tcPr>
          <w:p w14:paraId="2913BD37" w14:textId="5DABF651" w:rsidR="00FC2617" w:rsidRPr="004B723C" w:rsidRDefault="00D45F56"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Ref.</w:t>
            </w:r>
          </w:p>
        </w:tc>
      </w:tr>
      <w:tr w:rsidR="00EC0F8C" w:rsidRPr="004B723C" w14:paraId="738E2FB4" w14:textId="77777777" w:rsidTr="00EC0F8C">
        <w:trPr>
          <w:trHeight w:val="300"/>
          <w:jc w:val="center"/>
        </w:trPr>
        <w:tc>
          <w:tcPr>
            <w:cnfStyle w:val="001000000000" w:firstRow="0" w:lastRow="0" w:firstColumn="1" w:lastColumn="0" w:oddVBand="0" w:evenVBand="0" w:oddHBand="0" w:evenHBand="0" w:firstRowFirstColumn="0" w:firstRowLastColumn="0" w:lastRowFirstColumn="0" w:lastRowLastColumn="0"/>
            <w:tcW w:w="2684" w:type="dxa"/>
            <w:noWrap/>
          </w:tcPr>
          <w:p w14:paraId="65A4B3DC" w14:textId="2F2408B3" w:rsidR="00FC2617" w:rsidRPr="004B723C" w:rsidRDefault="00FC2617" w:rsidP="006D6EF2">
            <w:pPr>
              <w:spacing w:line="276" w:lineRule="auto"/>
              <w:rPr>
                <w:rFonts w:eastAsia="Times New Roman" w:cs="Times New Roman"/>
                <w:color w:val="000000"/>
                <w:sz w:val="18"/>
                <w:szCs w:val="18"/>
                <w:lang w:eastAsia="en-GB"/>
              </w:rPr>
            </w:pPr>
          </w:p>
        </w:tc>
        <w:tc>
          <w:tcPr>
            <w:tcW w:w="992" w:type="dxa"/>
            <w:noWrap/>
            <w:hideMark/>
          </w:tcPr>
          <w:p w14:paraId="7A94F754" w14:textId="77777777" w:rsidR="00FC2617" w:rsidRPr="004B723C" w:rsidRDefault="00FC2617" w:rsidP="006D6EF2">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Positive</w:t>
            </w:r>
          </w:p>
        </w:tc>
        <w:tc>
          <w:tcPr>
            <w:tcW w:w="1134" w:type="dxa"/>
            <w:noWrap/>
          </w:tcPr>
          <w:p w14:paraId="3FE14DBF" w14:textId="3F72EAA4"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417" w:type="dxa"/>
            <w:noWrap/>
            <w:hideMark/>
          </w:tcPr>
          <w:p w14:paraId="41707885" w14:textId="77777777"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158/383</w:t>
            </w:r>
          </w:p>
        </w:tc>
        <w:tc>
          <w:tcPr>
            <w:tcW w:w="1418" w:type="dxa"/>
            <w:noWrap/>
            <w:hideMark/>
          </w:tcPr>
          <w:p w14:paraId="12CC61E2" w14:textId="3F9E6495"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3</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53 (2</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95–4</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23)</w:t>
            </w:r>
          </w:p>
        </w:tc>
        <w:tc>
          <w:tcPr>
            <w:tcW w:w="1134" w:type="dxa"/>
            <w:noWrap/>
            <w:hideMark/>
          </w:tcPr>
          <w:p w14:paraId="45D3CD3B" w14:textId="2FB5B41B" w:rsidR="00FC2617" w:rsidRPr="004B723C" w:rsidRDefault="00D53FD9"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1.01 × 10</w:t>
            </w:r>
            <w:r w:rsidRPr="004B723C">
              <w:rPr>
                <w:rFonts w:eastAsia="Times New Roman" w:cs="Times New Roman"/>
                <w:color w:val="000000"/>
                <w:sz w:val="18"/>
                <w:szCs w:val="18"/>
                <w:vertAlign w:val="superscript"/>
                <w:lang w:eastAsia="en-GB"/>
              </w:rPr>
              <w:t>-42</w:t>
            </w:r>
          </w:p>
        </w:tc>
        <w:tc>
          <w:tcPr>
            <w:tcW w:w="1134" w:type="dxa"/>
            <w:noWrap/>
          </w:tcPr>
          <w:p w14:paraId="697517C3" w14:textId="36A076FC"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417" w:type="dxa"/>
            <w:noWrap/>
            <w:hideMark/>
          </w:tcPr>
          <w:p w14:paraId="4C1D910B" w14:textId="77777777"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158/382</w:t>
            </w:r>
          </w:p>
        </w:tc>
        <w:tc>
          <w:tcPr>
            <w:tcW w:w="1560" w:type="dxa"/>
            <w:noWrap/>
            <w:hideMark/>
          </w:tcPr>
          <w:p w14:paraId="255240D8" w14:textId="4A36AABD"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3</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26 (2</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64–4</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01)</w:t>
            </w:r>
          </w:p>
        </w:tc>
        <w:tc>
          <w:tcPr>
            <w:tcW w:w="1094" w:type="dxa"/>
            <w:noWrap/>
            <w:hideMark/>
          </w:tcPr>
          <w:p w14:paraId="5F8E5CE2" w14:textId="5150A8FB" w:rsidR="00FC2617" w:rsidRPr="004B723C" w:rsidRDefault="00D53FD9"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1.72 × 10</w:t>
            </w:r>
            <w:r w:rsidRPr="004B723C">
              <w:rPr>
                <w:rFonts w:eastAsia="Times New Roman" w:cs="Times New Roman"/>
                <w:color w:val="000000"/>
                <w:sz w:val="18"/>
                <w:szCs w:val="18"/>
                <w:vertAlign w:val="superscript"/>
                <w:lang w:eastAsia="en-GB"/>
              </w:rPr>
              <w:t>-28</w:t>
            </w:r>
          </w:p>
        </w:tc>
      </w:tr>
      <w:tr w:rsidR="00EC0F8C" w:rsidRPr="004B723C" w14:paraId="78C1C38B" w14:textId="77777777" w:rsidTr="00EC0F8C">
        <w:trPr>
          <w:trHeight w:val="300"/>
          <w:jc w:val="center"/>
        </w:trPr>
        <w:tc>
          <w:tcPr>
            <w:cnfStyle w:val="001000000000" w:firstRow="0" w:lastRow="0" w:firstColumn="1" w:lastColumn="0" w:oddVBand="0" w:evenVBand="0" w:oddHBand="0" w:evenHBand="0" w:firstRowFirstColumn="0" w:firstRowLastColumn="0" w:lastRowFirstColumn="0" w:lastRowLastColumn="0"/>
            <w:tcW w:w="2684" w:type="dxa"/>
            <w:noWrap/>
            <w:hideMark/>
          </w:tcPr>
          <w:p w14:paraId="30C8F1EB" w14:textId="77777777" w:rsidR="00FC2617" w:rsidRPr="004B723C" w:rsidRDefault="00FC2617" w:rsidP="006D6EF2">
            <w:pPr>
              <w:spacing w:line="276" w:lineRule="auto"/>
              <w:rPr>
                <w:rFonts w:eastAsia="Times New Roman" w:cs="Times New Roman"/>
                <w:color w:val="000000"/>
                <w:sz w:val="18"/>
                <w:szCs w:val="18"/>
                <w:lang w:eastAsia="en-GB"/>
              </w:rPr>
            </w:pPr>
            <w:r w:rsidRPr="004B723C">
              <w:rPr>
                <w:rFonts w:eastAsia="Times New Roman" w:cs="Times New Roman"/>
                <w:color w:val="000000"/>
                <w:sz w:val="18"/>
                <w:szCs w:val="18"/>
                <w:lang w:eastAsia="en-GB"/>
              </w:rPr>
              <w:t>Recipient age (per 10 years)</w:t>
            </w:r>
          </w:p>
        </w:tc>
        <w:tc>
          <w:tcPr>
            <w:tcW w:w="992" w:type="dxa"/>
            <w:noWrap/>
            <w:hideMark/>
          </w:tcPr>
          <w:p w14:paraId="27F5A302" w14:textId="77777777" w:rsidR="00FC2617" w:rsidRPr="004B723C" w:rsidRDefault="00FC2617" w:rsidP="006D6EF2">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w:t>
            </w:r>
          </w:p>
        </w:tc>
        <w:tc>
          <w:tcPr>
            <w:tcW w:w="1134" w:type="dxa"/>
            <w:noWrap/>
            <w:hideMark/>
          </w:tcPr>
          <w:p w14:paraId="157B4704" w14:textId="77777777"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637/3,713</w:t>
            </w:r>
          </w:p>
        </w:tc>
        <w:tc>
          <w:tcPr>
            <w:tcW w:w="1417" w:type="dxa"/>
            <w:noWrap/>
            <w:hideMark/>
          </w:tcPr>
          <w:p w14:paraId="35601C47" w14:textId="77777777"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w:t>
            </w:r>
          </w:p>
        </w:tc>
        <w:tc>
          <w:tcPr>
            <w:tcW w:w="1418" w:type="dxa"/>
            <w:noWrap/>
            <w:hideMark/>
          </w:tcPr>
          <w:p w14:paraId="43298FA2" w14:textId="24702198"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0</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98 (0</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93–1</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04)</w:t>
            </w:r>
          </w:p>
        </w:tc>
        <w:tc>
          <w:tcPr>
            <w:tcW w:w="1134" w:type="dxa"/>
            <w:noWrap/>
            <w:hideMark/>
          </w:tcPr>
          <w:p w14:paraId="2C780A67" w14:textId="7CC58DA5"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0</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58</w:t>
            </w:r>
          </w:p>
        </w:tc>
        <w:tc>
          <w:tcPr>
            <w:tcW w:w="1134" w:type="dxa"/>
            <w:noWrap/>
            <w:hideMark/>
          </w:tcPr>
          <w:p w14:paraId="1433CF03" w14:textId="77777777"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633/3,693</w:t>
            </w:r>
          </w:p>
        </w:tc>
        <w:tc>
          <w:tcPr>
            <w:tcW w:w="1417" w:type="dxa"/>
            <w:noWrap/>
            <w:hideMark/>
          </w:tcPr>
          <w:p w14:paraId="22996568" w14:textId="77777777"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w:t>
            </w:r>
          </w:p>
        </w:tc>
        <w:tc>
          <w:tcPr>
            <w:tcW w:w="1560" w:type="dxa"/>
            <w:noWrap/>
            <w:hideMark/>
          </w:tcPr>
          <w:p w14:paraId="71D40CE9" w14:textId="519C4D5B"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0</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91 (0</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86–0</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98)</w:t>
            </w:r>
          </w:p>
        </w:tc>
        <w:tc>
          <w:tcPr>
            <w:tcW w:w="1094" w:type="dxa"/>
            <w:noWrap/>
            <w:hideMark/>
          </w:tcPr>
          <w:p w14:paraId="6F004772" w14:textId="74508E06"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0</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0082</w:t>
            </w:r>
          </w:p>
        </w:tc>
      </w:tr>
      <w:tr w:rsidR="00EC0F8C" w:rsidRPr="004B723C" w14:paraId="663D0A91" w14:textId="77777777" w:rsidTr="00EC0F8C">
        <w:trPr>
          <w:trHeight w:val="300"/>
          <w:jc w:val="center"/>
        </w:trPr>
        <w:tc>
          <w:tcPr>
            <w:cnfStyle w:val="001000000000" w:firstRow="0" w:lastRow="0" w:firstColumn="1" w:lastColumn="0" w:oddVBand="0" w:evenVBand="0" w:oddHBand="0" w:evenHBand="0" w:firstRowFirstColumn="0" w:firstRowLastColumn="0" w:lastRowFirstColumn="0" w:lastRowLastColumn="0"/>
            <w:tcW w:w="2684" w:type="dxa"/>
            <w:noWrap/>
            <w:hideMark/>
          </w:tcPr>
          <w:p w14:paraId="3C779153" w14:textId="77777777" w:rsidR="00FC2617" w:rsidRPr="004B723C" w:rsidRDefault="00FC2617" w:rsidP="006D6EF2">
            <w:pPr>
              <w:spacing w:line="276" w:lineRule="auto"/>
              <w:rPr>
                <w:rFonts w:eastAsia="Times New Roman" w:cs="Times New Roman"/>
                <w:color w:val="000000"/>
                <w:sz w:val="18"/>
                <w:szCs w:val="18"/>
                <w:lang w:eastAsia="en-GB"/>
              </w:rPr>
            </w:pPr>
            <w:r w:rsidRPr="004B723C">
              <w:rPr>
                <w:rFonts w:eastAsia="Times New Roman" w:cs="Times New Roman"/>
                <w:color w:val="000000"/>
                <w:sz w:val="18"/>
                <w:szCs w:val="18"/>
                <w:lang w:eastAsia="en-GB"/>
              </w:rPr>
              <w:t>Recipient sex</w:t>
            </w:r>
          </w:p>
        </w:tc>
        <w:tc>
          <w:tcPr>
            <w:tcW w:w="992" w:type="dxa"/>
            <w:noWrap/>
            <w:hideMark/>
          </w:tcPr>
          <w:p w14:paraId="520EF14C" w14:textId="72FFA601" w:rsidR="00FC2617" w:rsidRPr="004B723C" w:rsidRDefault="000804FD" w:rsidP="006D6EF2">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Male</w:t>
            </w:r>
          </w:p>
        </w:tc>
        <w:tc>
          <w:tcPr>
            <w:tcW w:w="1134" w:type="dxa"/>
            <w:noWrap/>
            <w:hideMark/>
          </w:tcPr>
          <w:p w14:paraId="224BC9C7" w14:textId="77777777"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637/3,713</w:t>
            </w:r>
          </w:p>
        </w:tc>
        <w:tc>
          <w:tcPr>
            <w:tcW w:w="1417" w:type="dxa"/>
            <w:noWrap/>
            <w:hideMark/>
          </w:tcPr>
          <w:p w14:paraId="5088909D" w14:textId="59F47252" w:rsidR="00FC2617" w:rsidRPr="004B723C" w:rsidRDefault="000804FD"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356/2,402</w:t>
            </w:r>
          </w:p>
        </w:tc>
        <w:tc>
          <w:tcPr>
            <w:tcW w:w="1418" w:type="dxa"/>
            <w:noWrap/>
            <w:hideMark/>
          </w:tcPr>
          <w:p w14:paraId="2220AF27" w14:textId="51656095" w:rsidR="00FC2617" w:rsidRPr="004B723C" w:rsidRDefault="00D45F56"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Ref.</w:t>
            </w:r>
          </w:p>
        </w:tc>
        <w:tc>
          <w:tcPr>
            <w:tcW w:w="1134" w:type="dxa"/>
            <w:noWrap/>
            <w:hideMark/>
          </w:tcPr>
          <w:p w14:paraId="5AEC3605" w14:textId="39371D41" w:rsidR="00FC2617" w:rsidRPr="004B723C" w:rsidRDefault="00D45F56"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Ref.</w:t>
            </w:r>
          </w:p>
        </w:tc>
        <w:tc>
          <w:tcPr>
            <w:tcW w:w="1134" w:type="dxa"/>
            <w:noWrap/>
            <w:hideMark/>
          </w:tcPr>
          <w:p w14:paraId="32E14944" w14:textId="77777777"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633/3,693</w:t>
            </w:r>
          </w:p>
        </w:tc>
        <w:tc>
          <w:tcPr>
            <w:tcW w:w="1417" w:type="dxa"/>
            <w:noWrap/>
            <w:hideMark/>
          </w:tcPr>
          <w:p w14:paraId="07C47B51" w14:textId="60BE4AEB" w:rsidR="00FC2617" w:rsidRPr="004B723C" w:rsidRDefault="00300F54"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353/2,391</w:t>
            </w:r>
          </w:p>
        </w:tc>
        <w:tc>
          <w:tcPr>
            <w:tcW w:w="1560" w:type="dxa"/>
            <w:noWrap/>
            <w:hideMark/>
          </w:tcPr>
          <w:p w14:paraId="17BB7C17" w14:textId="126A1A63" w:rsidR="00FC2617" w:rsidRPr="004B723C" w:rsidRDefault="00D45F56"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Ref.</w:t>
            </w:r>
          </w:p>
        </w:tc>
        <w:tc>
          <w:tcPr>
            <w:tcW w:w="1094" w:type="dxa"/>
            <w:noWrap/>
            <w:hideMark/>
          </w:tcPr>
          <w:p w14:paraId="0E943189" w14:textId="0B82FE4B" w:rsidR="00FC2617" w:rsidRPr="004B723C" w:rsidRDefault="00D45F56"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Ref.</w:t>
            </w:r>
          </w:p>
        </w:tc>
      </w:tr>
      <w:tr w:rsidR="00EC0F8C" w:rsidRPr="004B723C" w14:paraId="04EAA0A7" w14:textId="77777777" w:rsidTr="00EC0F8C">
        <w:trPr>
          <w:trHeight w:val="300"/>
          <w:jc w:val="center"/>
        </w:trPr>
        <w:tc>
          <w:tcPr>
            <w:cnfStyle w:val="001000000000" w:firstRow="0" w:lastRow="0" w:firstColumn="1" w:lastColumn="0" w:oddVBand="0" w:evenVBand="0" w:oddHBand="0" w:evenHBand="0" w:firstRowFirstColumn="0" w:firstRowLastColumn="0" w:lastRowFirstColumn="0" w:lastRowLastColumn="0"/>
            <w:tcW w:w="2684" w:type="dxa"/>
            <w:noWrap/>
          </w:tcPr>
          <w:p w14:paraId="4ECB468D" w14:textId="146E862F" w:rsidR="00FC2617" w:rsidRPr="004B723C" w:rsidRDefault="00FC2617" w:rsidP="006D6EF2">
            <w:pPr>
              <w:spacing w:line="276" w:lineRule="auto"/>
              <w:rPr>
                <w:rFonts w:eastAsia="Times New Roman" w:cs="Times New Roman"/>
                <w:color w:val="000000"/>
                <w:sz w:val="18"/>
                <w:szCs w:val="18"/>
                <w:lang w:eastAsia="en-GB"/>
              </w:rPr>
            </w:pPr>
          </w:p>
        </w:tc>
        <w:tc>
          <w:tcPr>
            <w:tcW w:w="992" w:type="dxa"/>
            <w:noWrap/>
            <w:hideMark/>
          </w:tcPr>
          <w:p w14:paraId="675E5BF2" w14:textId="12A1BCC8" w:rsidR="00FC2617" w:rsidRPr="004B723C" w:rsidRDefault="000804FD" w:rsidP="006D6EF2">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Female</w:t>
            </w:r>
          </w:p>
        </w:tc>
        <w:tc>
          <w:tcPr>
            <w:tcW w:w="1134" w:type="dxa"/>
            <w:noWrap/>
          </w:tcPr>
          <w:p w14:paraId="29FA531E" w14:textId="37C8149D"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417" w:type="dxa"/>
            <w:noWrap/>
            <w:hideMark/>
          </w:tcPr>
          <w:p w14:paraId="03537793" w14:textId="0C779076" w:rsidR="000804FD" w:rsidRPr="004B723C" w:rsidRDefault="000804FD"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281/1,311</w:t>
            </w:r>
          </w:p>
        </w:tc>
        <w:tc>
          <w:tcPr>
            <w:tcW w:w="1418" w:type="dxa"/>
            <w:noWrap/>
            <w:hideMark/>
          </w:tcPr>
          <w:p w14:paraId="341EF56E" w14:textId="6BA35483" w:rsidR="00FC2617" w:rsidRPr="004B723C" w:rsidRDefault="007D494D"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1</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42 (1</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22–1</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66)</w:t>
            </w:r>
          </w:p>
        </w:tc>
        <w:tc>
          <w:tcPr>
            <w:tcW w:w="1134" w:type="dxa"/>
            <w:noWrap/>
            <w:hideMark/>
          </w:tcPr>
          <w:p w14:paraId="22BA4B31" w14:textId="2AB5CC19" w:rsidR="00FC2617" w:rsidRPr="004B723C" w:rsidRDefault="00D53FD9"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1.02 × 10</w:t>
            </w:r>
            <w:r w:rsidRPr="004B723C">
              <w:rPr>
                <w:rFonts w:eastAsia="Times New Roman" w:cs="Times New Roman"/>
                <w:color w:val="000000"/>
                <w:sz w:val="18"/>
                <w:szCs w:val="18"/>
                <w:vertAlign w:val="superscript"/>
                <w:lang w:eastAsia="en-GB"/>
              </w:rPr>
              <w:t>-5</w:t>
            </w:r>
          </w:p>
        </w:tc>
        <w:tc>
          <w:tcPr>
            <w:tcW w:w="1134" w:type="dxa"/>
            <w:noWrap/>
          </w:tcPr>
          <w:p w14:paraId="5FE35331" w14:textId="11CBA94C"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417" w:type="dxa"/>
            <w:noWrap/>
            <w:hideMark/>
          </w:tcPr>
          <w:p w14:paraId="2EFB6814" w14:textId="4719BA64" w:rsidR="00300F54" w:rsidRPr="004B723C" w:rsidRDefault="00300F54"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280/1,302</w:t>
            </w:r>
          </w:p>
        </w:tc>
        <w:tc>
          <w:tcPr>
            <w:tcW w:w="1560" w:type="dxa"/>
            <w:noWrap/>
            <w:hideMark/>
          </w:tcPr>
          <w:p w14:paraId="7DD4829B" w14:textId="7A86B47C" w:rsidR="00FC2617" w:rsidRPr="004B723C" w:rsidRDefault="00300F54"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1</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18 (1</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00–1</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38)</w:t>
            </w:r>
          </w:p>
        </w:tc>
        <w:tc>
          <w:tcPr>
            <w:tcW w:w="1094" w:type="dxa"/>
            <w:noWrap/>
            <w:hideMark/>
          </w:tcPr>
          <w:p w14:paraId="5CA36F1D" w14:textId="1CC6FFB2"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0</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047</w:t>
            </w:r>
          </w:p>
        </w:tc>
      </w:tr>
      <w:tr w:rsidR="00EC0F8C" w:rsidRPr="004B723C" w14:paraId="7CBAD9C8" w14:textId="77777777" w:rsidTr="00EC0F8C">
        <w:trPr>
          <w:trHeight w:val="300"/>
          <w:jc w:val="center"/>
        </w:trPr>
        <w:tc>
          <w:tcPr>
            <w:cnfStyle w:val="001000000000" w:firstRow="0" w:lastRow="0" w:firstColumn="1" w:lastColumn="0" w:oddVBand="0" w:evenVBand="0" w:oddHBand="0" w:evenHBand="0" w:firstRowFirstColumn="0" w:firstRowLastColumn="0" w:lastRowFirstColumn="0" w:lastRowLastColumn="0"/>
            <w:tcW w:w="2684" w:type="dxa"/>
            <w:noWrap/>
            <w:hideMark/>
          </w:tcPr>
          <w:p w14:paraId="3821D679" w14:textId="77777777" w:rsidR="00FC2617" w:rsidRPr="004B723C" w:rsidRDefault="00FC2617" w:rsidP="006D6EF2">
            <w:pPr>
              <w:spacing w:line="276" w:lineRule="auto"/>
              <w:rPr>
                <w:rFonts w:eastAsia="Times New Roman" w:cs="Times New Roman"/>
                <w:color w:val="000000"/>
                <w:sz w:val="18"/>
                <w:szCs w:val="18"/>
                <w:lang w:eastAsia="en-GB"/>
              </w:rPr>
            </w:pPr>
            <w:r w:rsidRPr="004B723C">
              <w:rPr>
                <w:rFonts w:eastAsia="Times New Roman" w:cs="Times New Roman"/>
                <w:color w:val="000000"/>
                <w:sz w:val="18"/>
                <w:szCs w:val="18"/>
                <w:lang w:eastAsia="en-GB"/>
              </w:rPr>
              <w:t>Repeat transplantation</w:t>
            </w:r>
          </w:p>
        </w:tc>
        <w:tc>
          <w:tcPr>
            <w:tcW w:w="992" w:type="dxa"/>
            <w:noWrap/>
            <w:hideMark/>
          </w:tcPr>
          <w:p w14:paraId="052DB574" w14:textId="77777777" w:rsidR="00FC2617" w:rsidRPr="004B723C" w:rsidRDefault="00FC2617" w:rsidP="006D6EF2">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No</w:t>
            </w:r>
          </w:p>
        </w:tc>
        <w:tc>
          <w:tcPr>
            <w:tcW w:w="1134" w:type="dxa"/>
            <w:noWrap/>
            <w:hideMark/>
          </w:tcPr>
          <w:p w14:paraId="4596E048" w14:textId="77777777"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637/3,713</w:t>
            </w:r>
          </w:p>
        </w:tc>
        <w:tc>
          <w:tcPr>
            <w:tcW w:w="1417" w:type="dxa"/>
            <w:noWrap/>
            <w:hideMark/>
          </w:tcPr>
          <w:p w14:paraId="48270C63" w14:textId="77777777"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504/3,155</w:t>
            </w:r>
          </w:p>
        </w:tc>
        <w:tc>
          <w:tcPr>
            <w:tcW w:w="1418" w:type="dxa"/>
            <w:noWrap/>
            <w:hideMark/>
          </w:tcPr>
          <w:p w14:paraId="1D1310D4" w14:textId="194C12E1" w:rsidR="00FC2617" w:rsidRPr="004B723C" w:rsidRDefault="00D45F56"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Ref.</w:t>
            </w:r>
          </w:p>
        </w:tc>
        <w:tc>
          <w:tcPr>
            <w:tcW w:w="1134" w:type="dxa"/>
            <w:noWrap/>
            <w:hideMark/>
          </w:tcPr>
          <w:p w14:paraId="7F7946D7" w14:textId="167CF298" w:rsidR="00FC2617" w:rsidRPr="004B723C" w:rsidRDefault="00D45F56"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Ref.</w:t>
            </w:r>
          </w:p>
        </w:tc>
        <w:tc>
          <w:tcPr>
            <w:tcW w:w="1134" w:type="dxa"/>
            <w:noWrap/>
            <w:hideMark/>
          </w:tcPr>
          <w:p w14:paraId="6A9F9E4A" w14:textId="77777777"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633/3,693</w:t>
            </w:r>
          </w:p>
        </w:tc>
        <w:tc>
          <w:tcPr>
            <w:tcW w:w="1417" w:type="dxa"/>
            <w:noWrap/>
            <w:hideMark/>
          </w:tcPr>
          <w:p w14:paraId="08886436" w14:textId="77777777"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500/3,135</w:t>
            </w:r>
          </w:p>
        </w:tc>
        <w:tc>
          <w:tcPr>
            <w:tcW w:w="1560" w:type="dxa"/>
            <w:noWrap/>
            <w:hideMark/>
          </w:tcPr>
          <w:p w14:paraId="73793199" w14:textId="5273752E" w:rsidR="00FC2617" w:rsidRPr="004B723C" w:rsidRDefault="00D45F56"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Ref.</w:t>
            </w:r>
          </w:p>
        </w:tc>
        <w:tc>
          <w:tcPr>
            <w:tcW w:w="1094" w:type="dxa"/>
            <w:noWrap/>
            <w:hideMark/>
          </w:tcPr>
          <w:p w14:paraId="0B70AD73" w14:textId="326335E3" w:rsidR="00FC2617" w:rsidRPr="004B723C" w:rsidRDefault="00D45F56"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Ref.</w:t>
            </w:r>
          </w:p>
        </w:tc>
      </w:tr>
      <w:tr w:rsidR="00EC0F8C" w:rsidRPr="004B723C" w14:paraId="4323FC64" w14:textId="77777777" w:rsidTr="00EC0F8C">
        <w:trPr>
          <w:trHeight w:val="300"/>
          <w:jc w:val="center"/>
        </w:trPr>
        <w:tc>
          <w:tcPr>
            <w:cnfStyle w:val="001000000000" w:firstRow="0" w:lastRow="0" w:firstColumn="1" w:lastColumn="0" w:oddVBand="0" w:evenVBand="0" w:oddHBand="0" w:evenHBand="0" w:firstRowFirstColumn="0" w:firstRowLastColumn="0" w:lastRowFirstColumn="0" w:lastRowLastColumn="0"/>
            <w:tcW w:w="2684" w:type="dxa"/>
            <w:noWrap/>
          </w:tcPr>
          <w:p w14:paraId="2741D906" w14:textId="6F1E73AA" w:rsidR="00FC2617" w:rsidRPr="004B723C" w:rsidRDefault="00FC2617" w:rsidP="006D6EF2">
            <w:pPr>
              <w:spacing w:line="276" w:lineRule="auto"/>
              <w:rPr>
                <w:rFonts w:eastAsia="Times New Roman" w:cs="Times New Roman"/>
                <w:color w:val="000000"/>
                <w:sz w:val="18"/>
                <w:szCs w:val="18"/>
                <w:lang w:eastAsia="en-GB"/>
              </w:rPr>
            </w:pPr>
          </w:p>
        </w:tc>
        <w:tc>
          <w:tcPr>
            <w:tcW w:w="992" w:type="dxa"/>
            <w:noWrap/>
            <w:hideMark/>
          </w:tcPr>
          <w:p w14:paraId="242F8F54" w14:textId="77777777" w:rsidR="00FC2617" w:rsidRPr="004B723C" w:rsidRDefault="00FC2617" w:rsidP="006D6EF2">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Yes</w:t>
            </w:r>
          </w:p>
        </w:tc>
        <w:tc>
          <w:tcPr>
            <w:tcW w:w="1134" w:type="dxa"/>
            <w:noWrap/>
          </w:tcPr>
          <w:p w14:paraId="4F9A3C51" w14:textId="03CC63CF"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417" w:type="dxa"/>
            <w:noWrap/>
            <w:hideMark/>
          </w:tcPr>
          <w:p w14:paraId="6B08CF1B" w14:textId="77777777"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133/558</w:t>
            </w:r>
          </w:p>
        </w:tc>
        <w:tc>
          <w:tcPr>
            <w:tcW w:w="1418" w:type="dxa"/>
            <w:noWrap/>
            <w:hideMark/>
          </w:tcPr>
          <w:p w14:paraId="4BFE3D4A" w14:textId="2F863733"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1</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60 (1</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32–1</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94)</w:t>
            </w:r>
          </w:p>
        </w:tc>
        <w:tc>
          <w:tcPr>
            <w:tcW w:w="1134" w:type="dxa"/>
            <w:noWrap/>
            <w:hideMark/>
          </w:tcPr>
          <w:p w14:paraId="73820ABC" w14:textId="15F2F918" w:rsidR="00FC2617" w:rsidRPr="004B723C" w:rsidRDefault="00D53FD9"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1.43 × 10</w:t>
            </w:r>
            <w:r w:rsidRPr="004B723C">
              <w:rPr>
                <w:rFonts w:eastAsia="Times New Roman" w:cs="Times New Roman"/>
                <w:color w:val="000000"/>
                <w:sz w:val="18"/>
                <w:szCs w:val="18"/>
                <w:vertAlign w:val="superscript"/>
                <w:lang w:eastAsia="en-GB"/>
              </w:rPr>
              <w:t>-6</w:t>
            </w:r>
          </w:p>
        </w:tc>
        <w:tc>
          <w:tcPr>
            <w:tcW w:w="1134" w:type="dxa"/>
            <w:noWrap/>
          </w:tcPr>
          <w:p w14:paraId="5EE2B9BE" w14:textId="531DB4FE"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417" w:type="dxa"/>
            <w:noWrap/>
            <w:hideMark/>
          </w:tcPr>
          <w:p w14:paraId="3AFC9A25" w14:textId="77777777"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133/558</w:t>
            </w:r>
          </w:p>
        </w:tc>
        <w:tc>
          <w:tcPr>
            <w:tcW w:w="1560" w:type="dxa"/>
            <w:noWrap/>
            <w:hideMark/>
          </w:tcPr>
          <w:p w14:paraId="07B25B68" w14:textId="6E5D0B31"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1</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05 (0</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84–1</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30)</w:t>
            </w:r>
          </w:p>
        </w:tc>
        <w:tc>
          <w:tcPr>
            <w:tcW w:w="1094" w:type="dxa"/>
            <w:noWrap/>
            <w:hideMark/>
          </w:tcPr>
          <w:p w14:paraId="60694FB7" w14:textId="028358E1" w:rsidR="00FC2617" w:rsidRPr="004B723C" w:rsidRDefault="00FC2617"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0</w:t>
            </w:r>
            <w:r w:rsidR="009B49E1"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67</w:t>
            </w:r>
          </w:p>
        </w:tc>
      </w:tr>
    </w:tbl>
    <w:p w14:paraId="089AEC5E" w14:textId="37325D91" w:rsidR="00D31445" w:rsidRPr="004B723C" w:rsidRDefault="00D31445" w:rsidP="00D31445">
      <w:pPr>
        <w:spacing w:before="240" w:line="360" w:lineRule="auto"/>
      </w:pPr>
      <w:r w:rsidRPr="004B723C">
        <w:lastRenderedPageBreak/>
        <w:t xml:space="preserve">Values are hazard ratios (HRs) with 95% confidence intervals (CIs) from univariable and multivariable Cox proportional-hazards models. Total events and events per subgroup are presented as n/N, where n denotes the number of events and N the number of participants with non-missing data for the respective covariate. Multivariable models were adjusted for recipient age and sex; donor age and type (living, donation after circulatory death or donation after brain death); repeat transplantation; calendar year of transplantation; HLA mismatch; HLA-DSA status at transplantation; cold </w:t>
      </w:r>
      <w:r w:rsidR="00492FBC" w:rsidRPr="004B723C">
        <w:t>ischemia</w:t>
      </w:r>
      <w:r w:rsidRPr="004B723C">
        <w:t xml:space="preserve"> time; and transplant </w:t>
      </w:r>
      <w:r w:rsidR="00492FBC" w:rsidRPr="004B723C">
        <w:t>center</w:t>
      </w:r>
      <w:r w:rsidRPr="004B723C">
        <w:t>.</w:t>
      </w:r>
    </w:p>
    <w:p w14:paraId="3A6A8E51" w14:textId="37FA1C0A" w:rsidR="00D31445" w:rsidRPr="004B723C" w:rsidRDefault="00D31445" w:rsidP="00D31445">
      <w:pPr>
        <w:spacing w:before="240" w:line="360" w:lineRule="auto"/>
      </w:pPr>
      <w:r w:rsidRPr="004B723C">
        <w:t xml:space="preserve">Abbreviations: CMV, cytomegalovirus; D, donor; DSA, donor-specific antibody; HLA, human leukocyte antigen; R, recipient; </w:t>
      </w:r>
      <w:r w:rsidR="00D45F56" w:rsidRPr="004B723C">
        <w:t>Ref.</w:t>
      </w:r>
      <w:r w:rsidRPr="004B723C">
        <w:t>, reference.</w:t>
      </w:r>
    </w:p>
    <w:p w14:paraId="29FAB27D" w14:textId="77777777" w:rsidR="00597AB2" w:rsidRPr="004B723C" w:rsidRDefault="00597AB2" w:rsidP="007F3A2D">
      <w:pPr>
        <w:spacing w:line="360" w:lineRule="auto"/>
        <w:rPr>
          <w:rFonts w:cs="Times New Roman"/>
          <w:szCs w:val="20"/>
        </w:rPr>
      </w:pPr>
    </w:p>
    <w:p w14:paraId="39577392" w14:textId="77777777" w:rsidR="008F2DD5" w:rsidRPr="004B723C" w:rsidRDefault="008F2DD5" w:rsidP="007F3A2D">
      <w:pPr>
        <w:spacing w:line="360" w:lineRule="auto"/>
        <w:rPr>
          <w:rFonts w:cs="Times New Roman"/>
          <w:szCs w:val="20"/>
        </w:rPr>
        <w:sectPr w:rsidR="008F2DD5" w:rsidRPr="004B723C" w:rsidSect="00380509">
          <w:pgSz w:w="16838" w:h="11906" w:orient="landscape"/>
          <w:pgMar w:top="1417" w:right="1417" w:bottom="1417" w:left="1417" w:header="708" w:footer="708" w:gutter="0"/>
          <w:cols w:space="708"/>
          <w:docGrid w:linePitch="360"/>
        </w:sectPr>
      </w:pPr>
    </w:p>
    <w:p w14:paraId="57E24204" w14:textId="595E22F2" w:rsidR="00B52C1B" w:rsidRPr="004B723C" w:rsidRDefault="00B52C1B" w:rsidP="007F3A2D">
      <w:pPr>
        <w:pStyle w:val="Heading2"/>
        <w:spacing w:line="360" w:lineRule="auto"/>
        <w:rPr>
          <w:rFonts w:cs="Times New Roman"/>
          <w:sz w:val="22"/>
          <w:szCs w:val="22"/>
        </w:rPr>
      </w:pPr>
      <w:bookmarkStart w:id="6" w:name="_Toc216645091"/>
      <w:bookmarkStart w:id="7" w:name="_Hlk209537668"/>
      <w:r w:rsidRPr="004B723C">
        <w:rPr>
          <w:rFonts w:cs="Times New Roman"/>
          <w:sz w:val="22"/>
          <w:szCs w:val="22"/>
        </w:rPr>
        <w:lastRenderedPageBreak/>
        <w:t xml:space="preserve">Table </w:t>
      </w:r>
      <w:r w:rsidR="00267FED" w:rsidRPr="004B723C">
        <w:rPr>
          <w:rFonts w:cs="Times New Roman"/>
          <w:sz w:val="22"/>
          <w:szCs w:val="22"/>
        </w:rPr>
        <w:t>S6</w:t>
      </w:r>
      <w:r w:rsidRPr="004B723C">
        <w:rPr>
          <w:rFonts w:cs="Times New Roman"/>
          <w:sz w:val="22"/>
          <w:szCs w:val="22"/>
        </w:rPr>
        <w:t xml:space="preserve">: </w:t>
      </w:r>
      <w:r w:rsidR="000502D0" w:rsidRPr="004B723C">
        <w:rPr>
          <w:rFonts w:cs="Times New Roman"/>
          <w:sz w:val="22"/>
          <w:szCs w:val="22"/>
        </w:rPr>
        <w:t>Cox proportional hazards models for</w:t>
      </w:r>
      <w:r w:rsidR="00663206" w:rsidRPr="004B723C">
        <w:rPr>
          <w:rFonts w:cs="Times New Roman"/>
          <w:sz w:val="22"/>
          <w:szCs w:val="22"/>
        </w:rPr>
        <w:t xml:space="preserve"> CMV serostatus and</w:t>
      </w:r>
      <w:r w:rsidR="000502D0" w:rsidRPr="004B723C">
        <w:rPr>
          <w:rFonts w:cs="Times New Roman"/>
          <w:sz w:val="22"/>
          <w:szCs w:val="22"/>
        </w:rPr>
        <w:t xml:space="preserve"> first MVI including </w:t>
      </w:r>
      <w:r w:rsidR="009B73F9">
        <w:rPr>
          <w:rFonts w:cs="Times New Roman"/>
          <w:sz w:val="22"/>
          <w:szCs w:val="22"/>
        </w:rPr>
        <w:t>missing-self</w:t>
      </w:r>
      <w:bookmarkEnd w:id="6"/>
    </w:p>
    <w:tbl>
      <w:tblPr>
        <w:tblStyle w:val="Nature"/>
        <w:tblW w:w="0" w:type="auto"/>
        <w:jc w:val="center"/>
        <w:tblLayout w:type="fixed"/>
        <w:tblLook w:val="04A0" w:firstRow="1" w:lastRow="0" w:firstColumn="1" w:lastColumn="0" w:noHBand="0" w:noVBand="1"/>
      </w:tblPr>
      <w:tblGrid>
        <w:gridCol w:w="2542"/>
        <w:gridCol w:w="1417"/>
        <w:gridCol w:w="1276"/>
        <w:gridCol w:w="992"/>
        <w:gridCol w:w="1418"/>
        <w:gridCol w:w="1134"/>
        <w:gridCol w:w="1134"/>
        <w:gridCol w:w="1134"/>
        <w:gridCol w:w="1417"/>
        <w:gridCol w:w="1520"/>
      </w:tblGrid>
      <w:tr w:rsidR="00AE37FE" w:rsidRPr="004B723C" w14:paraId="1CB23F7D" w14:textId="77777777" w:rsidTr="00AE37FE">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542" w:type="dxa"/>
            <w:noWrap/>
            <w:vAlign w:val="center"/>
            <w:hideMark/>
          </w:tcPr>
          <w:p w14:paraId="1EB0151E" w14:textId="5617515B" w:rsidR="00E527B8" w:rsidRPr="004B723C" w:rsidRDefault="009B73F9" w:rsidP="00AE37FE">
            <w:pPr>
              <w:spacing w:line="276" w:lineRule="auto"/>
              <w:rPr>
                <w:rFonts w:eastAsia="Times New Roman" w:cs="Times New Roman"/>
                <w:b/>
                <w:bCs/>
                <w:i w:val="0"/>
                <w:iCs w:val="0"/>
                <w:color w:val="000000"/>
                <w:sz w:val="18"/>
                <w:szCs w:val="18"/>
                <w:lang w:eastAsia="en-GB"/>
              </w:rPr>
            </w:pPr>
            <w:r>
              <w:rPr>
                <w:rFonts w:eastAsia="Times New Roman" w:cs="Times New Roman"/>
                <w:b/>
                <w:bCs/>
                <w:color w:val="000000"/>
                <w:sz w:val="18"/>
                <w:szCs w:val="18"/>
                <w:lang w:eastAsia="en-GB"/>
              </w:rPr>
              <w:t>Factors</w:t>
            </w:r>
          </w:p>
        </w:tc>
        <w:tc>
          <w:tcPr>
            <w:tcW w:w="1417" w:type="dxa"/>
            <w:noWrap/>
            <w:vAlign w:val="center"/>
            <w:hideMark/>
          </w:tcPr>
          <w:p w14:paraId="6426F085" w14:textId="5EC2571A" w:rsidR="00E527B8" w:rsidRPr="004B723C" w:rsidRDefault="00E527B8" w:rsidP="006D6EF2">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i w:val="0"/>
                <w:iCs w:val="0"/>
                <w:color w:val="000000"/>
                <w:sz w:val="18"/>
                <w:szCs w:val="18"/>
                <w:lang w:eastAsia="en-GB"/>
              </w:rPr>
            </w:pPr>
            <w:r w:rsidRPr="004B723C">
              <w:rPr>
                <w:rFonts w:eastAsia="Times New Roman" w:cs="Times New Roman"/>
                <w:b/>
                <w:bCs/>
                <w:color w:val="000000"/>
                <w:sz w:val="18"/>
                <w:szCs w:val="18"/>
                <w:lang w:eastAsia="en-GB"/>
              </w:rPr>
              <w:t>Level</w:t>
            </w:r>
          </w:p>
        </w:tc>
        <w:tc>
          <w:tcPr>
            <w:tcW w:w="1276" w:type="dxa"/>
            <w:noWrap/>
            <w:vAlign w:val="center"/>
            <w:hideMark/>
          </w:tcPr>
          <w:p w14:paraId="44E6093D" w14:textId="6D3D848B" w:rsidR="00E527B8" w:rsidRPr="004B723C" w:rsidRDefault="00E527B8" w:rsidP="006D6EF2">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i w:val="0"/>
                <w:iCs w:val="0"/>
                <w:color w:val="000000"/>
                <w:sz w:val="18"/>
                <w:szCs w:val="18"/>
                <w:lang w:eastAsia="en-GB"/>
              </w:rPr>
            </w:pPr>
            <w:r w:rsidRPr="004B723C">
              <w:rPr>
                <w:rFonts w:eastAsia="Times New Roman" w:cs="Times New Roman"/>
                <w:b/>
                <w:bCs/>
                <w:color w:val="000000"/>
                <w:sz w:val="18"/>
                <w:szCs w:val="18"/>
                <w:lang w:eastAsia="en-GB"/>
              </w:rPr>
              <w:t>Events/</w:t>
            </w:r>
            <w:r w:rsidR="00D94533" w:rsidRPr="004B723C">
              <w:rPr>
                <w:rFonts w:eastAsia="Times New Roman" w:cs="Times New Roman"/>
                <w:b/>
                <w:bCs/>
                <w:color w:val="000000"/>
                <w:sz w:val="18"/>
                <w:szCs w:val="18"/>
                <w:lang w:eastAsia="en-GB"/>
              </w:rPr>
              <w:br/>
            </w:r>
            <w:r w:rsidRPr="004B723C">
              <w:rPr>
                <w:rFonts w:eastAsia="Times New Roman" w:cs="Times New Roman"/>
                <w:b/>
                <w:bCs/>
                <w:color w:val="000000"/>
                <w:sz w:val="18"/>
                <w:szCs w:val="18"/>
                <w:lang w:eastAsia="en-GB"/>
              </w:rPr>
              <w:t xml:space="preserve">N </w:t>
            </w:r>
            <w:r w:rsidR="00492FBC" w:rsidRPr="004B723C">
              <w:rPr>
                <w:rFonts w:eastAsia="Times New Roman" w:cs="Times New Roman"/>
                <w:b/>
                <w:bCs/>
                <w:color w:val="000000"/>
                <w:sz w:val="18"/>
                <w:szCs w:val="18"/>
                <w:lang w:eastAsia="en-GB"/>
              </w:rPr>
              <w:t>analyzed</w:t>
            </w:r>
          </w:p>
        </w:tc>
        <w:tc>
          <w:tcPr>
            <w:tcW w:w="992" w:type="dxa"/>
            <w:noWrap/>
            <w:vAlign w:val="center"/>
            <w:hideMark/>
          </w:tcPr>
          <w:p w14:paraId="47FD4AB7" w14:textId="21DB9C5D" w:rsidR="00E527B8" w:rsidRPr="004B723C" w:rsidRDefault="00E527B8" w:rsidP="006D6EF2">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i w:val="0"/>
                <w:iCs w:val="0"/>
                <w:color w:val="000000"/>
                <w:sz w:val="18"/>
                <w:szCs w:val="18"/>
                <w:lang w:eastAsia="en-GB"/>
              </w:rPr>
            </w:pPr>
            <w:r w:rsidRPr="004B723C">
              <w:rPr>
                <w:rFonts w:eastAsia="Times New Roman" w:cs="Times New Roman"/>
                <w:b/>
                <w:bCs/>
                <w:color w:val="000000"/>
                <w:sz w:val="18"/>
                <w:szCs w:val="18"/>
                <w:lang w:eastAsia="en-GB"/>
              </w:rPr>
              <w:t>Events (group)/</w:t>
            </w:r>
            <w:r w:rsidR="00D94533" w:rsidRPr="004B723C">
              <w:rPr>
                <w:rFonts w:eastAsia="Times New Roman" w:cs="Times New Roman"/>
                <w:b/>
                <w:bCs/>
                <w:color w:val="000000"/>
                <w:sz w:val="18"/>
                <w:szCs w:val="18"/>
                <w:lang w:eastAsia="en-GB"/>
              </w:rPr>
              <w:br/>
            </w:r>
            <w:r w:rsidRPr="004B723C">
              <w:rPr>
                <w:rFonts w:eastAsia="Times New Roman" w:cs="Times New Roman"/>
                <w:b/>
                <w:bCs/>
                <w:color w:val="000000"/>
                <w:sz w:val="18"/>
                <w:szCs w:val="18"/>
                <w:lang w:eastAsia="en-GB"/>
              </w:rPr>
              <w:t>N (group)</w:t>
            </w:r>
          </w:p>
        </w:tc>
        <w:tc>
          <w:tcPr>
            <w:tcW w:w="1418" w:type="dxa"/>
            <w:noWrap/>
            <w:vAlign w:val="center"/>
            <w:hideMark/>
          </w:tcPr>
          <w:p w14:paraId="5B283B5A" w14:textId="040E0953" w:rsidR="00E527B8" w:rsidRPr="004B723C" w:rsidRDefault="00E527B8" w:rsidP="006D6EF2">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i w:val="0"/>
                <w:iCs w:val="0"/>
                <w:color w:val="000000"/>
                <w:sz w:val="18"/>
                <w:szCs w:val="18"/>
                <w:lang w:eastAsia="en-GB"/>
              </w:rPr>
            </w:pPr>
            <w:r w:rsidRPr="004B723C">
              <w:rPr>
                <w:rFonts w:eastAsia="Times New Roman" w:cs="Times New Roman"/>
                <w:b/>
                <w:bCs/>
                <w:color w:val="000000"/>
                <w:sz w:val="18"/>
                <w:szCs w:val="18"/>
                <w:lang w:eastAsia="en-GB"/>
              </w:rPr>
              <w:t>HR</w:t>
            </w:r>
            <w:r w:rsidR="00D94533" w:rsidRPr="004B723C">
              <w:rPr>
                <w:rFonts w:eastAsia="Times New Roman" w:cs="Times New Roman"/>
                <w:b/>
                <w:bCs/>
                <w:color w:val="000000"/>
                <w:sz w:val="18"/>
                <w:szCs w:val="18"/>
                <w:lang w:eastAsia="en-GB"/>
              </w:rPr>
              <w:br/>
            </w:r>
            <w:r w:rsidRPr="004B723C">
              <w:rPr>
                <w:rFonts w:eastAsia="Times New Roman" w:cs="Times New Roman"/>
                <w:b/>
                <w:bCs/>
                <w:color w:val="000000"/>
                <w:sz w:val="18"/>
                <w:szCs w:val="18"/>
                <w:lang w:eastAsia="en-GB"/>
              </w:rPr>
              <w:t>(95% CI)</w:t>
            </w:r>
          </w:p>
        </w:tc>
        <w:tc>
          <w:tcPr>
            <w:tcW w:w="1134" w:type="dxa"/>
            <w:noWrap/>
            <w:vAlign w:val="center"/>
            <w:hideMark/>
          </w:tcPr>
          <w:p w14:paraId="3179C29D" w14:textId="771A6516" w:rsidR="00E527B8" w:rsidRPr="004B723C" w:rsidRDefault="00AE37FE" w:rsidP="006D6EF2">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i w:val="0"/>
                <w:iCs w:val="0"/>
                <w:color w:val="000000"/>
                <w:sz w:val="18"/>
                <w:szCs w:val="18"/>
                <w:lang w:eastAsia="en-GB"/>
              </w:rPr>
            </w:pPr>
            <w:r>
              <w:rPr>
                <w:rFonts w:eastAsia="Times New Roman" w:cs="Times New Roman"/>
                <w:b/>
                <w:bCs/>
                <w:color w:val="000000"/>
                <w:sz w:val="18"/>
                <w:szCs w:val="18"/>
                <w:lang w:eastAsia="en-GB"/>
              </w:rPr>
              <w:t>P</w:t>
            </w:r>
            <w:r w:rsidR="00E527B8" w:rsidRPr="004B723C">
              <w:rPr>
                <w:rFonts w:eastAsia="Times New Roman" w:cs="Times New Roman"/>
                <w:b/>
                <w:bCs/>
                <w:color w:val="000000"/>
                <w:sz w:val="18"/>
                <w:szCs w:val="18"/>
                <w:lang w:eastAsia="en-GB"/>
              </w:rPr>
              <w:t xml:space="preserve"> value</w:t>
            </w:r>
          </w:p>
        </w:tc>
        <w:tc>
          <w:tcPr>
            <w:tcW w:w="1134" w:type="dxa"/>
            <w:noWrap/>
            <w:vAlign w:val="center"/>
            <w:hideMark/>
          </w:tcPr>
          <w:p w14:paraId="272BCF7D" w14:textId="6C12BF8E" w:rsidR="00E527B8" w:rsidRPr="004B723C" w:rsidRDefault="00E527B8" w:rsidP="006D6EF2">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i w:val="0"/>
                <w:iCs w:val="0"/>
                <w:color w:val="000000"/>
                <w:sz w:val="18"/>
                <w:szCs w:val="18"/>
                <w:lang w:eastAsia="en-GB"/>
              </w:rPr>
            </w:pPr>
            <w:r w:rsidRPr="004B723C">
              <w:rPr>
                <w:rFonts w:eastAsia="Times New Roman" w:cs="Times New Roman"/>
                <w:b/>
                <w:bCs/>
                <w:color w:val="000000"/>
                <w:sz w:val="18"/>
                <w:szCs w:val="18"/>
                <w:lang w:eastAsia="en-GB"/>
              </w:rPr>
              <w:t>Events/</w:t>
            </w:r>
            <w:r w:rsidR="00D94533" w:rsidRPr="004B723C">
              <w:rPr>
                <w:rFonts w:eastAsia="Times New Roman" w:cs="Times New Roman"/>
                <w:b/>
                <w:bCs/>
                <w:color w:val="000000"/>
                <w:sz w:val="18"/>
                <w:szCs w:val="18"/>
                <w:lang w:eastAsia="en-GB"/>
              </w:rPr>
              <w:br/>
            </w:r>
            <w:r w:rsidRPr="004B723C">
              <w:rPr>
                <w:rFonts w:eastAsia="Times New Roman" w:cs="Times New Roman"/>
                <w:b/>
                <w:bCs/>
                <w:color w:val="000000"/>
                <w:sz w:val="18"/>
                <w:szCs w:val="18"/>
                <w:lang w:eastAsia="en-GB"/>
              </w:rPr>
              <w:t xml:space="preserve">N </w:t>
            </w:r>
            <w:r w:rsidR="00492FBC" w:rsidRPr="004B723C">
              <w:rPr>
                <w:rFonts w:eastAsia="Times New Roman" w:cs="Times New Roman"/>
                <w:b/>
                <w:bCs/>
                <w:color w:val="000000"/>
                <w:sz w:val="18"/>
                <w:szCs w:val="18"/>
                <w:lang w:eastAsia="en-GB"/>
              </w:rPr>
              <w:t>analyzed</w:t>
            </w:r>
          </w:p>
        </w:tc>
        <w:tc>
          <w:tcPr>
            <w:tcW w:w="1134" w:type="dxa"/>
            <w:noWrap/>
            <w:vAlign w:val="center"/>
            <w:hideMark/>
          </w:tcPr>
          <w:p w14:paraId="56C3A8B4" w14:textId="72A3F453" w:rsidR="00E527B8" w:rsidRPr="004B723C" w:rsidRDefault="00E527B8" w:rsidP="006D6EF2">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i w:val="0"/>
                <w:iCs w:val="0"/>
                <w:sz w:val="18"/>
                <w:szCs w:val="18"/>
                <w:lang w:eastAsia="en-GB"/>
              </w:rPr>
            </w:pPr>
            <w:r w:rsidRPr="004B723C">
              <w:rPr>
                <w:rFonts w:eastAsia="Times New Roman" w:cs="Times New Roman"/>
                <w:b/>
                <w:bCs/>
                <w:color w:val="000000"/>
                <w:sz w:val="18"/>
                <w:szCs w:val="18"/>
                <w:lang w:eastAsia="en-GB"/>
              </w:rPr>
              <w:t>Events (group)/</w:t>
            </w:r>
            <w:r w:rsidR="00D94533" w:rsidRPr="004B723C">
              <w:rPr>
                <w:rFonts w:eastAsia="Times New Roman" w:cs="Times New Roman"/>
                <w:b/>
                <w:bCs/>
                <w:color w:val="000000"/>
                <w:sz w:val="18"/>
                <w:szCs w:val="18"/>
                <w:lang w:eastAsia="en-GB"/>
              </w:rPr>
              <w:br/>
            </w:r>
            <w:r w:rsidRPr="004B723C">
              <w:rPr>
                <w:rFonts w:eastAsia="Times New Roman" w:cs="Times New Roman"/>
                <w:b/>
                <w:bCs/>
                <w:color w:val="000000"/>
                <w:sz w:val="18"/>
                <w:szCs w:val="18"/>
                <w:lang w:eastAsia="en-GB"/>
              </w:rPr>
              <w:t>N (group)</w:t>
            </w:r>
          </w:p>
        </w:tc>
        <w:tc>
          <w:tcPr>
            <w:tcW w:w="1417" w:type="dxa"/>
            <w:noWrap/>
            <w:vAlign w:val="center"/>
            <w:hideMark/>
          </w:tcPr>
          <w:p w14:paraId="2B2BE75F" w14:textId="528D97A6" w:rsidR="00E527B8" w:rsidRPr="004B723C" w:rsidRDefault="00E527B8" w:rsidP="006D6EF2">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i w:val="0"/>
                <w:iCs w:val="0"/>
                <w:sz w:val="18"/>
                <w:szCs w:val="18"/>
                <w:lang w:eastAsia="en-GB"/>
              </w:rPr>
            </w:pPr>
            <w:r w:rsidRPr="004B723C">
              <w:rPr>
                <w:rFonts w:eastAsia="Times New Roman" w:cs="Times New Roman"/>
                <w:b/>
                <w:bCs/>
                <w:color w:val="000000"/>
                <w:sz w:val="18"/>
                <w:szCs w:val="18"/>
                <w:lang w:eastAsia="en-GB"/>
              </w:rPr>
              <w:t>Adjusted HR</w:t>
            </w:r>
            <w:r w:rsidR="00D94533" w:rsidRPr="004B723C">
              <w:rPr>
                <w:rFonts w:eastAsia="Times New Roman" w:cs="Times New Roman"/>
                <w:b/>
                <w:bCs/>
                <w:color w:val="000000"/>
                <w:sz w:val="18"/>
                <w:szCs w:val="18"/>
                <w:lang w:eastAsia="en-GB"/>
              </w:rPr>
              <w:br/>
            </w:r>
            <w:r w:rsidRPr="004B723C">
              <w:rPr>
                <w:rFonts w:eastAsia="Times New Roman" w:cs="Times New Roman"/>
                <w:b/>
                <w:bCs/>
                <w:color w:val="000000"/>
                <w:sz w:val="18"/>
                <w:szCs w:val="18"/>
                <w:lang w:eastAsia="en-GB"/>
              </w:rPr>
              <w:t>(95% CI)</w:t>
            </w:r>
          </w:p>
        </w:tc>
        <w:tc>
          <w:tcPr>
            <w:tcW w:w="1520" w:type="dxa"/>
            <w:noWrap/>
            <w:vAlign w:val="center"/>
            <w:hideMark/>
          </w:tcPr>
          <w:p w14:paraId="4E57E327" w14:textId="3592647F" w:rsidR="00E527B8" w:rsidRPr="004B723C" w:rsidRDefault="00AE37FE" w:rsidP="006D6EF2">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i w:val="0"/>
                <w:iCs w:val="0"/>
                <w:sz w:val="18"/>
                <w:szCs w:val="18"/>
                <w:lang w:eastAsia="en-GB"/>
              </w:rPr>
            </w:pPr>
            <w:r>
              <w:rPr>
                <w:rFonts w:eastAsia="Times New Roman" w:cs="Times New Roman"/>
                <w:b/>
                <w:bCs/>
                <w:color w:val="000000"/>
                <w:sz w:val="18"/>
                <w:szCs w:val="18"/>
                <w:lang w:eastAsia="en-GB"/>
              </w:rPr>
              <w:t>P</w:t>
            </w:r>
            <w:r w:rsidR="00E527B8" w:rsidRPr="004B723C">
              <w:rPr>
                <w:rFonts w:eastAsia="Times New Roman" w:cs="Times New Roman"/>
                <w:b/>
                <w:bCs/>
                <w:color w:val="000000"/>
                <w:sz w:val="18"/>
                <w:szCs w:val="18"/>
                <w:lang w:eastAsia="en-GB"/>
              </w:rPr>
              <w:t xml:space="preserve"> value</w:t>
            </w:r>
          </w:p>
        </w:tc>
      </w:tr>
      <w:tr w:rsidR="001079C3" w:rsidRPr="004B723C" w14:paraId="05613151" w14:textId="77777777" w:rsidTr="00AE37FE">
        <w:trPr>
          <w:trHeight w:val="300"/>
          <w:jc w:val="center"/>
        </w:trPr>
        <w:tc>
          <w:tcPr>
            <w:cnfStyle w:val="001000000000" w:firstRow="0" w:lastRow="0" w:firstColumn="1" w:lastColumn="0" w:oddVBand="0" w:evenVBand="0" w:oddHBand="0" w:evenHBand="0" w:firstRowFirstColumn="0" w:firstRowLastColumn="0" w:lastRowFirstColumn="0" w:lastRowLastColumn="0"/>
            <w:tcW w:w="2542" w:type="dxa"/>
            <w:noWrap/>
            <w:vAlign w:val="center"/>
          </w:tcPr>
          <w:p w14:paraId="69DBA1FC" w14:textId="77777777" w:rsidR="00E527B8" w:rsidRPr="004B723C" w:rsidRDefault="00E527B8" w:rsidP="00AE37FE">
            <w:pPr>
              <w:spacing w:line="276" w:lineRule="auto"/>
              <w:rPr>
                <w:rFonts w:eastAsia="Times New Roman" w:cs="Times New Roman"/>
                <w:color w:val="000000"/>
                <w:sz w:val="18"/>
                <w:szCs w:val="18"/>
                <w:lang w:eastAsia="en-GB"/>
              </w:rPr>
            </w:pPr>
          </w:p>
        </w:tc>
        <w:tc>
          <w:tcPr>
            <w:tcW w:w="1417" w:type="dxa"/>
            <w:noWrap/>
            <w:vAlign w:val="center"/>
          </w:tcPr>
          <w:p w14:paraId="29E23E0E" w14:textId="77777777" w:rsidR="00E527B8" w:rsidRPr="004B723C" w:rsidRDefault="00E527B8"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4820" w:type="dxa"/>
            <w:gridSpan w:val="4"/>
            <w:noWrap/>
            <w:vAlign w:val="center"/>
          </w:tcPr>
          <w:p w14:paraId="637A222A" w14:textId="264B9C8E" w:rsidR="00E527B8" w:rsidRPr="004B723C" w:rsidRDefault="00E527B8"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b/>
                <w:bCs/>
                <w:color w:val="000000"/>
                <w:sz w:val="18"/>
                <w:szCs w:val="18"/>
                <w:lang w:eastAsia="en-GB"/>
              </w:rPr>
              <w:t xml:space="preserve">UNIVARIABLE </w:t>
            </w:r>
            <w:r w:rsidR="00E13E1E" w:rsidRPr="004B723C">
              <w:rPr>
                <w:rFonts w:eastAsia="Times New Roman" w:cs="Times New Roman"/>
                <w:b/>
                <w:bCs/>
                <w:color w:val="000000"/>
                <w:sz w:val="18"/>
                <w:szCs w:val="18"/>
                <w:lang w:eastAsia="en-GB"/>
              </w:rPr>
              <w:t>ANALYSIS</w:t>
            </w:r>
          </w:p>
        </w:tc>
        <w:tc>
          <w:tcPr>
            <w:tcW w:w="5205" w:type="dxa"/>
            <w:gridSpan w:val="4"/>
            <w:noWrap/>
            <w:vAlign w:val="center"/>
          </w:tcPr>
          <w:p w14:paraId="01A72C75" w14:textId="3DC1B1B4" w:rsidR="00E527B8" w:rsidRPr="004B723C" w:rsidRDefault="00E527B8"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b/>
                <w:bCs/>
                <w:color w:val="000000"/>
                <w:sz w:val="18"/>
                <w:szCs w:val="18"/>
                <w:lang w:eastAsia="en-GB"/>
              </w:rPr>
              <w:t xml:space="preserve">MULTIVARIABLE </w:t>
            </w:r>
            <w:r w:rsidR="00E13E1E" w:rsidRPr="004B723C">
              <w:rPr>
                <w:rFonts w:eastAsia="Times New Roman" w:cs="Times New Roman"/>
                <w:b/>
                <w:bCs/>
                <w:color w:val="000000"/>
                <w:sz w:val="18"/>
                <w:szCs w:val="18"/>
                <w:lang w:eastAsia="en-GB"/>
              </w:rPr>
              <w:t>ANALYSIS</w:t>
            </w:r>
          </w:p>
        </w:tc>
      </w:tr>
      <w:tr w:rsidR="00AE37FE" w:rsidRPr="004B723C" w14:paraId="327135C3" w14:textId="77777777" w:rsidTr="00AE37FE">
        <w:trPr>
          <w:trHeight w:val="300"/>
          <w:jc w:val="center"/>
        </w:trPr>
        <w:tc>
          <w:tcPr>
            <w:cnfStyle w:val="001000000000" w:firstRow="0" w:lastRow="0" w:firstColumn="1" w:lastColumn="0" w:oddVBand="0" w:evenVBand="0" w:oddHBand="0" w:evenHBand="0" w:firstRowFirstColumn="0" w:firstRowLastColumn="0" w:lastRowFirstColumn="0" w:lastRowLastColumn="0"/>
            <w:tcW w:w="2542" w:type="dxa"/>
            <w:noWrap/>
            <w:vAlign w:val="center"/>
          </w:tcPr>
          <w:p w14:paraId="72F21A56" w14:textId="6906925D" w:rsidR="00F72FB3" w:rsidRPr="004B723C" w:rsidRDefault="00F72FB3" w:rsidP="00AE37FE">
            <w:pPr>
              <w:spacing w:line="276" w:lineRule="auto"/>
              <w:rPr>
                <w:rFonts w:eastAsia="Times New Roman" w:cs="Times New Roman"/>
                <w:color w:val="000000"/>
                <w:sz w:val="18"/>
                <w:szCs w:val="18"/>
                <w:lang w:eastAsia="en-GB"/>
              </w:rPr>
            </w:pPr>
            <w:r w:rsidRPr="004B723C">
              <w:rPr>
                <w:rFonts w:eastAsia="Times New Roman" w:cs="Times New Roman"/>
                <w:color w:val="000000"/>
                <w:sz w:val="18"/>
                <w:szCs w:val="18"/>
                <w:lang w:eastAsia="en-GB"/>
              </w:rPr>
              <w:t>Calendar year of transplantation (per year)</w:t>
            </w:r>
          </w:p>
        </w:tc>
        <w:tc>
          <w:tcPr>
            <w:tcW w:w="1417" w:type="dxa"/>
            <w:noWrap/>
            <w:vAlign w:val="center"/>
          </w:tcPr>
          <w:p w14:paraId="4CE94D34" w14:textId="3C29E635"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w:t>
            </w:r>
          </w:p>
        </w:tc>
        <w:tc>
          <w:tcPr>
            <w:tcW w:w="1276" w:type="dxa"/>
            <w:noWrap/>
            <w:vAlign w:val="center"/>
          </w:tcPr>
          <w:p w14:paraId="2D439663" w14:textId="53623F6E"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sz w:val="18"/>
                <w:szCs w:val="18"/>
              </w:rPr>
              <w:t>363/2,265</w:t>
            </w:r>
          </w:p>
        </w:tc>
        <w:tc>
          <w:tcPr>
            <w:tcW w:w="992" w:type="dxa"/>
            <w:noWrap/>
            <w:vAlign w:val="center"/>
          </w:tcPr>
          <w:p w14:paraId="14ED2D48" w14:textId="24EAAB56"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w:t>
            </w:r>
          </w:p>
        </w:tc>
        <w:tc>
          <w:tcPr>
            <w:tcW w:w="1418" w:type="dxa"/>
            <w:noWrap/>
            <w:vAlign w:val="center"/>
          </w:tcPr>
          <w:p w14:paraId="69EEEA69" w14:textId="34B9A01F" w:rsidR="00F72FB3" w:rsidRPr="004B723C" w:rsidDel="0055418E"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0.95 (0.93–0.97)</w:t>
            </w:r>
          </w:p>
        </w:tc>
        <w:tc>
          <w:tcPr>
            <w:tcW w:w="1134" w:type="dxa"/>
            <w:noWrap/>
            <w:vAlign w:val="center"/>
          </w:tcPr>
          <w:p w14:paraId="0DA3B463" w14:textId="4ACB101F" w:rsidR="00F72FB3" w:rsidRPr="004B723C" w:rsidDel="0055418E" w:rsidRDefault="00D53FD9"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1.37 × 10</w:t>
            </w:r>
            <w:r w:rsidRPr="004B723C">
              <w:rPr>
                <w:rFonts w:cs="Times New Roman"/>
                <w:color w:val="000000"/>
                <w:sz w:val="18"/>
                <w:szCs w:val="18"/>
                <w:vertAlign w:val="superscript"/>
              </w:rPr>
              <w:t>-5</w:t>
            </w:r>
          </w:p>
        </w:tc>
        <w:tc>
          <w:tcPr>
            <w:tcW w:w="1134" w:type="dxa"/>
            <w:noWrap/>
            <w:vAlign w:val="center"/>
          </w:tcPr>
          <w:p w14:paraId="5C4BDF34" w14:textId="0142449B"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346/2,131</w:t>
            </w:r>
          </w:p>
        </w:tc>
        <w:tc>
          <w:tcPr>
            <w:tcW w:w="1134" w:type="dxa"/>
            <w:noWrap/>
            <w:vAlign w:val="center"/>
          </w:tcPr>
          <w:p w14:paraId="65BEB24B" w14:textId="686C939A"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w:t>
            </w:r>
          </w:p>
        </w:tc>
        <w:tc>
          <w:tcPr>
            <w:tcW w:w="1417" w:type="dxa"/>
            <w:noWrap/>
            <w:vAlign w:val="center"/>
          </w:tcPr>
          <w:p w14:paraId="5FCAD05E" w14:textId="5F7AB53E" w:rsidR="00F72FB3" w:rsidRPr="004B723C" w:rsidDel="0055418E"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0.94 (0.92–0.97)</w:t>
            </w:r>
          </w:p>
        </w:tc>
        <w:tc>
          <w:tcPr>
            <w:tcW w:w="1520" w:type="dxa"/>
            <w:noWrap/>
            <w:vAlign w:val="center"/>
          </w:tcPr>
          <w:p w14:paraId="02A8A049" w14:textId="6B3644E8" w:rsidR="00F72FB3" w:rsidRPr="004B723C" w:rsidDel="0055418E" w:rsidRDefault="00D53FD9"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1.82 × 10</w:t>
            </w:r>
            <w:r w:rsidRPr="004B723C">
              <w:rPr>
                <w:rFonts w:cs="Times New Roman"/>
                <w:color w:val="000000"/>
                <w:sz w:val="18"/>
                <w:szCs w:val="18"/>
                <w:vertAlign w:val="superscript"/>
              </w:rPr>
              <w:t>-5</w:t>
            </w:r>
          </w:p>
        </w:tc>
      </w:tr>
      <w:tr w:rsidR="00AE37FE" w:rsidRPr="004B723C" w14:paraId="782F61BB" w14:textId="77777777" w:rsidTr="00AE37FE">
        <w:trPr>
          <w:trHeight w:val="300"/>
          <w:jc w:val="center"/>
        </w:trPr>
        <w:tc>
          <w:tcPr>
            <w:cnfStyle w:val="001000000000" w:firstRow="0" w:lastRow="0" w:firstColumn="1" w:lastColumn="0" w:oddVBand="0" w:evenVBand="0" w:oddHBand="0" w:evenHBand="0" w:firstRowFirstColumn="0" w:firstRowLastColumn="0" w:lastRowFirstColumn="0" w:lastRowLastColumn="0"/>
            <w:tcW w:w="2542" w:type="dxa"/>
            <w:noWrap/>
            <w:vAlign w:val="center"/>
          </w:tcPr>
          <w:p w14:paraId="50A1359A" w14:textId="2E7152BA" w:rsidR="00F72FB3" w:rsidRPr="004B723C" w:rsidRDefault="00F72FB3" w:rsidP="00AE37FE">
            <w:pPr>
              <w:spacing w:line="276" w:lineRule="auto"/>
              <w:rPr>
                <w:rFonts w:eastAsia="Times New Roman" w:cs="Times New Roman"/>
                <w:color w:val="000000"/>
                <w:sz w:val="18"/>
                <w:szCs w:val="18"/>
                <w:lang w:eastAsia="en-GB"/>
              </w:rPr>
            </w:pPr>
            <w:r w:rsidRPr="004B723C">
              <w:rPr>
                <w:rFonts w:eastAsia="Times New Roman" w:cs="Times New Roman"/>
                <w:color w:val="000000"/>
                <w:sz w:val="18"/>
                <w:szCs w:val="18"/>
                <w:lang w:eastAsia="en-GB"/>
              </w:rPr>
              <w:t>Centre</w:t>
            </w:r>
          </w:p>
        </w:tc>
        <w:tc>
          <w:tcPr>
            <w:tcW w:w="1417" w:type="dxa"/>
            <w:noWrap/>
            <w:vAlign w:val="center"/>
          </w:tcPr>
          <w:p w14:paraId="53923ED1" w14:textId="4C7F6A62"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Basel</w:t>
            </w:r>
          </w:p>
        </w:tc>
        <w:tc>
          <w:tcPr>
            <w:tcW w:w="1276" w:type="dxa"/>
            <w:noWrap/>
            <w:vAlign w:val="center"/>
          </w:tcPr>
          <w:p w14:paraId="2C80CB04" w14:textId="7B284A7B"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sz w:val="18"/>
                <w:szCs w:val="18"/>
              </w:rPr>
              <w:t>363/2,265</w:t>
            </w:r>
          </w:p>
        </w:tc>
        <w:tc>
          <w:tcPr>
            <w:tcW w:w="992" w:type="dxa"/>
            <w:noWrap/>
            <w:vAlign w:val="center"/>
          </w:tcPr>
          <w:p w14:paraId="63F9324A" w14:textId="4A0E82AB"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sz w:val="18"/>
                <w:szCs w:val="18"/>
              </w:rPr>
              <w:t>66/460</w:t>
            </w:r>
          </w:p>
        </w:tc>
        <w:tc>
          <w:tcPr>
            <w:tcW w:w="1418" w:type="dxa"/>
            <w:noWrap/>
            <w:vAlign w:val="center"/>
          </w:tcPr>
          <w:p w14:paraId="6A0B38EA" w14:textId="1BFE7BB5" w:rsidR="00F72FB3" w:rsidRPr="004B723C" w:rsidDel="0055418E" w:rsidRDefault="00D45F56"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1134" w:type="dxa"/>
            <w:noWrap/>
            <w:vAlign w:val="center"/>
          </w:tcPr>
          <w:p w14:paraId="4B9368C3" w14:textId="0CDC9950" w:rsidR="00F72FB3" w:rsidRPr="004B723C" w:rsidDel="0055418E" w:rsidRDefault="00D45F56"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1134" w:type="dxa"/>
            <w:noWrap/>
            <w:vAlign w:val="center"/>
          </w:tcPr>
          <w:p w14:paraId="7126CF10" w14:textId="664EB0B1"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346/2,131</w:t>
            </w:r>
          </w:p>
        </w:tc>
        <w:tc>
          <w:tcPr>
            <w:tcW w:w="1134" w:type="dxa"/>
            <w:noWrap/>
            <w:vAlign w:val="center"/>
          </w:tcPr>
          <w:p w14:paraId="78E28AED" w14:textId="28675C21"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66/460</w:t>
            </w:r>
          </w:p>
        </w:tc>
        <w:tc>
          <w:tcPr>
            <w:tcW w:w="1417" w:type="dxa"/>
            <w:noWrap/>
            <w:vAlign w:val="center"/>
          </w:tcPr>
          <w:p w14:paraId="25F89884" w14:textId="05F23B47" w:rsidR="00F72FB3" w:rsidRPr="004B723C" w:rsidDel="0055418E" w:rsidRDefault="00D45F56"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Ref.</w:t>
            </w:r>
          </w:p>
        </w:tc>
        <w:tc>
          <w:tcPr>
            <w:tcW w:w="1520" w:type="dxa"/>
            <w:noWrap/>
            <w:vAlign w:val="center"/>
          </w:tcPr>
          <w:p w14:paraId="4CFFC184" w14:textId="38D8C286" w:rsidR="00F72FB3" w:rsidRPr="004B723C" w:rsidDel="0055418E" w:rsidRDefault="00D45F56"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Ref.</w:t>
            </w:r>
          </w:p>
        </w:tc>
      </w:tr>
      <w:tr w:rsidR="00AE37FE" w:rsidRPr="004B723C" w14:paraId="1BCBB500" w14:textId="77777777" w:rsidTr="00AE37FE">
        <w:trPr>
          <w:trHeight w:val="300"/>
          <w:jc w:val="center"/>
        </w:trPr>
        <w:tc>
          <w:tcPr>
            <w:cnfStyle w:val="001000000000" w:firstRow="0" w:lastRow="0" w:firstColumn="1" w:lastColumn="0" w:oddVBand="0" w:evenVBand="0" w:oddHBand="0" w:evenHBand="0" w:firstRowFirstColumn="0" w:firstRowLastColumn="0" w:lastRowFirstColumn="0" w:lastRowLastColumn="0"/>
            <w:tcW w:w="2542" w:type="dxa"/>
            <w:noWrap/>
            <w:vAlign w:val="center"/>
          </w:tcPr>
          <w:p w14:paraId="6F7773C6" w14:textId="77777777" w:rsidR="00F72FB3" w:rsidRPr="004B723C" w:rsidRDefault="00F72FB3" w:rsidP="00AE37FE">
            <w:pPr>
              <w:spacing w:line="276" w:lineRule="auto"/>
              <w:rPr>
                <w:rFonts w:eastAsia="Times New Roman" w:cs="Times New Roman"/>
                <w:color w:val="000000"/>
                <w:sz w:val="18"/>
                <w:szCs w:val="18"/>
                <w:lang w:eastAsia="en-GB"/>
              </w:rPr>
            </w:pPr>
          </w:p>
        </w:tc>
        <w:tc>
          <w:tcPr>
            <w:tcW w:w="1417" w:type="dxa"/>
            <w:noWrap/>
            <w:vAlign w:val="center"/>
          </w:tcPr>
          <w:p w14:paraId="54A163FF" w14:textId="4F211003"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Leuven</w:t>
            </w:r>
          </w:p>
        </w:tc>
        <w:tc>
          <w:tcPr>
            <w:tcW w:w="1276" w:type="dxa"/>
            <w:noWrap/>
            <w:vAlign w:val="center"/>
          </w:tcPr>
          <w:p w14:paraId="4E860B39" w14:textId="6EAB5D34"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992" w:type="dxa"/>
            <w:noWrap/>
            <w:vAlign w:val="center"/>
          </w:tcPr>
          <w:p w14:paraId="07695E88" w14:textId="29B7BF93"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sz w:val="18"/>
                <w:szCs w:val="18"/>
              </w:rPr>
              <w:t>297/1,805</w:t>
            </w:r>
          </w:p>
        </w:tc>
        <w:tc>
          <w:tcPr>
            <w:tcW w:w="1418" w:type="dxa"/>
            <w:noWrap/>
            <w:vAlign w:val="center"/>
          </w:tcPr>
          <w:p w14:paraId="705C2C32" w14:textId="579237BB" w:rsidR="00F72FB3" w:rsidRPr="004B723C" w:rsidDel="0055418E"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0.93 (0.71–1.22)</w:t>
            </w:r>
          </w:p>
        </w:tc>
        <w:tc>
          <w:tcPr>
            <w:tcW w:w="1134" w:type="dxa"/>
            <w:noWrap/>
            <w:vAlign w:val="center"/>
          </w:tcPr>
          <w:p w14:paraId="1B185B20" w14:textId="49F87BC0" w:rsidR="00F72FB3" w:rsidRPr="004B723C" w:rsidDel="0055418E"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0.62</w:t>
            </w:r>
          </w:p>
        </w:tc>
        <w:tc>
          <w:tcPr>
            <w:tcW w:w="1134" w:type="dxa"/>
            <w:noWrap/>
            <w:vAlign w:val="center"/>
          </w:tcPr>
          <w:p w14:paraId="106C8FE7" w14:textId="3F237B84"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134" w:type="dxa"/>
            <w:noWrap/>
            <w:vAlign w:val="center"/>
          </w:tcPr>
          <w:p w14:paraId="2FD94A04" w14:textId="20462805"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280/1,671</w:t>
            </w:r>
          </w:p>
        </w:tc>
        <w:tc>
          <w:tcPr>
            <w:tcW w:w="1417" w:type="dxa"/>
            <w:noWrap/>
            <w:vAlign w:val="center"/>
          </w:tcPr>
          <w:p w14:paraId="3DF93EAA" w14:textId="58F20A5D" w:rsidR="00F72FB3" w:rsidRPr="004B723C" w:rsidDel="0055418E"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0.90 (0.63–1.29)</w:t>
            </w:r>
          </w:p>
        </w:tc>
        <w:tc>
          <w:tcPr>
            <w:tcW w:w="1520" w:type="dxa"/>
            <w:noWrap/>
            <w:vAlign w:val="center"/>
          </w:tcPr>
          <w:p w14:paraId="1DE5D6FA" w14:textId="376D3A0A" w:rsidR="00F72FB3" w:rsidRPr="004B723C" w:rsidDel="0055418E"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0.57</w:t>
            </w:r>
          </w:p>
        </w:tc>
      </w:tr>
      <w:tr w:rsidR="00AE37FE" w:rsidRPr="004B723C" w14:paraId="2A285787" w14:textId="77777777" w:rsidTr="00AE37FE">
        <w:trPr>
          <w:trHeight w:val="300"/>
          <w:jc w:val="center"/>
        </w:trPr>
        <w:tc>
          <w:tcPr>
            <w:cnfStyle w:val="001000000000" w:firstRow="0" w:lastRow="0" w:firstColumn="1" w:lastColumn="0" w:oddVBand="0" w:evenVBand="0" w:oddHBand="0" w:evenHBand="0" w:firstRowFirstColumn="0" w:firstRowLastColumn="0" w:lastRowFirstColumn="0" w:lastRowLastColumn="0"/>
            <w:tcW w:w="2542" w:type="dxa"/>
            <w:noWrap/>
            <w:vAlign w:val="center"/>
          </w:tcPr>
          <w:p w14:paraId="19588628" w14:textId="4F4658E2" w:rsidR="00F72FB3" w:rsidRPr="004B723C" w:rsidRDefault="00F72FB3" w:rsidP="00AE37FE">
            <w:pPr>
              <w:spacing w:line="276" w:lineRule="auto"/>
              <w:rPr>
                <w:rFonts w:eastAsia="Times New Roman" w:cs="Times New Roman"/>
                <w:color w:val="000000"/>
                <w:sz w:val="18"/>
                <w:szCs w:val="18"/>
                <w:lang w:eastAsia="en-GB"/>
              </w:rPr>
            </w:pPr>
            <w:r w:rsidRPr="004B723C">
              <w:rPr>
                <w:rFonts w:eastAsia="Times New Roman" w:cs="Times New Roman"/>
                <w:color w:val="000000"/>
                <w:sz w:val="18"/>
                <w:szCs w:val="18"/>
                <w:lang w:eastAsia="en-GB"/>
              </w:rPr>
              <w:t xml:space="preserve">Cold </w:t>
            </w:r>
            <w:r w:rsidR="00492FBC" w:rsidRPr="004B723C">
              <w:rPr>
                <w:rFonts w:eastAsia="Times New Roman" w:cs="Times New Roman"/>
                <w:color w:val="000000"/>
                <w:sz w:val="18"/>
                <w:szCs w:val="18"/>
                <w:lang w:eastAsia="en-GB"/>
              </w:rPr>
              <w:t>ischemia</w:t>
            </w:r>
            <w:r w:rsidRPr="004B723C">
              <w:rPr>
                <w:rFonts w:eastAsia="Times New Roman" w:cs="Times New Roman"/>
                <w:color w:val="000000"/>
                <w:sz w:val="18"/>
                <w:szCs w:val="18"/>
                <w:lang w:eastAsia="en-GB"/>
              </w:rPr>
              <w:t xml:space="preserve"> time (per 5 hours)</w:t>
            </w:r>
          </w:p>
        </w:tc>
        <w:tc>
          <w:tcPr>
            <w:tcW w:w="1417" w:type="dxa"/>
            <w:noWrap/>
            <w:vAlign w:val="center"/>
          </w:tcPr>
          <w:p w14:paraId="741F738F" w14:textId="58DC6E76"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w:t>
            </w:r>
          </w:p>
        </w:tc>
        <w:tc>
          <w:tcPr>
            <w:tcW w:w="1276" w:type="dxa"/>
            <w:noWrap/>
            <w:vAlign w:val="center"/>
          </w:tcPr>
          <w:p w14:paraId="75A13CA4" w14:textId="41D98774"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sz w:val="18"/>
                <w:szCs w:val="18"/>
              </w:rPr>
              <w:t>362/2,264</w:t>
            </w:r>
          </w:p>
        </w:tc>
        <w:tc>
          <w:tcPr>
            <w:tcW w:w="992" w:type="dxa"/>
            <w:noWrap/>
            <w:vAlign w:val="center"/>
          </w:tcPr>
          <w:p w14:paraId="45A05DFB" w14:textId="4E4A68A2"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w:t>
            </w:r>
          </w:p>
        </w:tc>
        <w:tc>
          <w:tcPr>
            <w:tcW w:w="1418" w:type="dxa"/>
            <w:noWrap/>
            <w:vAlign w:val="center"/>
          </w:tcPr>
          <w:p w14:paraId="34425082" w14:textId="1F70F154" w:rsidR="00F72FB3" w:rsidRPr="004B723C" w:rsidDel="0055418E"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1.12 (1.03–1.22)</w:t>
            </w:r>
          </w:p>
        </w:tc>
        <w:tc>
          <w:tcPr>
            <w:tcW w:w="1134" w:type="dxa"/>
            <w:noWrap/>
            <w:vAlign w:val="center"/>
          </w:tcPr>
          <w:p w14:paraId="6F175B66" w14:textId="5CB04453" w:rsidR="00F72FB3" w:rsidRPr="004B723C" w:rsidDel="0055418E"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0.0087</w:t>
            </w:r>
          </w:p>
        </w:tc>
        <w:tc>
          <w:tcPr>
            <w:tcW w:w="1134" w:type="dxa"/>
            <w:noWrap/>
            <w:vAlign w:val="center"/>
          </w:tcPr>
          <w:p w14:paraId="6E1A3F87" w14:textId="11B65466"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346/2,131</w:t>
            </w:r>
          </w:p>
        </w:tc>
        <w:tc>
          <w:tcPr>
            <w:tcW w:w="1134" w:type="dxa"/>
            <w:noWrap/>
            <w:vAlign w:val="center"/>
          </w:tcPr>
          <w:p w14:paraId="00041868" w14:textId="3E7A0CFA"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w:t>
            </w:r>
          </w:p>
        </w:tc>
        <w:tc>
          <w:tcPr>
            <w:tcW w:w="1417" w:type="dxa"/>
            <w:noWrap/>
            <w:vAlign w:val="center"/>
          </w:tcPr>
          <w:p w14:paraId="3828F2B9" w14:textId="58848600" w:rsidR="00F72FB3" w:rsidRPr="004B723C" w:rsidDel="0055418E"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1.13 (1.00–1.27)</w:t>
            </w:r>
          </w:p>
        </w:tc>
        <w:tc>
          <w:tcPr>
            <w:tcW w:w="1520" w:type="dxa"/>
            <w:noWrap/>
            <w:vAlign w:val="center"/>
          </w:tcPr>
          <w:p w14:paraId="15F46BBE" w14:textId="7458633A" w:rsidR="00F72FB3" w:rsidRPr="004B723C" w:rsidDel="0055418E"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0.048</w:t>
            </w:r>
          </w:p>
        </w:tc>
      </w:tr>
      <w:tr w:rsidR="00AE37FE" w:rsidRPr="004B723C" w14:paraId="3FAE5990" w14:textId="77777777" w:rsidTr="00AE37FE">
        <w:trPr>
          <w:trHeight w:val="300"/>
          <w:jc w:val="center"/>
        </w:trPr>
        <w:tc>
          <w:tcPr>
            <w:cnfStyle w:val="001000000000" w:firstRow="0" w:lastRow="0" w:firstColumn="1" w:lastColumn="0" w:oddVBand="0" w:evenVBand="0" w:oddHBand="0" w:evenHBand="0" w:firstRowFirstColumn="0" w:firstRowLastColumn="0" w:lastRowFirstColumn="0" w:lastRowLastColumn="0"/>
            <w:tcW w:w="2542" w:type="dxa"/>
            <w:noWrap/>
            <w:vAlign w:val="center"/>
          </w:tcPr>
          <w:p w14:paraId="06614475" w14:textId="1B8679EA" w:rsidR="00F72FB3" w:rsidRPr="004B723C" w:rsidRDefault="00F72FB3" w:rsidP="00AE37FE">
            <w:pPr>
              <w:spacing w:line="276" w:lineRule="auto"/>
              <w:rPr>
                <w:rFonts w:eastAsia="Times New Roman" w:cs="Times New Roman"/>
                <w:color w:val="000000"/>
                <w:sz w:val="18"/>
                <w:szCs w:val="18"/>
                <w:lang w:eastAsia="en-GB"/>
              </w:rPr>
            </w:pPr>
            <w:r w:rsidRPr="004B723C">
              <w:rPr>
                <w:rFonts w:eastAsia="Times New Roman" w:cs="Times New Roman"/>
                <w:color w:val="000000"/>
                <w:sz w:val="18"/>
                <w:szCs w:val="18"/>
                <w:lang w:eastAsia="en-GB"/>
              </w:rPr>
              <w:t>Donor age (per 10 years)</w:t>
            </w:r>
          </w:p>
        </w:tc>
        <w:tc>
          <w:tcPr>
            <w:tcW w:w="1417" w:type="dxa"/>
            <w:noWrap/>
            <w:vAlign w:val="center"/>
          </w:tcPr>
          <w:p w14:paraId="5C8BFD51" w14:textId="10FFBFB5"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w:t>
            </w:r>
          </w:p>
        </w:tc>
        <w:tc>
          <w:tcPr>
            <w:tcW w:w="1276" w:type="dxa"/>
            <w:noWrap/>
            <w:vAlign w:val="center"/>
          </w:tcPr>
          <w:p w14:paraId="0181EAD7" w14:textId="5883651D"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sz w:val="18"/>
                <w:szCs w:val="18"/>
              </w:rPr>
              <w:t>363/2,265</w:t>
            </w:r>
          </w:p>
        </w:tc>
        <w:tc>
          <w:tcPr>
            <w:tcW w:w="992" w:type="dxa"/>
            <w:noWrap/>
            <w:vAlign w:val="center"/>
          </w:tcPr>
          <w:p w14:paraId="701AE87C" w14:textId="179CE552"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w:t>
            </w:r>
          </w:p>
        </w:tc>
        <w:tc>
          <w:tcPr>
            <w:tcW w:w="1418" w:type="dxa"/>
            <w:noWrap/>
            <w:vAlign w:val="center"/>
          </w:tcPr>
          <w:p w14:paraId="5355C798" w14:textId="4AE6E8AD" w:rsidR="00F72FB3" w:rsidRPr="004B723C" w:rsidDel="0055418E"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1.13 (1.05–1.22)</w:t>
            </w:r>
          </w:p>
        </w:tc>
        <w:tc>
          <w:tcPr>
            <w:tcW w:w="1134" w:type="dxa"/>
            <w:noWrap/>
            <w:vAlign w:val="center"/>
          </w:tcPr>
          <w:p w14:paraId="1CD702D7" w14:textId="512E3D77" w:rsidR="00F72FB3" w:rsidRPr="004B723C" w:rsidDel="0055418E" w:rsidRDefault="00D53FD9"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9.08 × 10</w:t>
            </w:r>
            <w:r w:rsidRPr="004B723C">
              <w:rPr>
                <w:rFonts w:cs="Times New Roman"/>
                <w:color w:val="000000"/>
                <w:sz w:val="18"/>
                <w:szCs w:val="18"/>
                <w:vertAlign w:val="superscript"/>
              </w:rPr>
              <w:t>-4</w:t>
            </w:r>
          </w:p>
        </w:tc>
        <w:tc>
          <w:tcPr>
            <w:tcW w:w="1134" w:type="dxa"/>
            <w:noWrap/>
            <w:vAlign w:val="center"/>
          </w:tcPr>
          <w:p w14:paraId="7F94A5CD" w14:textId="1AD0912B"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346/2,131</w:t>
            </w:r>
          </w:p>
        </w:tc>
        <w:tc>
          <w:tcPr>
            <w:tcW w:w="1134" w:type="dxa"/>
            <w:noWrap/>
            <w:vAlign w:val="center"/>
          </w:tcPr>
          <w:p w14:paraId="04A9B66B" w14:textId="6B509F65"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w:t>
            </w:r>
          </w:p>
        </w:tc>
        <w:tc>
          <w:tcPr>
            <w:tcW w:w="1417" w:type="dxa"/>
            <w:noWrap/>
            <w:vAlign w:val="center"/>
          </w:tcPr>
          <w:p w14:paraId="7DC7CD9B" w14:textId="6F1588BC" w:rsidR="00F72FB3" w:rsidRPr="004B723C" w:rsidDel="0055418E"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1.17 (1.08–1.27)</w:t>
            </w:r>
          </w:p>
        </w:tc>
        <w:tc>
          <w:tcPr>
            <w:tcW w:w="1520" w:type="dxa"/>
            <w:noWrap/>
            <w:vAlign w:val="center"/>
          </w:tcPr>
          <w:p w14:paraId="7527AFFD" w14:textId="75F8CD47" w:rsidR="00F72FB3" w:rsidRPr="004B723C" w:rsidDel="0055418E" w:rsidRDefault="00D53FD9"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1.08 × 10</w:t>
            </w:r>
            <w:r w:rsidRPr="004B723C">
              <w:rPr>
                <w:rFonts w:cs="Times New Roman"/>
                <w:color w:val="000000"/>
                <w:sz w:val="18"/>
                <w:szCs w:val="18"/>
                <w:vertAlign w:val="superscript"/>
              </w:rPr>
              <w:t>-4</w:t>
            </w:r>
          </w:p>
        </w:tc>
      </w:tr>
      <w:tr w:rsidR="00AE37FE" w:rsidRPr="004B723C" w14:paraId="20284888" w14:textId="77777777" w:rsidTr="00AE37FE">
        <w:trPr>
          <w:trHeight w:val="300"/>
          <w:jc w:val="center"/>
        </w:trPr>
        <w:tc>
          <w:tcPr>
            <w:cnfStyle w:val="001000000000" w:firstRow="0" w:lastRow="0" w:firstColumn="1" w:lastColumn="0" w:oddVBand="0" w:evenVBand="0" w:oddHBand="0" w:evenHBand="0" w:firstRowFirstColumn="0" w:firstRowLastColumn="0" w:lastRowFirstColumn="0" w:lastRowLastColumn="0"/>
            <w:tcW w:w="2542" w:type="dxa"/>
            <w:noWrap/>
            <w:vAlign w:val="center"/>
          </w:tcPr>
          <w:p w14:paraId="4F83D2AB" w14:textId="3E6A30FC" w:rsidR="00F72FB3" w:rsidRPr="004B723C" w:rsidRDefault="00F72FB3" w:rsidP="00AE37FE">
            <w:pPr>
              <w:spacing w:line="276" w:lineRule="auto"/>
              <w:rPr>
                <w:rFonts w:eastAsia="Times New Roman" w:cs="Times New Roman"/>
                <w:color w:val="000000"/>
                <w:sz w:val="18"/>
                <w:szCs w:val="18"/>
                <w:lang w:eastAsia="en-GB"/>
              </w:rPr>
            </w:pPr>
            <w:r w:rsidRPr="004B723C">
              <w:rPr>
                <w:rFonts w:eastAsia="Times New Roman" w:cs="Times New Roman"/>
                <w:color w:val="000000"/>
                <w:sz w:val="18"/>
                <w:szCs w:val="18"/>
                <w:lang w:eastAsia="en-GB"/>
              </w:rPr>
              <w:t>Donor type</w:t>
            </w:r>
          </w:p>
        </w:tc>
        <w:tc>
          <w:tcPr>
            <w:tcW w:w="1417" w:type="dxa"/>
            <w:noWrap/>
            <w:vAlign w:val="center"/>
          </w:tcPr>
          <w:p w14:paraId="0F35CF6D" w14:textId="0AE61029"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Living</w:t>
            </w:r>
          </w:p>
        </w:tc>
        <w:tc>
          <w:tcPr>
            <w:tcW w:w="1276" w:type="dxa"/>
            <w:noWrap/>
            <w:vAlign w:val="center"/>
          </w:tcPr>
          <w:p w14:paraId="1E635241" w14:textId="43CAF774"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sz w:val="18"/>
                <w:szCs w:val="18"/>
              </w:rPr>
              <w:t>363/2,265</w:t>
            </w:r>
          </w:p>
        </w:tc>
        <w:tc>
          <w:tcPr>
            <w:tcW w:w="992" w:type="dxa"/>
            <w:noWrap/>
            <w:vAlign w:val="center"/>
          </w:tcPr>
          <w:p w14:paraId="6357504B" w14:textId="7075EA60"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44/334</w:t>
            </w:r>
          </w:p>
        </w:tc>
        <w:tc>
          <w:tcPr>
            <w:tcW w:w="1418" w:type="dxa"/>
            <w:noWrap/>
            <w:vAlign w:val="center"/>
          </w:tcPr>
          <w:p w14:paraId="27B02E6E" w14:textId="64E80ED5" w:rsidR="00F72FB3" w:rsidRPr="004B723C" w:rsidDel="0055418E" w:rsidRDefault="00D45F56"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1134" w:type="dxa"/>
            <w:noWrap/>
            <w:vAlign w:val="center"/>
          </w:tcPr>
          <w:p w14:paraId="2CF1FBFE" w14:textId="358DECE7" w:rsidR="00F72FB3" w:rsidRPr="004B723C" w:rsidDel="0055418E" w:rsidRDefault="00D45F56"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1134" w:type="dxa"/>
            <w:noWrap/>
            <w:vAlign w:val="center"/>
          </w:tcPr>
          <w:p w14:paraId="5A5D046E" w14:textId="4E5DD65E"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346/2,131</w:t>
            </w:r>
          </w:p>
        </w:tc>
        <w:tc>
          <w:tcPr>
            <w:tcW w:w="1134" w:type="dxa"/>
            <w:noWrap/>
            <w:vAlign w:val="center"/>
          </w:tcPr>
          <w:p w14:paraId="3D7FE2E7" w14:textId="0EFFD7F6"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39/291</w:t>
            </w:r>
          </w:p>
        </w:tc>
        <w:tc>
          <w:tcPr>
            <w:tcW w:w="1417" w:type="dxa"/>
            <w:noWrap/>
            <w:vAlign w:val="center"/>
          </w:tcPr>
          <w:p w14:paraId="6E3083D1" w14:textId="20C6267F" w:rsidR="00F72FB3" w:rsidRPr="004B723C" w:rsidDel="0055418E" w:rsidRDefault="00D45F56"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Ref.</w:t>
            </w:r>
          </w:p>
        </w:tc>
        <w:tc>
          <w:tcPr>
            <w:tcW w:w="1520" w:type="dxa"/>
            <w:noWrap/>
            <w:vAlign w:val="center"/>
          </w:tcPr>
          <w:p w14:paraId="563DE934" w14:textId="6CBFA209" w:rsidR="00F72FB3" w:rsidRPr="004B723C" w:rsidDel="0055418E" w:rsidRDefault="00D45F56"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Ref.</w:t>
            </w:r>
          </w:p>
        </w:tc>
      </w:tr>
      <w:tr w:rsidR="00AE37FE" w:rsidRPr="004B723C" w14:paraId="68795012" w14:textId="77777777" w:rsidTr="00AE37FE">
        <w:trPr>
          <w:trHeight w:val="300"/>
          <w:jc w:val="center"/>
        </w:trPr>
        <w:tc>
          <w:tcPr>
            <w:cnfStyle w:val="001000000000" w:firstRow="0" w:lastRow="0" w:firstColumn="1" w:lastColumn="0" w:oddVBand="0" w:evenVBand="0" w:oddHBand="0" w:evenHBand="0" w:firstRowFirstColumn="0" w:firstRowLastColumn="0" w:lastRowFirstColumn="0" w:lastRowLastColumn="0"/>
            <w:tcW w:w="2542" w:type="dxa"/>
            <w:noWrap/>
            <w:vAlign w:val="center"/>
          </w:tcPr>
          <w:p w14:paraId="115FD411" w14:textId="77777777" w:rsidR="00F72FB3" w:rsidRPr="004B723C" w:rsidRDefault="00F72FB3" w:rsidP="00AE37FE">
            <w:pPr>
              <w:spacing w:line="276" w:lineRule="auto"/>
              <w:rPr>
                <w:rFonts w:eastAsia="Times New Roman" w:cs="Times New Roman"/>
                <w:color w:val="000000"/>
                <w:sz w:val="18"/>
                <w:szCs w:val="18"/>
                <w:lang w:eastAsia="en-GB"/>
              </w:rPr>
            </w:pPr>
          </w:p>
        </w:tc>
        <w:tc>
          <w:tcPr>
            <w:tcW w:w="1417" w:type="dxa"/>
            <w:noWrap/>
            <w:vAlign w:val="center"/>
          </w:tcPr>
          <w:p w14:paraId="2457441A" w14:textId="3706BBDA"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DBD</w:t>
            </w:r>
          </w:p>
        </w:tc>
        <w:tc>
          <w:tcPr>
            <w:tcW w:w="1276" w:type="dxa"/>
            <w:noWrap/>
            <w:vAlign w:val="center"/>
          </w:tcPr>
          <w:p w14:paraId="42DC6E90" w14:textId="0EB8338D"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992" w:type="dxa"/>
            <w:noWrap/>
            <w:vAlign w:val="center"/>
          </w:tcPr>
          <w:p w14:paraId="1D8A7157" w14:textId="74A6E676"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260/1,508</w:t>
            </w:r>
          </w:p>
        </w:tc>
        <w:tc>
          <w:tcPr>
            <w:tcW w:w="1418" w:type="dxa"/>
            <w:noWrap/>
            <w:vAlign w:val="center"/>
          </w:tcPr>
          <w:p w14:paraId="632AE714" w14:textId="18387E81" w:rsidR="00F72FB3" w:rsidRPr="004B723C" w:rsidDel="0055418E"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1.21 (0.88–1.67)</w:t>
            </w:r>
          </w:p>
        </w:tc>
        <w:tc>
          <w:tcPr>
            <w:tcW w:w="1134" w:type="dxa"/>
            <w:noWrap/>
            <w:vAlign w:val="center"/>
          </w:tcPr>
          <w:p w14:paraId="7FEFC740" w14:textId="79A2D0C4" w:rsidR="00F72FB3" w:rsidRPr="004B723C" w:rsidDel="0055418E"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0.24</w:t>
            </w:r>
          </w:p>
        </w:tc>
        <w:tc>
          <w:tcPr>
            <w:tcW w:w="1134" w:type="dxa"/>
            <w:noWrap/>
            <w:vAlign w:val="center"/>
          </w:tcPr>
          <w:p w14:paraId="2CBBCC0D" w14:textId="4B9E5A80"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134" w:type="dxa"/>
            <w:noWrap/>
            <w:vAlign w:val="center"/>
          </w:tcPr>
          <w:p w14:paraId="3B8FD47B" w14:textId="080CABFF"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250/1,434</w:t>
            </w:r>
          </w:p>
        </w:tc>
        <w:tc>
          <w:tcPr>
            <w:tcW w:w="1417" w:type="dxa"/>
            <w:noWrap/>
            <w:vAlign w:val="center"/>
          </w:tcPr>
          <w:p w14:paraId="17D750A5" w14:textId="2ABBE686" w:rsidR="00F72FB3" w:rsidRPr="004B723C" w:rsidDel="0055418E"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0.88 (0.55–1.41)</w:t>
            </w:r>
          </w:p>
        </w:tc>
        <w:tc>
          <w:tcPr>
            <w:tcW w:w="1520" w:type="dxa"/>
            <w:noWrap/>
            <w:vAlign w:val="center"/>
          </w:tcPr>
          <w:p w14:paraId="3A3D9B3D" w14:textId="05CE66BD" w:rsidR="00F72FB3" w:rsidRPr="004B723C" w:rsidDel="0055418E"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0.6</w:t>
            </w:r>
          </w:p>
        </w:tc>
      </w:tr>
      <w:tr w:rsidR="00AE37FE" w:rsidRPr="004B723C" w14:paraId="7E63C651" w14:textId="77777777" w:rsidTr="00AE37FE">
        <w:trPr>
          <w:trHeight w:val="300"/>
          <w:jc w:val="center"/>
        </w:trPr>
        <w:tc>
          <w:tcPr>
            <w:cnfStyle w:val="001000000000" w:firstRow="0" w:lastRow="0" w:firstColumn="1" w:lastColumn="0" w:oddVBand="0" w:evenVBand="0" w:oddHBand="0" w:evenHBand="0" w:firstRowFirstColumn="0" w:firstRowLastColumn="0" w:lastRowFirstColumn="0" w:lastRowLastColumn="0"/>
            <w:tcW w:w="2542" w:type="dxa"/>
            <w:noWrap/>
            <w:vAlign w:val="center"/>
          </w:tcPr>
          <w:p w14:paraId="484AC2F8" w14:textId="77777777" w:rsidR="00F72FB3" w:rsidRPr="004B723C" w:rsidRDefault="00F72FB3" w:rsidP="00AE37FE">
            <w:pPr>
              <w:spacing w:line="276" w:lineRule="auto"/>
              <w:rPr>
                <w:rFonts w:eastAsia="Times New Roman" w:cs="Times New Roman"/>
                <w:color w:val="000000"/>
                <w:sz w:val="18"/>
                <w:szCs w:val="18"/>
                <w:lang w:eastAsia="en-GB"/>
              </w:rPr>
            </w:pPr>
          </w:p>
        </w:tc>
        <w:tc>
          <w:tcPr>
            <w:tcW w:w="1417" w:type="dxa"/>
            <w:noWrap/>
            <w:vAlign w:val="center"/>
          </w:tcPr>
          <w:p w14:paraId="77268FEA" w14:textId="18617490"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DCD</w:t>
            </w:r>
          </w:p>
        </w:tc>
        <w:tc>
          <w:tcPr>
            <w:tcW w:w="1276" w:type="dxa"/>
            <w:noWrap/>
            <w:vAlign w:val="center"/>
          </w:tcPr>
          <w:p w14:paraId="1D6BEC76" w14:textId="1502B5C5"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992" w:type="dxa"/>
            <w:noWrap/>
            <w:vAlign w:val="center"/>
          </w:tcPr>
          <w:p w14:paraId="505B266F" w14:textId="6A97BDD6"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59/423</w:t>
            </w:r>
          </w:p>
        </w:tc>
        <w:tc>
          <w:tcPr>
            <w:tcW w:w="1418" w:type="dxa"/>
            <w:noWrap/>
            <w:vAlign w:val="center"/>
          </w:tcPr>
          <w:p w14:paraId="53DE59AC" w14:textId="4A59CE6A" w:rsidR="00F72FB3" w:rsidRPr="004B723C" w:rsidDel="0055418E"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0.99 (0.67–1.46)</w:t>
            </w:r>
          </w:p>
        </w:tc>
        <w:tc>
          <w:tcPr>
            <w:tcW w:w="1134" w:type="dxa"/>
            <w:noWrap/>
            <w:vAlign w:val="center"/>
          </w:tcPr>
          <w:p w14:paraId="1423042A" w14:textId="762FF76B" w:rsidR="00F72FB3" w:rsidRPr="004B723C" w:rsidDel="0055418E"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0.96</w:t>
            </w:r>
          </w:p>
        </w:tc>
        <w:tc>
          <w:tcPr>
            <w:tcW w:w="1134" w:type="dxa"/>
            <w:noWrap/>
            <w:vAlign w:val="center"/>
          </w:tcPr>
          <w:p w14:paraId="1E636938" w14:textId="2404152B"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134" w:type="dxa"/>
            <w:noWrap/>
            <w:vAlign w:val="center"/>
          </w:tcPr>
          <w:p w14:paraId="66C85864" w14:textId="692F0EE1"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57/406</w:t>
            </w:r>
          </w:p>
        </w:tc>
        <w:tc>
          <w:tcPr>
            <w:tcW w:w="1417" w:type="dxa"/>
            <w:noWrap/>
            <w:vAlign w:val="center"/>
          </w:tcPr>
          <w:p w14:paraId="2EF3E65F" w14:textId="05875CFA" w:rsidR="00F72FB3" w:rsidRPr="004B723C" w:rsidDel="0055418E"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0.87 (0.52–1.45)</w:t>
            </w:r>
          </w:p>
        </w:tc>
        <w:tc>
          <w:tcPr>
            <w:tcW w:w="1520" w:type="dxa"/>
            <w:noWrap/>
            <w:vAlign w:val="center"/>
          </w:tcPr>
          <w:p w14:paraId="5DD98F85" w14:textId="5A4810C3" w:rsidR="00F72FB3" w:rsidRPr="004B723C" w:rsidDel="0055418E"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0.59</w:t>
            </w:r>
          </w:p>
        </w:tc>
      </w:tr>
      <w:tr w:rsidR="00AE37FE" w:rsidRPr="004B723C" w14:paraId="73FEBA9F" w14:textId="77777777" w:rsidTr="00AE37FE">
        <w:trPr>
          <w:trHeight w:val="300"/>
          <w:jc w:val="center"/>
        </w:trPr>
        <w:tc>
          <w:tcPr>
            <w:cnfStyle w:val="001000000000" w:firstRow="0" w:lastRow="0" w:firstColumn="1" w:lastColumn="0" w:oddVBand="0" w:evenVBand="0" w:oddHBand="0" w:evenHBand="0" w:firstRowFirstColumn="0" w:firstRowLastColumn="0" w:lastRowFirstColumn="0" w:lastRowLastColumn="0"/>
            <w:tcW w:w="2542" w:type="dxa"/>
            <w:noWrap/>
            <w:vAlign w:val="center"/>
            <w:hideMark/>
          </w:tcPr>
          <w:p w14:paraId="44B97139" w14:textId="77777777" w:rsidR="00F72FB3" w:rsidRPr="004B723C" w:rsidRDefault="00F72FB3" w:rsidP="00AE37FE">
            <w:pPr>
              <w:spacing w:line="276" w:lineRule="auto"/>
              <w:rPr>
                <w:rFonts w:eastAsia="Times New Roman" w:cs="Times New Roman"/>
                <w:color w:val="000000"/>
                <w:sz w:val="18"/>
                <w:szCs w:val="18"/>
                <w:lang w:eastAsia="en-GB"/>
              </w:rPr>
            </w:pPr>
            <w:r w:rsidRPr="004B723C">
              <w:rPr>
                <w:rFonts w:eastAsia="Times New Roman" w:cs="Times New Roman"/>
                <w:color w:val="000000"/>
                <w:sz w:val="18"/>
                <w:szCs w:val="18"/>
                <w:lang w:eastAsia="en-GB"/>
              </w:rPr>
              <w:t>Donor–recipient CMV serostatus</w:t>
            </w:r>
          </w:p>
        </w:tc>
        <w:tc>
          <w:tcPr>
            <w:tcW w:w="1417" w:type="dxa"/>
            <w:noWrap/>
            <w:vAlign w:val="center"/>
            <w:hideMark/>
          </w:tcPr>
          <w:p w14:paraId="19396FC0" w14:textId="77777777"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D−/R−</w:t>
            </w:r>
          </w:p>
        </w:tc>
        <w:tc>
          <w:tcPr>
            <w:tcW w:w="1276" w:type="dxa"/>
            <w:noWrap/>
            <w:vAlign w:val="center"/>
            <w:hideMark/>
          </w:tcPr>
          <w:p w14:paraId="4B80DCA2" w14:textId="57EF1166"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363/2,265</w:t>
            </w:r>
          </w:p>
        </w:tc>
        <w:tc>
          <w:tcPr>
            <w:tcW w:w="992" w:type="dxa"/>
            <w:noWrap/>
            <w:vAlign w:val="center"/>
            <w:hideMark/>
          </w:tcPr>
          <w:p w14:paraId="299D226C" w14:textId="02AEF081"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57/608</w:t>
            </w:r>
          </w:p>
        </w:tc>
        <w:tc>
          <w:tcPr>
            <w:tcW w:w="1418" w:type="dxa"/>
            <w:noWrap/>
            <w:vAlign w:val="center"/>
            <w:hideMark/>
          </w:tcPr>
          <w:p w14:paraId="0C3E4E79" w14:textId="4BACDADA" w:rsidR="00F72FB3" w:rsidRPr="004B723C" w:rsidRDefault="00D45F56"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Ref.</w:t>
            </w:r>
          </w:p>
        </w:tc>
        <w:tc>
          <w:tcPr>
            <w:tcW w:w="1134" w:type="dxa"/>
            <w:noWrap/>
            <w:vAlign w:val="center"/>
            <w:hideMark/>
          </w:tcPr>
          <w:p w14:paraId="4D552523" w14:textId="4154BAEE" w:rsidR="00F72FB3" w:rsidRPr="004B723C" w:rsidRDefault="00D45F56"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Ref.</w:t>
            </w:r>
          </w:p>
        </w:tc>
        <w:tc>
          <w:tcPr>
            <w:tcW w:w="1134" w:type="dxa"/>
            <w:noWrap/>
            <w:vAlign w:val="center"/>
            <w:hideMark/>
          </w:tcPr>
          <w:p w14:paraId="567E9DDC" w14:textId="77777777"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346/2,131</w:t>
            </w:r>
          </w:p>
        </w:tc>
        <w:tc>
          <w:tcPr>
            <w:tcW w:w="1134" w:type="dxa"/>
            <w:noWrap/>
            <w:vAlign w:val="center"/>
            <w:hideMark/>
          </w:tcPr>
          <w:p w14:paraId="527ADB36" w14:textId="6A941F37"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54/563</w:t>
            </w:r>
          </w:p>
        </w:tc>
        <w:tc>
          <w:tcPr>
            <w:tcW w:w="1417" w:type="dxa"/>
            <w:noWrap/>
            <w:vAlign w:val="center"/>
            <w:hideMark/>
          </w:tcPr>
          <w:p w14:paraId="4E387BBC" w14:textId="226E1B3C" w:rsidR="00F72FB3" w:rsidRPr="004B723C" w:rsidRDefault="00D45F56"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Ref.</w:t>
            </w:r>
          </w:p>
        </w:tc>
        <w:tc>
          <w:tcPr>
            <w:tcW w:w="1520" w:type="dxa"/>
            <w:noWrap/>
            <w:vAlign w:val="center"/>
            <w:hideMark/>
          </w:tcPr>
          <w:p w14:paraId="67EFC252" w14:textId="0F0E1839" w:rsidR="00F72FB3" w:rsidRPr="004B723C" w:rsidRDefault="00D45F56"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Ref.</w:t>
            </w:r>
          </w:p>
        </w:tc>
      </w:tr>
      <w:tr w:rsidR="00AE37FE" w:rsidRPr="004B723C" w14:paraId="00F5B90A" w14:textId="77777777" w:rsidTr="00AE37FE">
        <w:trPr>
          <w:trHeight w:val="300"/>
          <w:jc w:val="center"/>
        </w:trPr>
        <w:tc>
          <w:tcPr>
            <w:cnfStyle w:val="001000000000" w:firstRow="0" w:lastRow="0" w:firstColumn="1" w:lastColumn="0" w:oddVBand="0" w:evenVBand="0" w:oddHBand="0" w:evenHBand="0" w:firstRowFirstColumn="0" w:firstRowLastColumn="0" w:lastRowFirstColumn="0" w:lastRowLastColumn="0"/>
            <w:tcW w:w="2542" w:type="dxa"/>
            <w:noWrap/>
            <w:vAlign w:val="center"/>
            <w:hideMark/>
          </w:tcPr>
          <w:p w14:paraId="0E4A691D" w14:textId="77777777" w:rsidR="00F72FB3" w:rsidRPr="004B723C" w:rsidRDefault="00F72FB3" w:rsidP="00AE37FE">
            <w:pPr>
              <w:spacing w:line="276" w:lineRule="auto"/>
              <w:rPr>
                <w:rFonts w:eastAsia="Times New Roman" w:cs="Times New Roman"/>
                <w:color w:val="000000"/>
                <w:sz w:val="18"/>
                <w:szCs w:val="18"/>
                <w:lang w:eastAsia="en-GB"/>
              </w:rPr>
            </w:pPr>
          </w:p>
        </w:tc>
        <w:tc>
          <w:tcPr>
            <w:tcW w:w="1417" w:type="dxa"/>
            <w:noWrap/>
            <w:vAlign w:val="center"/>
            <w:hideMark/>
          </w:tcPr>
          <w:p w14:paraId="57AF410B" w14:textId="77777777"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D+/R+</w:t>
            </w:r>
          </w:p>
        </w:tc>
        <w:tc>
          <w:tcPr>
            <w:tcW w:w="1276" w:type="dxa"/>
            <w:noWrap/>
            <w:vAlign w:val="center"/>
          </w:tcPr>
          <w:p w14:paraId="795F3615" w14:textId="2C4185DD"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992" w:type="dxa"/>
            <w:noWrap/>
            <w:vAlign w:val="center"/>
            <w:hideMark/>
          </w:tcPr>
          <w:p w14:paraId="54AAC3D5" w14:textId="606BF26A"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112/615</w:t>
            </w:r>
          </w:p>
        </w:tc>
        <w:tc>
          <w:tcPr>
            <w:tcW w:w="1418" w:type="dxa"/>
            <w:noWrap/>
            <w:vAlign w:val="center"/>
            <w:hideMark/>
          </w:tcPr>
          <w:p w14:paraId="36279420" w14:textId="28324D0D"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2.12 (1.54–2.91)</w:t>
            </w:r>
          </w:p>
        </w:tc>
        <w:tc>
          <w:tcPr>
            <w:tcW w:w="1134" w:type="dxa"/>
            <w:noWrap/>
            <w:vAlign w:val="center"/>
            <w:hideMark/>
          </w:tcPr>
          <w:p w14:paraId="276A6FFC" w14:textId="3FFE245A" w:rsidR="00F72FB3" w:rsidRPr="004B723C" w:rsidRDefault="00D53FD9"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3.97 × 10</w:t>
            </w:r>
            <w:r w:rsidRPr="004B723C">
              <w:rPr>
                <w:rFonts w:cs="Times New Roman"/>
                <w:color w:val="000000"/>
                <w:sz w:val="18"/>
                <w:szCs w:val="18"/>
                <w:vertAlign w:val="superscript"/>
              </w:rPr>
              <w:t>-6</w:t>
            </w:r>
          </w:p>
        </w:tc>
        <w:tc>
          <w:tcPr>
            <w:tcW w:w="1134" w:type="dxa"/>
            <w:noWrap/>
            <w:vAlign w:val="center"/>
          </w:tcPr>
          <w:p w14:paraId="3956E0A7" w14:textId="13C574BA"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134" w:type="dxa"/>
            <w:noWrap/>
            <w:vAlign w:val="center"/>
            <w:hideMark/>
          </w:tcPr>
          <w:p w14:paraId="54F532CB" w14:textId="191BC9DB"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107/582</w:t>
            </w:r>
          </w:p>
        </w:tc>
        <w:tc>
          <w:tcPr>
            <w:tcW w:w="1417" w:type="dxa"/>
            <w:noWrap/>
            <w:vAlign w:val="center"/>
            <w:hideMark/>
          </w:tcPr>
          <w:p w14:paraId="5DAA8490" w14:textId="045DC14C"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1.85 (1.33–2.58)</w:t>
            </w:r>
          </w:p>
        </w:tc>
        <w:tc>
          <w:tcPr>
            <w:tcW w:w="1520" w:type="dxa"/>
            <w:noWrap/>
            <w:vAlign w:val="center"/>
            <w:hideMark/>
          </w:tcPr>
          <w:p w14:paraId="71AC7AF3" w14:textId="5A4693A4" w:rsidR="00F72FB3" w:rsidRPr="004B723C" w:rsidRDefault="00D53FD9"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2.63 × 10</w:t>
            </w:r>
            <w:r w:rsidRPr="004B723C">
              <w:rPr>
                <w:rFonts w:cs="Times New Roman"/>
                <w:color w:val="000000"/>
                <w:sz w:val="18"/>
                <w:szCs w:val="18"/>
                <w:vertAlign w:val="superscript"/>
              </w:rPr>
              <w:t>-4</w:t>
            </w:r>
          </w:p>
        </w:tc>
      </w:tr>
      <w:tr w:rsidR="00AE37FE" w:rsidRPr="004B723C" w14:paraId="7B663E4F" w14:textId="77777777" w:rsidTr="00AE37FE">
        <w:trPr>
          <w:trHeight w:val="300"/>
          <w:jc w:val="center"/>
        </w:trPr>
        <w:tc>
          <w:tcPr>
            <w:cnfStyle w:val="001000000000" w:firstRow="0" w:lastRow="0" w:firstColumn="1" w:lastColumn="0" w:oddVBand="0" w:evenVBand="0" w:oddHBand="0" w:evenHBand="0" w:firstRowFirstColumn="0" w:firstRowLastColumn="0" w:lastRowFirstColumn="0" w:lastRowLastColumn="0"/>
            <w:tcW w:w="2542" w:type="dxa"/>
            <w:noWrap/>
            <w:vAlign w:val="center"/>
            <w:hideMark/>
          </w:tcPr>
          <w:p w14:paraId="6DC85260" w14:textId="528604CD" w:rsidR="00F72FB3" w:rsidRPr="004B723C" w:rsidRDefault="00F72FB3" w:rsidP="00AE37FE">
            <w:pPr>
              <w:spacing w:line="276" w:lineRule="auto"/>
              <w:rPr>
                <w:rFonts w:eastAsia="Times New Roman" w:cs="Times New Roman"/>
                <w:color w:val="000000"/>
                <w:sz w:val="18"/>
                <w:szCs w:val="18"/>
                <w:lang w:eastAsia="en-GB"/>
              </w:rPr>
            </w:pPr>
          </w:p>
        </w:tc>
        <w:tc>
          <w:tcPr>
            <w:tcW w:w="1417" w:type="dxa"/>
            <w:noWrap/>
            <w:vAlign w:val="center"/>
            <w:hideMark/>
          </w:tcPr>
          <w:p w14:paraId="390D315A" w14:textId="77777777"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D+/R−</w:t>
            </w:r>
          </w:p>
        </w:tc>
        <w:tc>
          <w:tcPr>
            <w:tcW w:w="1276" w:type="dxa"/>
            <w:noWrap/>
            <w:vAlign w:val="center"/>
          </w:tcPr>
          <w:p w14:paraId="4A2B0E1B" w14:textId="26E0E62E"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992" w:type="dxa"/>
            <w:noWrap/>
            <w:vAlign w:val="center"/>
            <w:hideMark/>
          </w:tcPr>
          <w:p w14:paraId="70C8F56D" w14:textId="5659EDA4"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72/451</w:t>
            </w:r>
          </w:p>
        </w:tc>
        <w:tc>
          <w:tcPr>
            <w:tcW w:w="1418" w:type="dxa"/>
            <w:noWrap/>
            <w:vAlign w:val="center"/>
            <w:hideMark/>
          </w:tcPr>
          <w:p w14:paraId="687C4BB5" w14:textId="6543E8C5"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1.78 (1.26–2.52)</w:t>
            </w:r>
          </w:p>
        </w:tc>
        <w:tc>
          <w:tcPr>
            <w:tcW w:w="1134" w:type="dxa"/>
            <w:noWrap/>
            <w:vAlign w:val="center"/>
            <w:hideMark/>
          </w:tcPr>
          <w:p w14:paraId="03715B5D" w14:textId="2F7C00F0"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0.0011</w:t>
            </w:r>
          </w:p>
        </w:tc>
        <w:tc>
          <w:tcPr>
            <w:tcW w:w="1134" w:type="dxa"/>
            <w:noWrap/>
            <w:vAlign w:val="center"/>
          </w:tcPr>
          <w:p w14:paraId="2ECAB4E2" w14:textId="433CBCDF"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134" w:type="dxa"/>
            <w:noWrap/>
            <w:vAlign w:val="center"/>
            <w:hideMark/>
          </w:tcPr>
          <w:p w14:paraId="318A217D" w14:textId="0C269982"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70/420</w:t>
            </w:r>
          </w:p>
        </w:tc>
        <w:tc>
          <w:tcPr>
            <w:tcW w:w="1417" w:type="dxa"/>
            <w:noWrap/>
            <w:vAlign w:val="center"/>
            <w:hideMark/>
          </w:tcPr>
          <w:p w14:paraId="1B3374A8" w14:textId="7882DA76"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1.80 (1.26–2.57)</w:t>
            </w:r>
          </w:p>
        </w:tc>
        <w:tc>
          <w:tcPr>
            <w:tcW w:w="1520" w:type="dxa"/>
            <w:noWrap/>
            <w:vAlign w:val="center"/>
            <w:hideMark/>
          </w:tcPr>
          <w:p w14:paraId="200F0602" w14:textId="46720136"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0.0013</w:t>
            </w:r>
          </w:p>
        </w:tc>
      </w:tr>
      <w:tr w:rsidR="00AE37FE" w:rsidRPr="004B723C" w14:paraId="01E2F48F" w14:textId="77777777" w:rsidTr="00AE37FE">
        <w:trPr>
          <w:trHeight w:val="300"/>
          <w:jc w:val="center"/>
        </w:trPr>
        <w:tc>
          <w:tcPr>
            <w:cnfStyle w:val="001000000000" w:firstRow="0" w:lastRow="0" w:firstColumn="1" w:lastColumn="0" w:oddVBand="0" w:evenVBand="0" w:oddHBand="0" w:evenHBand="0" w:firstRowFirstColumn="0" w:firstRowLastColumn="0" w:lastRowFirstColumn="0" w:lastRowLastColumn="0"/>
            <w:tcW w:w="2542" w:type="dxa"/>
            <w:noWrap/>
            <w:vAlign w:val="center"/>
            <w:hideMark/>
          </w:tcPr>
          <w:p w14:paraId="1C7156C3" w14:textId="77777777" w:rsidR="00F72FB3" w:rsidRPr="004B723C" w:rsidRDefault="00F72FB3" w:rsidP="00AE37FE">
            <w:pPr>
              <w:spacing w:line="276" w:lineRule="auto"/>
              <w:rPr>
                <w:rFonts w:eastAsia="Times New Roman" w:cs="Times New Roman"/>
                <w:color w:val="000000"/>
                <w:sz w:val="18"/>
                <w:szCs w:val="18"/>
                <w:lang w:eastAsia="en-GB"/>
              </w:rPr>
            </w:pPr>
          </w:p>
        </w:tc>
        <w:tc>
          <w:tcPr>
            <w:tcW w:w="1417" w:type="dxa"/>
            <w:noWrap/>
            <w:vAlign w:val="center"/>
            <w:hideMark/>
          </w:tcPr>
          <w:p w14:paraId="431A2645" w14:textId="77777777"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D−/R+</w:t>
            </w:r>
          </w:p>
        </w:tc>
        <w:tc>
          <w:tcPr>
            <w:tcW w:w="1276" w:type="dxa"/>
            <w:noWrap/>
            <w:vAlign w:val="center"/>
          </w:tcPr>
          <w:p w14:paraId="5D3AFE14" w14:textId="055B4325"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992" w:type="dxa"/>
            <w:noWrap/>
            <w:vAlign w:val="center"/>
            <w:hideMark/>
          </w:tcPr>
          <w:p w14:paraId="3B323D60" w14:textId="0E0719CD"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122/591</w:t>
            </w:r>
          </w:p>
        </w:tc>
        <w:tc>
          <w:tcPr>
            <w:tcW w:w="1418" w:type="dxa"/>
            <w:noWrap/>
            <w:vAlign w:val="center"/>
            <w:hideMark/>
          </w:tcPr>
          <w:p w14:paraId="11696C3C" w14:textId="4D13AAB3"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2.34 (1.71–3.21)</w:t>
            </w:r>
          </w:p>
        </w:tc>
        <w:tc>
          <w:tcPr>
            <w:tcW w:w="1134" w:type="dxa"/>
            <w:noWrap/>
            <w:vAlign w:val="center"/>
            <w:hideMark/>
          </w:tcPr>
          <w:p w14:paraId="146A03E7" w14:textId="017A213D" w:rsidR="00F72FB3" w:rsidRPr="004B723C" w:rsidRDefault="00D53FD9"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1.10 × 10</w:t>
            </w:r>
            <w:r w:rsidRPr="004B723C">
              <w:rPr>
                <w:rFonts w:cs="Times New Roman"/>
                <w:color w:val="000000"/>
                <w:sz w:val="18"/>
                <w:szCs w:val="18"/>
                <w:vertAlign w:val="superscript"/>
              </w:rPr>
              <w:t>-7</w:t>
            </w:r>
          </w:p>
        </w:tc>
        <w:tc>
          <w:tcPr>
            <w:tcW w:w="1134" w:type="dxa"/>
            <w:noWrap/>
            <w:vAlign w:val="center"/>
          </w:tcPr>
          <w:p w14:paraId="4224810C" w14:textId="4559DE27"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134" w:type="dxa"/>
            <w:noWrap/>
            <w:vAlign w:val="center"/>
            <w:hideMark/>
          </w:tcPr>
          <w:p w14:paraId="0D7771D2" w14:textId="23AC5277"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115/566</w:t>
            </w:r>
          </w:p>
        </w:tc>
        <w:tc>
          <w:tcPr>
            <w:tcW w:w="1417" w:type="dxa"/>
            <w:noWrap/>
            <w:vAlign w:val="center"/>
            <w:hideMark/>
          </w:tcPr>
          <w:p w14:paraId="3A562B34" w14:textId="261ADEE5"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2.01 (1.45–2.80)</w:t>
            </w:r>
          </w:p>
        </w:tc>
        <w:tc>
          <w:tcPr>
            <w:tcW w:w="1520" w:type="dxa"/>
            <w:noWrap/>
            <w:vAlign w:val="center"/>
            <w:hideMark/>
          </w:tcPr>
          <w:p w14:paraId="16C44049" w14:textId="3F76A1F9" w:rsidR="00F72FB3" w:rsidRPr="004B723C" w:rsidRDefault="00D53FD9"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2.98 × 10</w:t>
            </w:r>
            <w:r w:rsidRPr="004B723C">
              <w:rPr>
                <w:rFonts w:cs="Times New Roman"/>
                <w:color w:val="000000"/>
                <w:sz w:val="18"/>
                <w:szCs w:val="18"/>
                <w:vertAlign w:val="superscript"/>
              </w:rPr>
              <w:t>-5</w:t>
            </w:r>
          </w:p>
        </w:tc>
      </w:tr>
      <w:tr w:rsidR="00AE37FE" w:rsidRPr="004B723C" w14:paraId="7FC3F6AB" w14:textId="77777777" w:rsidTr="00AE37FE">
        <w:trPr>
          <w:trHeight w:val="300"/>
          <w:jc w:val="center"/>
        </w:trPr>
        <w:tc>
          <w:tcPr>
            <w:cnfStyle w:val="001000000000" w:firstRow="0" w:lastRow="0" w:firstColumn="1" w:lastColumn="0" w:oddVBand="0" w:evenVBand="0" w:oddHBand="0" w:evenHBand="0" w:firstRowFirstColumn="0" w:firstRowLastColumn="0" w:lastRowFirstColumn="0" w:lastRowLastColumn="0"/>
            <w:tcW w:w="2542" w:type="dxa"/>
            <w:noWrap/>
            <w:vAlign w:val="center"/>
            <w:hideMark/>
          </w:tcPr>
          <w:p w14:paraId="6E7CF5D9" w14:textId="77777777" w:rsidR="00F72FB3" w:rsidRPr="004B723C" w:rsidRDefault="00F72FB3" w:rsidP="00AE37FE">
            <w:pPr>
              <w:spacing w:line="276" w:lineRule="auto"/>
              <w:rPr>
                <w:rFonts w:eastAsia="Times New Roman" w:cs="Times New Roman"/>
                <w:color w:val="000000"/>
                <w:sz w:val="18"/>
                <w:szCs w:val="18"/>
                <w:lang w:eastAsia="en-GB"/>
              </w:rPr>
            </w:pPr>
            <w:r w:rsidRPr="004B723C">
              <w:rPr>
                <w:rFonts w:eastAsia="Times New Roman" w:cs="Times New Roman"/>
                <w:color w:val="000000"/>
                <w:sz w:val="18"/>
                <w:szCs w:val="18"/>
                <w:lang w:eastAsia="en-GB"/>
              </w:rPr>
              <w:t>HLA mismatch (per mismatch)</w:t>
            </w:r>
          </w:p>
        </w:tc>
        <w:tc>
          <w:tcPr>
            <w:tcW w:w="1417" w:type="dxa"/>
            <w:noWrap/>
            <w:vAlign w:val="center"/>
            <w:hideMark/>
          </w:tcPr>
          <w:p w14:paraId="4AF07D7E" w14:textId="77777777"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w:t>
            </w:r>
          </w:p>
        </w:tc>
        <w:tc>
          <w:tcPr>
            <w:tcW w:w="1276" w:type="dxa"/>
            <w:noWrap/>
            <w:vAlign w:val="center"/>
            <w:hideMark/>
          </w:tcPr>
          <w:p w14:paraId="070B27C3" w14:textId="173EF7FD"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363/2,265</w:t>
            </w:r>
          </w:p>
        </w:tc>
        <w:tc>
          <w:tcPr>
            <w:tcW w:w="992" w:type="dxa"/>
            <w:noWrap/>
            <w:vAlign w:val="center"/>
            <w:hideMark/>
          </w:tcPr>
          <w:p w14:paraId="52012746" w14:textId="77777777"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w:t>
            </w:r>
          </w:p>
        </w:tc>
        <w:tc>
          <w:tcPr>
            <w:tcW w:w="1418" w:type="dxa"/>
            <w:noWrap/>
            <w:vAlign w:val="center"/>
            <w:hideMark/>
          </w:tcPr>
          <w:p w14:paraId="114C948E" w14:textId="42D7D9AB"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1.14 (1.06–1.22)</w:t>
            </w:r>
          </w:p>
        </w:tc>
        <w:tc>
          <w:tcPr>
            <w:tcW w:w="1134" w:type="dxa"/>
            <w:noWrap/>
            <w:vAlign w:val="center"/>
            <w:hideMark/>
          </w:tcPr>
          <w:p w14:paraId="41EBC32F" w14:textId="06BF664D" w:rsidR="00F72FB3" w:rsidRPr="004B723C" w:rsidRDefault="00D53FD9"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2.52 × 10</w:t>
            </w:r>
            <w:r w:rsidRPr="004B723C">
              <w:rPr>
                <w:rFonts w:cs="Times New Roman"/>
                <w:color w:val="000000"/>
                <w:sz w:val="18"/>
                <w:szCs w:val="18"/>
                <w:vertAlign w:val="superscript"/>
              </w:rPr>
              <w:t>-4</w:t>
            </w:r>
          </w:p>
        </w:tc>
        <w:tc>
          <w:tcPr>
            <w:tcW w:w="1134" w:type="dxa"/>
            <w:noWrap/>
            <w:vAlign w:val="center"/>
            <w:hideMark/>
          </w:tcPr>
          <w:p w14:paraId="0CABB360" w14:textId="77C43E2F"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346/2,131</w:t>
            </w:r>
          </w:p>
        </w:tc>
        <w:tc>
          <w:tcPr>
            <w:tcW w:w="1134" w:type="dxa"/>
            <w:noWrap/>
            <w:vAlign w:val="center"/>
            <w:hideMark/>
          </w:tcPr>
          <w:p w14:paraId="320D206D" w14:textId="3E928357"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w:t>
            </w:r>
          </w:p>
        </w:tc>
        <w:tc>
          <w:tcPr>
            <w:tcW w:w="1417" w:type="dxa"/>
            <w:noWrap/>
            <w:vAlign w:val="center"/>
            <w:hideMark/>
          </w:tcPr>
          <w:p w14:paraId="3CA1B211" w14:textId="2AFC1DB0"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1.13 (1.04–1.24)</w:t>
            </w:r>
          </w:p>
        </w:tc>
        <w:tc>
          <w:tcPr>
            <w:tcW w:w="1520" w:type="dxa"/>
            <w:noWrap/>
            <w:vAlign w:val="center"/>
            <w:hideMark/>
          </w:tcPr>
          <w:p w14:paraId="2239000F" w14:textId="525C674A"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0.0054</w:t>
            </w:r>
          </w:p>
        </w:tc>
      </w:tr>
      <w:tr w:rsidR="00AE37FE" w:rsidRPr="004B723C" w14:paraId="46A3400A" w14:textId="77777777" w:rsidTr="00AE37FE">
        <w:trPr>
          <w:trHeight w:val="300"/>
          <w:jc w:val="center"/>
        </w:trPr>
        <w:tc>
          <w:tcPr>
            <w:cnfStyle w:val="001000000000" w:firstRow="0" w:lastRow="0" w:firstColumn="1" w:lastColumn="0" w:oddVBand="0" w:evenVBand="0" w:oddHBand="0" w:evenHBand="0" w:firstRowFirstColumn="0" w:firstRowLastColumn="0" w:lastRowFirstColumn="0" w:lastRowLastColumn="0"/>
            <w:tcW w:w="2542" w:type="dxa"/>
            <w:noWrap/>
            <w:vAlign w:val="center"/>
            <w:hideMark/>
          </w:tcPr>
          <w:p w14:paraId="1BDAF94E" w14:textId="00EADD19" w:rsidR="00F72FB3" w:rsidRPr="004B723C" w:rsidRDefault="009B73F9" w:rsidP="00AE37FE">
            <w:pPr>
              <w:spacing w:line="276" w:lineRule="auto"/>
              <w:rPr>
                <w:rFonts w:eastAsia="Times New Roman" w:cs="Times New Roman"/>
                <w:color w:val="000000"/>
                <w:sz w:val="18"/>
                <w:szCs w:val="18"/>
                <w:lang w:eastAsia="en-GB"/>
              </w:rPr>
            </w:pPr>
            <w:r>
              <w:rPr>
                <w:rFonts w:eastAsia="Times New Roman" w:cs="Times New Roman"/>
                <w:color w:val="000000"/>
                <w:sz w:val="18"/>
                <w:szCs w:val="18"/>
                <w:lang w:eastAsia="en-GB"/>
              </w:rPr>
              <w:t>Missing-self</w:t>
            </w:r>
            <w:r w:rsidR="00F72FB3" w:rsidRPr="004B723C">
              <w:rPr>
                <w:rFonts w:eastAsia="Times New Roman" w:cs="Times New Roman"/>
                <w:color w:val="000000"/>
                <w:sz w:val="18"/>
                <w:szCs w:val="18"/>
                <w:lang w:eastAsia="en-GB"/>
              </w:rPr>
              <w:t xml:space="preserve"> status</w:t>
            </w:r>
          </w:p>
        </w:tc>
        <w:tc>
          <w:tcPr>
            <w:tcW w:w="1417" w:type="dxa"/>
            <w:noWrap/>
            <w:vAlign w:val="center"/>
            <w:hideMark/>
          </w:tcPr>
          <w:p w14:paraId="3A9AF07D" w14:textId="6005C0BA"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 xml:space="preserve">Low or no </w:t>
            </w:r>
            <w:r w:rsidR="009B73F9">
              <w:rPr>
                <w:rFonts w:eastAsia="Times New Roman" w:cs="Times New Roman"/>
                <w:color w:val="000000"/>
                <w:sz w:val="18"/>
                <w:szCs w:val="18"/>
                <w:lang w:eastAsia="en-GB"/>
              </w:rPr>
              <w:t>missing-self</w:t>
            </w:r>
            <w:r w:rsidRPr="004B723C">
              <w:rPr>
                <w:rFonts w:eastAsia="Times New Roman" w:cs="Times New Roman"/>
                <w:color w:val="000000"/>
                <w:sz w:val="18"/>
                <w:szCs w:val="18"/>
                <w:lang w:eastAsia="en-GB"/>
              </w:rPr>
              <w:t xml:space="preserve"> &lt;2</w:t>
            </w:r>
          </w:p>
        </w:tc>
        <w:tc>
          <w:tcPr>
            <w:tcW w:w="1276" w:type="dxa"/>
            <w:noWrap/>
            <w:vAlign w:val="center"/>
            <w:hideMark/>
          </w:tcPr>
          <w:p w14:paraId="6508CC5E" w14:textId="77777777"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346/2,131</w:t>
            </w:r>
          </w:p>
        </w:tc>
        <w:tc>
          <w:tcPr>
            <w:tcW w:w="992" w:type="dxa"/>
            <w:noWrap/>
            <w:vAlign w:val="center"/>
            <w:hideMark/>
          </w:tcPr>
          <w:p w14:paraId="1D950DA3" w14:textId="77777777"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276/1,830</w:t>
            </w:r>
          </w:p>
        </w:tc>
        <w:tc>
          <w:tcPr>
            <w:tcW w:w="1418" w:type="dxa"/>
            <w:noWrap/>
            <w:vAlign w:val="center"/>
            <w:hideMark/>
          </w:tcPr>
          <w:p w14:paraId="7A38F7BC" w14:textId="3DF36B9B" w:rsidR="00F72FB3" w:rsidRPr="004B723C" w:rsidRDefault="00D45F56"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Ref.</w:t>
            </w:r>
          </w:p>
        </w:tc>
        <w:tc>
          <w:tcPr>
            <w:tcW w:w="1134" w:type="dxa"/>
            <w:noWrap/>
            <w:vAlign w:val="center"/>
            <w:hideMark/>
          </w:tcPr>
          <w:p w14:paraId="7684D91C" w14:textId="3E73FE76" w:rsidR="00F72FB3" w:rsidRPr="004B723C" w:rsidRDefault="00D45F56"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Ref.</w:t>
            </w:r>
          </w:p>
        </w:tc>
        <w:tc>
          <w:tcPr>
            <w:tcW w:w="1134" w:type="dxa"/>
            <w:noWrap/>
            <w:vAlign w:val="center"/>
            <w:hideMark/>
          </w:tcPr>
          <w:p w14:paraId="618A0413" w14:textId="02F5D6F4"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346/2,131</w:t>
            </w:r>
          </w:p>
        </w:tc>
        <w:tc>
          <w:tcPr>
            <w:tcW w:w="1134" w:type="dxa"/>
            <w:noWrap/>
            <w:vAlign w:val="center"/>
            <w:hideMark/>
          </w:tcPr>
          <w:p w14:paraId="06CB4551" w14:textId="2C43F934"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276/1,830</w:t>
            </w:r>
          </w:p>
        </w:tc>
        <w:tc>
          <w:tcPr>
            <w:tcW w:w="1417" w:type="dxa"/>
            <w:noWrap/>
            <w:vAlign w:val="center"/>
            <w:hideMark/>
          </w:tcPr>
          <w:p w14:paraId="3F2EE3EE" w14:textId="76DBE65A" w:rsidR="00F72FB3" w:rsidRPr="004B723C" w:rsidRDefault="00D45F56"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Ref.</w:t>
            </w:r>
          </w:p>
        </w:tc>
        <w:tc>
          <w:tcPr>
            <w:tcW w:w="1520" w:type="dxa"/>
            <w:noWrap/>
            <w:vAlign w:val="center"/>
            <w:hideMark/>
          </w:tcPr>
          <w:p w14:paraId="04EB0173" w14:textId="7E057105" w:rsidR="00F72FB3" w:rsidRPr="004B723C" w:rsidRDefault="00D45F56"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Ref.</w:t>
            </w:r>
          </w:p>
        </w:tc>
      </w:tr>
      <w:tr w:rsidR="00AE37FE" w:rsidRPr="004B723C" w14:paraId="19D1E0A1" w14:textId="77777777" w:rsidTr="00AE37FE">
        <w:trPr>
          <w:trHeight w:val="300"/>
          <w:jc w:val="center"/>
        </w:trPr>
        <w:tc>
          <w:tcPr>
            <w:cnfStyle w:val="001000000000" w:firstRow="0" w:lastRow="0" w:firstColumn="1" w:lastColumn="0" w:oddVBand="0" w:evenVBand="0" w:oddHBand="0" w:evenHBand="0" w:firstRowFirstColumn="0" w:firstRowLastColumn="0" w:lastRowFirstColumn="0" w:lastRowLastColumn="0"/>
            <w:tcW w:w="2542" w:type="dxa"/>
            <w:noWrap/>
            <w:vAlign w:val="center"/>
          </w:tcPr>
          <w:p w14:paraId="7FDCA05D" w14:textId="0F780BFA" w:rsidR="00F72FB3" w:rsidRPr="004B723C" w:rsidRDefault="00F72FB3" w:rsidP="00AE37FE">
            <w:pPr>
              <w:spacing w:line="276" w:lineRule="auto"/>
              <w:rPr>
                <w:rFonts w:eastAsia="Times New Roman" w:cs="Times New Roman"/>
                <w:color w:val="000000"/>
                <w:sz w:val="18"/>
                <w:szCs w:val="18"/>
                <w:lang w:eastAsia="en-GB"/>
              </w:rPr>
            </w:pPr>
          </w:p>
        </w:tc>
        <w:tc>
          <w:tcPr>
            <w:tcW w:w="1417" w:type="dxa"/>
            <w:noWrap/>
            <w:vAlign w:val="center"/>
            <w:hideMark/>
          </w:tcPr>
          <w:p w14:paraId="4E00FCBB" w14:textId="69818D37"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 xml:space="preserve">High </w:t>
            </w:r>
            <w:r w:rsidR="009B73F9">
              <w:rPr>
                <w:rFonts w:eastAsia="Times New Roman" w:cs="Times New Roman"/>
                <w:color w:val="000000"/>
                <w:sz w:val="18"/>
                <w:szCs w:val="18"/>
                <w:lang w:eastAsia="en-GB"/>
              </w:rPr>
              <w:t>missing-self</w:t>
            </w:r>
            <w:r w:rsidRPr="004B723C">
              <w:rPr>
                <w:rFonts w:eastAsia="Times New Roman" w:cs="Times New Roman"/>
                <w:color w:val="000000"/>
                <w:sz w:val="18"/>
                <w:szCs w:val="18"/>
                <w:lang w:eastAsia="en-GB"/>
              </w:rPr>
              <w:t xml:space="preserve"> </w:t>
            </w:r>
            <w:r w:rsidRPr="004B723C">
              <w:rPr>
                <w:rFonts w:eastAsia="Times New Roman" w:cs="Times New Roman"/>
                <w:color w:val="000000"/>
                <w:sz w:val="18"/>
                <w:szCs w:val="18"/>
                <w:u w:val="single"/>
                <w:lang w:eastAsia="en-GB"/>
              </w:rPr>
              <w:t>&gt;</w:t>
            </w:r>
            <w:r w:rsidRPr="004B723C">
              <w:rPr>
                <w:rFonts w:eastAsia="Times New Roman" w:cs="Times New Roman"/>
                <w:color w:val="000000"/>
                <w:sz w:val="18"/>
                <w:szCs w:val="18"/>
                <w:lang w:eastAsia="en-GB"/>
              </w:rPr>
              <w:t>2</w:t>
            </w:r>
          </w:p>
        </w:tc>
        <w:tc>
          <w:tcPr>
            <w:tcW w:w="1276" w:type="dxa"/>
            <w:noWrap/>
            <w:vAlign w:val="center"/>
          </w:tcPr>
          <w:p w14:paraId="16EC6FF9" w14:textId="3CA02A0A"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992" w:type="dxa"/>
            <w:noWrap/>
            <w:vAlign w:val="center"/>
            <w:hideMark/>
          </w:tcPr>
          <w:p w14:paraId="0790555D" w14:textId="77777777"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70/301</w:t>
            </w:r>
          </w:p>
        </w:tc>
        <w:tc>
          <w:tcPr>
            <w:tcW w:w="1418" w:type="dxa"/>
            <w:noWrap/>
            <w:vAlign w:val="center"/>
            <w:hideMark/>
          </w:tcPr>
          <w:p w14:paraId="47278336" w14:textId="6AF26774"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1.68 (1.29–2.18)</w:t>
            </w:r>
          </w:p>
        </w:tc>
        <w:tc>
          <w:tcPr>
            <w:tcW w:w="1134" w:type="dxa"/>
            <w:noWrap/>
            <w:vAlign w:val="center"/>
            <w:hideMark/>
          </w:tcPr>
          <w:p w14:paraId="51E191D2" w14:textId="7077C566"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0.00011</w:t>
            </w:r>
          </w:p>
        </w:tc>
        <w:tc>
          <w:tcPr>
            <w:tcW w:w="1134" w:type="dxa"/>
            <w:noWrap/>
            <w:vAlign w:val="center"/>
          </w:tcPr>
          <w:p w14:paraId="55A41202" w14:textId="3DDCC86D"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134" w:type="dxa"/>
            <w:noWrap/>
            <w:vAlign w:val="center"/>
            <w:hideMark/>
          </w:tcPr>
          <w:p w14:paraId="1253C613" w14:textId="5A01C680"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70/301</w:t>
            </w:r>
          </w:p>
        </w:tc>
        <w:tc>
          <w:tcPr>
            <w:tcW w:w="1417" w:type="dxa"/>
            <w:noWrap/>
            <w:vAlign w:val="center"/>
            <w:hideMark/>
          </w:tcPr>
          <w:p w14:paraId="32E2773B" w14:textId="269ACB6B"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1.67 (1.28–2.18)</w:t>
            </w:r>
          </w:p>
        </w:tc>
        <w:tc>
          <w:tcPr>
            <w:tcW w:w="1520" w:type="dxa"/>
            <w:noWrap/>
            <w:vAlign w:val="center"/>
            <w:hideMark/>
          </w:tcPr>
          <w:p w14:paraId="3504F258" w14:textId="1600C594" w:rsidR="00F72FB3" w:rsidRPr="004B723C" w:rsidRDefault="00D53FD9"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1.71 × 10</w:t>
            </w:r>
            <w:r w:rsidRPr="004B723C">
              <w:rPr>
                <w:rFonts w:cs="Times New Roman"/>
                <w:color w:val="000000"/>
                <w:sz w:val="18"/>
                <w:szCs w:val="18"/>
                <w:vertAlign w:val="superscript"/>
              </w:rPr>
              <w:t>-4</w:t>
            </w:r>
          </w:p>
        </w:tc>
      </w:tr>
      <w:tr w:rsidR="00AE37FE" w:rsidRPr="004B723C" w14:paraId="530B2C0D" w14:textId="77777777" w:rsidTr="00AE37FE">
        <w:trPr>
          <w:trHeight w:val="300"/>
          <w:jc w:val="center"/>
        </w:trPr>
        <w:tc>
          <w:tcPr>
            <w:cnfStyle w:val="001000000000" w:firstRow="0" w:lastRow="0" w:firstColumn="1" w:lastColumn="0" w:oddVBand="0" w:evenVBand="0" w:oddHBand="0" w:evenHBand="0" w:firstRowFirstColumn="0" w:firstRowLastColumn="0" w:lastRowFirstColumn="0" w:lastRowLastColumn="0"/>
            <w:tcW w:w="2542" w:type="dxa"/>
            <w:noWrap/>
            <w:vAlign w:val="center"/>
            <w:hideMark/>
          </w:tcPr>
          <w:p w14:paraId="23A33EFB" w14:textId="1A5A79B6" w:rsidR="00F72FB3" w:rsidRPr="004B723C" w:rsidRDefault="00F72FB3" w:rsidP="00AE37FE">
            <w:pPr>
              <w:spacing w:line="276" w:lineRule="auto"/>
              <w:rPr>
                <w:rFonts w:eastAsia="Times New Roman" w:cs="Times New Roman"/>
                <w:color w:val="000000"/>
                <w:sz w:val="18"/>
                <w:szCs w:val="18"/>
                <w:lang w:eastAsia="en-GB"/>
              </w:rPr>
            </w:pPr>
            <w:r w:rsidRPr="004B723C">
              <w:rPr>
                <w:rFonts w:eastAsia="Times New Roman" w:cs="Times New Roman"/>
                <w:color w:val="000000"/>
                <w:sz w:val="18"/>
                <w:szCs w:val="18"/>
                <w:lang w:eastAsia="en-GB"/>
              </w:rPr>
              <w:t>HLA-DSA status</w:t>
            </w:r>
          </w:p>
        </w:tc>
        <w:tc>
          <w:tcPr>
            <w:tcW w:w="1417" w:type="dxa"/>
            <w:noWrap/>
            <w:vAlign w:val="center"/>
            <w:hideMark/>
          </w:tcPr>
          <w:p w14:paraId="48B3E964" w14:textId="77777777"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Negative</w:t>
            </w:r>
          </w:p>
        </w:tc>
        <w:tc>
          <w:tcPr>
            <w:tcW w:w="1276" w:type="dxa"/>
            <w:noWrap/>
            <w:vAlign w:val="center"/>
            <w:hideMark/>
          </w:tcPr>
          <w:p w14:paraId="390D82BC" w14:textId="246E5C7D"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363/2,265</w:t>
            </w:r>
          </w:p>
        </w:tc>
        <w:tc>
          <w:tcPr>
            <w:tcW w:w="992" w:type="dxa"/>
            <w:noWrap/>
            <w:vAlign w:val="center"/>
            <w:hideMark/>
          </w:tcPr>
          <w:p w14:paraId="565D453B" w14:textId="315B3BE1"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268/2,064</w:t>
            </w:r>
          </w:p>
        </w:tc>
        <w:tc>
          <w:tcPr>
            <w:tcW w:w="1418" w:type="dxa"/>
            <w:noWrap/>
            <w:vAlign w:val="center"/>
            <w:hideMark/>
          </w:tcPr>
          <w:p w14:paraId="5335C797" w14:textId="36A871DE" w:rsidR="00F72FB3" w:rsidRPr="004B723C" w:rsidRDefault="00D45F56"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Ref.</w:t>
            </w:r>
          </w:p>
        </w:tc>
        <w:tc>
          <w:tcPr>
            <w:tcW w:w="1134" w:type="dxa"/>
            <w:noWrap/>
            <w:vAlign w:val="center"/>
            <w:hideMark/>
          </w:tcPr>
          <w:p w14:paraId="5136DFEB" w14:textId="772526D7" w:rsidR="00F72FB3" w:rsidRPr="004B723C" w:rsidRDefault="00D45F56"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Ref.</w:t>
            </w:r>
          </w:p>
        </w:tc>
        <w:tc>
          <w:tcPr>
            <w:tcW w:w="1134" w:type="dxa"/>
            <w:noWrap/>
            <w:vAlign w:val="center"/>
            <w:hideMark/>
          </w:tcPr>
          <w:p w14:paraId="41392212" w14:textId="674FF419"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346/2,131</w:t>
            </w:r>
          </w:p>
        </w:tc>
        <w:tc>
          <w:tcPr>
            <w:tcW w:w="1134" w:type="dxa"/>
            <w:noWrap/>
            <w:vAlign w:val="center"/>
            <w:hideMark/>
          </w:tcPr>
          <w:p w14:paraId="47DCF55D" w14:textId="015455CD"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255/1,946</w:t>
            </w:r>
          </w:p>
        </w:tc>
        <w:tc>
          <w:tcPr>
            <w:tcW w:w="1417" w:type="dxa"/>
            <w:noWrap/>
            <w:vAlign w:val="center"/>
            <w:hideMark/>
          </w:tcPr>
          <w:p w14:paraId="02BDCF0D" w14:textId="39E6DB08" w:rsidR="00F72FB3" w:rsidRPr="004B723C" w:rsidRDefault="00D45F56"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Ref.</w:t>
            </w:r>
          </w:p>
        </w:tc>
        <w:tc>
          <w:tcPr>
            <w:tcW w:w="1520" w:type="dxa"/>
            <w:noWrap/>
            <w:vAlign w:val="center"/>
            <w:hideMark/>
          </w:tcPr>
          <w:p w14:paraId="46BCC62B" w14:textId="4E5575A2" w:rsidR="00F72FB3" w:rsidRPr="004B723C" w:rsidRDefault="00D45F56"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Ref.</w:t>
            </w:r>
          </w:p>
        </w:tc>
      </w:tr>
      <w:tr w:rsidR="00AE37FE" w:rsidRPr="004B723C" w14:paraId="45D68A4C" w14:textId="77777777" w:rsidTr="00AE37FE">
        <w:trPr>
          <w:trHeight w:val="300"/>
          <w:jc w:val="center"/>
        </w:trPr>
        <w:tc>
          <w:tcPr>
            <w:cnfStyle w:val="001000000000" w:firstRow="0" w:lastRow="0" w:firstColumn="1" w:lastColumn="0" w:oddVBand="0" w:evenVBand="0" w:oddHBand="0" w:evenHBand="0" w:firstRowFirstColumn="0" w:firstRowLastColumn="0" w:lastRowFirstColumn="0" w:lastRowLastColumn="0"/>
            <w:tcW w:w="2542" w:type="dxa"/>
            <w:noWrap/>
            <w:vAlign w:val="center"/>
            <w:hideMark/>
          </w:tcPr>
          <w:p w14:paraId="6EA5C3B0" w14:textId="77777777" w:rsidR="00F72FB3" w:rsidRPr="004B723C" w:rsidRDefault="00F72FB3" w:rsidP="00AE37FE">
            <w:pPr>
              <w:spacing w:line="276" w:lineRule="auto"/>
              <w:rPr>
                <w:rFonts w:eastAsia="Times New Roman" w:cs="Times New Roman"/>
                <w:color w:val="000000"/>
                <w:sz w:val="18"/>
                <w:szCs w:val="18"/>
                <w:lang w:eastAsia="en-GB"/>
              </w:rPr>
            </w:pPr>
          </w:p>
        </w:tc>
        <w:tc>
          <w:tcPr>
            <w:tcW w:w="1417" w:type="dxa"/>
            <w:noWrap/>
            <w:vAlign w:val="center"/>
            <w:hideMark/>
          </w:tcPr>
          <w:p w14:paraId="68513663" w14:textId="77777777"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Positive</w:t>
            </w:r>
          </w:p>
        </w:tc>
        <w:tc>
          <w:tcPr>
            <w:tcW w:w="1276" w:type="dxa"/>
            <w:noWrap/>
            <w:vAlign w:val="center"/>
          </w:tcPr>
          <w:p w14:paraId="0EA0731F" w14:textId="3F8E9B52"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992" w:type="dxa"/>
            <w:noWrap/>
            <w:vAlign w:val="center"/>
            <w:hideMark/>
          </w:tcPr>
          <w:p w14:paraId="3C6D291B" w14:textId="0245DC27"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95/201</w:t>
            </w:r>
          </w:p>
        </w:tc>
        <w:tc>
          <w:tcPr>
            <w:tcW w:w="1418" w:type="dxa"/>
            <w:noWrap/>
            <w:vAlign w:val="center"/>
            <w:hideMark/>
          </w:tcPr>
          <w:p w14:paraId="42CEB72B" w14:textId="7AD50AD2"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4.90 (3.87–6.21)</w:t>
            </w:r>
          </w:p>
        </w:tc>
        <w:tc>
          <w:tcPr>
            <w:tcW w:w="1134" w:type="dxa"/>
            <w:noWrap/>
            <w:vAlign w:val="center"/>
            <w:hideMark/>
          </w:tcPr>
          <w:p w14:paraId="0F55B59B" w14:textId="73379524" w:rsidR="00F72FB3" w:rsidRPr="004B723C" w:rsidRDefault="00D53FD9"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7.98 × 10</w:t>
            </w:r>
            <w:r w:rsidRPr="004B723C">
              <w:rPr>
                <w:rFonts w:cs="Times New Roman"/>
                <w:color w:val="000000"/>
                <w:sz w:val="18"/>
                <w:szCs w:val="18"/>
                <w:vertAlign w:val="superscript"/>
              </w:rPr>
              <w:t>-40</w:t>
            </w:r>
          </w:p>
        </w:tc>
        <w:tc>
          <w:tcPr>
            <w:tcW w:w="1134" w:type="dxa"/>
            <w:noWrap/>
            <w:vAlign w:val="center"/>
          </w:tcPr>
          <w:p w14:paraId="6624ABA3" w14:textId="3661793E"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134" w:type="dxa"/>
            <w:noWrap/>
            <w:vAlign w:val="center"/>
            <w:hideMark/>
          </w:tcPr>
          <w:p w14:paraId="27D96C20" w14:textId="54752068"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91/185</w:t>
            </w:r>
          </w:p>
        </w:tc>
        <w:tc>
          <w:tcPr>
            <w:tcW w:w="1417" w:type="dxa"/>
            <w:noWrap/>
            <w:vAlign w:val="center"/>
            <w:hideMark/>
          </w:tcPr>
          <w:p w14:paraId="5B15CE48" w14:textId="7BE6DDB2"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4.24 (3.23–5.58)</w:t>
            </w:r>
          </w:p>
        </w:tc>
        <w:tc>
          <w:tcPr>
            <w:tcW w:w="1520" w:type="dxa"/>
            <w:noWrap/>
            <w:vAlign w:val="center"/>
            <w:hideMark/>
          </w:tcPr>
          <w:p w14:paraId="6E978502" w14:textId="355A84B4" w:rsidR="00F72FB3" w:rsidRPr="004B723C" w:rsidRDefault="00D53FD9"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3.57 × 10</w:t>
            </w:r>
            <w:r w:rsidRPr="004B723C">
              <w:rPr>
                <w:rFonts w:cs="Times New Roman"/>
                <w:color w:val="000000"/>
                <w:sz w:val="18"/>
                <w:szCs w:val="18"/>
                <w:vertAlign w:val="superscript"/>
              </w:rPr>
              <w:t>-25</w:t>
            </w:r>
          </w:p>
        </w:tc>
      </w:tr>
      <w:tr w:rsidR="00AE37FE" w:rsidRPr="004B723C" w14:paraId="332BCEF9" w14:textId="77777777" w:rsidTr="00AE37FE">
        <w:trPr>
          <w:trHeight w:val="300"/>
          <w:jc w:val="center"/>
        </w:trPr>
        <w:tc>
          <w:tcPr>
            <w:cnfStyle w:val="001000000000" w:firstRow="0" w:lastRow="0" w:firstColumn="1" w:lastColumn="0" w:oddVBand="0" w:evenVBand="0" w:oddHBand="0" w:evenHBand="0" w:firstRowFirstColumn="0" w:firstRowLastColumn="0" w:lastRowFirstColumn="0" w:lastRowLastColumn="0"/>
            <w:tcW w:w="2542" w:type="dxa"/>
            <w:noWrap/>
            <w:vAlign w:val="center"/>
          </w:tcPr>
          <w:p w14:paraId="31A298E5" w14:textId="39B96B8C" w:rsidR="00F72FB3" w:rsidRPr="004B723C" w:rsidRDefault="00F72FB3" w:rsidP="00AE37FE">
            <w:pPr>
              <w:spacing w:line="276" w:lineRule="auto"/>
              <w:rPr>
                <w:rFonts w:eastAsia="Times New Roman" w:cs="Times New Roman"/>
                <w:color w:val="000000"/>
                <w:sz w:val="18"/>
                <w:szCs w:val="18"/>
                <w:lang w:eastAsia="en-GB"/>
              </w:rPr>
            </w:pPr>
            <w:r w:rsidRPr="004B723C">
              <w:rPr>
                <w:rFonts w:eastAsia="Times New Roman" w:cs="Times New Roman"/>
                <w:color w:val="000000"/>
                <w:sz w:val="18"/>
                <w:szCs w:val="18"/>
                <w:lang w:eastAsia="en-GB"/>
              </w:rPr>
              <w:t>Recipient age (per 10 years)</w:t>
            </w:r>
          </w:p>
        </w:tc>
        <w:tc>
          <w:tcPr>
            <w:tcW w:w="1417" w:type="dxa"/>
            <w:noWrap/>
            <w:vAlign w:val="center"/>
          </w:tcPr>
          <w:p w14:paraId="45D046B5" w14:textId="195FA205"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w:t>
            </w:r>
          </w:p>
        </w:tc>
        <w:tc>
          <w:tcPr>
            <w:tcW w:w="1276" w:type="dxa"/>
            <w:noWrap/>
            <w:vAlign w:val="center"/>
          </w:tcPr>
          <w:p w14:paraId="62356C76" w14:textId="574EB5BB"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363/2,265</w:t>
            </w:r>
          </w:p>
        </w:tc>
        <w:tc>
          <w:tcPr>
            <w:tcW w:w="992" w:type="dxa"/>
            <w:noWrap/>
            <w:vAlign w:val="center"/>
          </w:tcPr>
          <w:p w14:paraId="368EDB7C" w14:textId="43227AD2"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w:t>
            </w:r>
          </w:p>
        </w:tc>
        <w:tc>
          <w:tcPr>
            <w:tcW w:w="1418" w:type="dxa"/>
            <w:noWrap/>
            <w:vAlign w:val="center"/>
          </w:tcPr>
          <w:p w14:paraId="2186FE1D" w14:textId="7DF99C47"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1.03 (0.95–1.12)</w:t>
            </w:r>
          </w:p>
        </w:tc>
        <w:tc>
          <w:tcPr>
            <w:tcW w:w="1134" w:type="dxa"/>
            <w:noWrap/>
            <w:vAlign w:val="center"/>
          </w:tcPr>
          <w:p w14:paraId="52CF5EBF" w14:textId="714D0744"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0.44</w:t>
            </w:r>
          </w:p>
        </w:tc>
        <w:tc>
          <w:tcPr>
            <w:tcW w:w="1134" w:type="dxa"/>
            <w:noWrap/>
            <w:vAlign w:val="center"/>
          </w:tcPr>
          <w:p w14:paraId="7872B8C6" w14:textId="1F08FBDE"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346/2,131</w:t>
            </w:r>
          </w:p>
        </w:tc>
        <w:tc>
          <w:tcPr>
            <w:tcW w:w="1134" w:type="dxa"/>
            <w:noWrap/>
            <w:vAlign w:val="center"/>
          </w:tcPr>
          <w:p w14:paraId="642779A4" w14:textId="3784FED9"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w:t>
            </w:r>
          </w:p>
        </w:tc>
        <w:tc>
          <w:tcPr>
            <w:tcW w:w="1417" w:type="dxa"/>
            <w:noWrap/>
            <w:vAlign w:val="center"/>
          </w:tcPr>
          <w:p w14:paraId="59727034" w14:textId="57556F31"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0.95 (0.86–1.04)</w:t>
            </w:r>
          </w:p>
        </w:tc>
        <w:tc>
          <w:tcPr>
            <w:tcW w:w="1520" w:type="dxa"/>
            <w:noWrap/>
            <w:vAlign w:val="center"/>
          </w:tcPr>
          <w:p w14:paraId="16475CC0" w14:textId="18B5831D"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0.23</w:t>
            </w:r>
          </w:p>
        </w:tc>
      </w:tr>
      <w:tr w:rsidR="00AE37FE" w:rsidRPr="004B723C" w14:paraId="2A8573D3" w14:textId="77777777" w:rsidTr="00AE37FE">
        <w:trPr>
          <w:trHeight w:val="300"/>
          <w:jc w:val="center"/>
        </w:trPr>
        <w:tc>
          <w:tcPr>
            <w:cnfStyle w:val="001000000000" w:firstRow="0" w:lastRow="0" w:firstColumn="1" w:lastColumn="0" w:oddVBand="0" w:evenVBand="0" w:oddHBand="0" w:evenHBand="0" w:firstRowFirstColumn="0" w:firstRowLastColumn="0" w:lastRowFirstColumn="0" w:lastRowLastColumn="0"/>
            <w:tcW w:w="2542" w:type="dxa"/>
            <w:noWrap/>
            <w:vAlign w:val="center"/>
          </w:tcPr>
          <w:p w14:paraId="15B5E415" w14:textId="04D74A39" w:rsidR="00F72FB3" w:rsidRPr="004B723C" w:rsidRDefault="00F72FB3" w:rsidP="00AE37FE">
            <w:pPr>
              <w:spacing w:line="276" w:lineRule="auto"/>
              <w:rPr>
                <w:rFonts w:eastAsia="Times New Roman" w:cs="Times New Roman"/>
                <w:color w:val="000000"/>
                <w:sz w:val="18"/>
                <w:szCs w:val="18"/>
                <w:lang w:eastAsia="en-GB"/>
              </w:rPr>
            </w:pPr>
            <w:r w:rsidRPr="004B723C">
              <w:rPr>
                <w:rFonts w:eastAsia="Times New Roman" w:cs="Times New Roman"/>
                <w:color w:val="000000"/>
                <w:sz w:val="18"/>
                <w:szCs w:val="18"/>
                <w:lang w:eastAsia="en-GB"/>
              </w:rPr>
              <w:t>Recipient sex</w:t>
            </w:r>
          </w:p>
        </w:tc>
        <w:tc>
          <w:tcPr>
            <w:tcW w:w="1417" w:type="dxa"/>
            <w:noWrap/>
            <w:vAlign w:val="center"/>
          </w:tcPr>
          <w:p w14:paraId="7DFBC47B" w14:textId="52472D38"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Male</w:t>
            </w:r>
          </w:p>
        </w:tc>
        <w:tc>
          <w:tcPr>
            <w:tcW w:w="1276" w:type="dxa"/>
            <w:noWrap/>
            <w:vAlign w:val="center"/>
          </w:tcPr>
          <w:p w14:paraId="3EAD8E22" w14:textId="019EA8B8"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363/2,265</w:t>
            </w:r>
          </w:p>
        </w:tc>
        <w:tc>
          <w:tcPr>
            <w:tcW w:w="992" w:type="dxa"/>
            <w:noWrap/>
            <w:vAlign w:val="center"/>
          </w:tcPr>
          <w:p w14:paraId="2332741D" w14:textId="1CCE9525"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188/1,439</w:t>
            </w:r>
          </w:p>
        </w:tc>
        <w:tc>
          <w:tcPr>
            <w:tcW w:w="1418" w:type="dxa"/>
            <w:noWrap/>
            <w:vAlign w:val="center"/>
          </w:tcPr>
          <w:p w14:paraId="619D3421" w14:textId="6CA1B1DF" w:rsidR="00F72FB3" w:rsidRPr="004B723C" w:rsidRDefault="00D45F56"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1134" w:type="dxa"/>
            <w:noWrap/>
            <w:vAlign w:val="center"/>
          </w:tcPr>
          <w:p w14:paraId="66E5CDA6" w14:textId="1231B8F7" w:rsidR="00F72FB3" w:rsidRPr="004B723C" w:rsidRDefault="00D45F56"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Ref.</w:t>
            </w:r>
          </w:p>
        </w:tc>
        <w:tc>
          <w:tcPr>
            <w:tcW w:w="1134" w:type="dxa"/>
            <w:noWrap/>
            <w:vAlign w:val="center"/>
          </w:tcPr>
          <w:p w14:paraId="190F3638" w14:textId="36B33805"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346/2,131</w:t>
            </w:r>
          </w:p>
        </w:tc>
        <w:tc>
          <w:tcPr>
            <w:tcW w:w="1134" w:type="dxa"/>
            <w:noWrap/>
            <w:vAlign w:val="center"/>
          </w:tcPr>
          <w:p w14:paraId="779FBECF" w14:textId="0431ADAB"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178/1,347</w:t>
            </w:r>
          </w:p>
        </w:tc>
        <w:tc>
          <w:tcPr>
            <w:tcW w:w="1417" w:type="dxa"/>
            <w:noWrap/>
            <w:vAlign w:val="center"/>
          </w:tcPr>
          <w:p w14:paraId="4667FB71" w14:textId="1891A670" w:rsidR="00F72FB3" w:rsidRPr="004B723C" w:rsidRDefault="00D45F56"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Ref.</w:t>
            </w:r>
          </w:p>
        </w:tc>
        <w:tc>
          <w:tcPr>
            <w:tcW w:w="1520" w:type="dxa"/>
            <w:noWrap/>
            <w:vAlign w:val="center"/>
          </w:tcPr>
          <w:p w14:paraId="1E25FBCA" w14:textId="26AACDD6" w:rsidR="00F72FB3" w:rsidRPr="004B723C" w:rsidRDefault="00D45F56"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Ref.</w:t>
            </w:r>
          </w:p>
        </w:tc>
      </w:tr>
      <w:tr w:rsidR="00AE37FE" w:rsidRPr="004B723C" w14:paraId="477AA531" w14:textId="77777777" w:rsidTr="00AE37FE">
        <w:trPr>
          <w:trHeight w:val="300"/>
          <w:jc w:val="center"/>
        </w:trPr>
        <w:tc>
          <w:tcPr>
            <w:cnfStyle w:val="001000000000" w:firstRow="0" w:lastRow="0" w:firstColumn="1" w:lastColumn="0" w:oddVBand="0" w:evenVBand="0" w:oddHBand="0" w:evenHBand="0" w:firstRowFirstColumn="0" w:firstRowLastColumn="0" w:lastRowFirstColumn="0" w:lastRowLastColumn="0"/>
            <w:tcW w:w="2542" w:type="dxa"/>
            <w:noWrap/>
            <w:vAlign w:val="center"/>
          </w:tcPr>
          <w:p w14:paraId="3AFB2BA3" w14:textId="77777777" w:rsidR="00F72FB3" w:rsidRPr="004B723C" w:rsidRDefault="00F72FB3" w:rsidP="00AE37FE">
            <w:pPr>
              <w:spacing w:line="276" w:lineRule="auto"/>
              <w:rPr>
                <w:rFonts w:eastAsia="Times New Roman" w:cs="Times New Roman"/>
                <w:color w:val="000000"/>
                <w:sz w:val="18"/>
                <w:szCs w:val="18"/>
                <w:lang w:eastAsia="en-GB"/>
              </w:rPr>
            </w:pPr>
          </w:p>
        </w:tc>
        <w:tc>
          <w:tcPr>
            <w:tcW w:w="1417" w:type="dxa"/>
            <w:noWrap/>
            <w:vAlign w:val="center"/>
          </w:tcPr>
          <w:p w14:paraId="50C5CE3A" w14:textId="0F9EA63F"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Female</w:t>
            </w:r>
          </w:p>
        </w:tc>
        <w:tc>
          <w:tcPr>
            <w:tcW w:w="1276" w:type="dxa"/>
            <w:noWrap/>
            <w:vAlign w:val="center"/>
          </w:tcPr>
          <w:p w14:paraId="4F8561E2" w14:textId="01A75899"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992" w:type="dxa"/>
            <w:noWrap/>
            <w:vAlign w:val="center"/>
          </w:tcPr>
          <w:p w14:paraId="4B08FAA3" w14:textId="3C3C7187"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175/826</w:t>
            </w:r>
          </w:p>
        </w:tc>
        <w:tc>
          <w:tcPr>
            <w:tcW w:w="1418" w:type="dxa"/>
            <w:noWrap/>
            <w:vAlign w:val="center"/>
          </w:tcPr>
          <w:p w14:paraId="32840965" w14:textId="08231268"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1.64 (1.34–2.02)</w:t>
            </w:r>
          </w:p>
        </w:tc>
        <w:tc>
          <w:tcPr>
            <w:tcW w:w="1134" w:type="dxa"/>
            <w:noWrap/>
            <w:vAlign w:val="center"/>
          </w:tcPr>
          <w:p w14:paraId="0E693ACA" w14:textId="0BFE8E7F" w:rsidR="00F72FB3" w:rsidRPr="004B723C" w:rsidRDefault="00D53FD9"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2.23 × 10</w:t>
            </w:r>
            <w:r w:rsidRPr="004B723C">
              <w:rPr>
                <w:rFonts w:cs="Times New Roman"/>
                <w:color w:val="000000"/>
                <w:sz w:val="18"/>
                <w:szCs w:val="18"/>
                <w:vertAlign w:val="superscript"/>
              </w:rPr>
              <w:t>-6</w:t>
            </w:r>
          </w:p>
        </w:tc>
        <w:tc>
          <w:tcPr>
            <w:tcW w:w="1134" w:type="dxa"/>
            <w:noWrap/>
            <w:vAlign w:val="center"/>
          </w:tcPr>
          <w:p w14:paraId="76011BB7" w14:textId="3FAD585C"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134" w:type="dxa"/>
            <w:noWrap/>
            <w:vAlign w:val="center"/>
          </w:tcPr>
          <w:p w14:paraId="23912E7F" w14:textId="00E01CA4"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168/784</w:t>
            </w:r>
          </w:p>
        </w:tc>
        <w:tc>
          <w:tcPr>
            <w:tcW w:w="1417" w:type="dxa"/>
            <w:noWrap/>
            <w:vAlign w:val="center"/>
          </w:tcPr>
          <w:p w14:paraId="13B19116" w14:textId="681E69DC"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1.36 (1.09–1.68)</w:t>
            </w:r>
          </w:p>
        </w:tc>
        <w:tc>
          <w:tcPr>
            <w:tcW w:w="1520" w:type="dxa"/>
            <w:noWrap/>
            <w:vAlign w:val="center"/>
          </w:tcPr>
          <w:p w14:paraId="1E17AF64" w14:textId="1D4A1B60"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0.0058</w:t>
            </w:r>
          </w:p>
        </w:tc>
      </w:tr>
      <w:tr w:rsidR="00AE37FE" w:rsidRPr="004B723C" w14:paraId="7E564B18" w14:textId="77777777" w:rsidTr="00AE37FE">
        <w:trPr>
          <w:trHeight w:val="300"/>
          <w:jc w:val="center"/>
        </w:trPr>
        <w:tc>
          <w:tcPr>
            <w:cnfStyle w:val="001000000000" w:firstRow="0" w:lastRow="0" w:firstColumn="1" w:lastColumn="0" w:oddVBand="0" w:evenVBand="0" w:oddHBand="0" w:evenHBand="0" w:firstRowFirstColumn="0" w:firstRowLastColumn="0" w:lastRowFirstColumn="0" w:lastRowLastColumn="0"/>
            <w:tcW w:w="2542" w:type="dxa"/>
            <w:noWrap/>
            <w:vAlign w:val="center"/>
          </w:tcPr>
          <w:p w14:paraId="306E88FB" w14:textId="545C7DC0" w:rsidR="00F72FB3" w:rsidRPr="004B723C" w:rsidRDefault="00F72FB3" w:rsidP="00AE37FE">
            <w:pPr>
              <w:spacing w:line="276" w:lineRule="auto"/>
              <w:rPr>
                <w:rFonts w:eastAsia="Times New Roman" w:cs="Times New Roman"/>
                <w:color w:val="000000"/>
                <w:sz w:val="18"/>
                <w:szCs w:val="18"/>
                <w:lang w:eastAsia="en-GB"/>
              </w:rPr>
            </w:pPr>
            <w:r w:rsidRPr="004B723C">
              <w:rPr>
                <w:rFonts w:eastAsia="Times New Roman" w:cs="Times New Roman"/>
                <w:color w:val="000000"/>
                <w:sz w:val="18"/>
                <w:szCs w:val="18"/>
                <w:lang w:eastAsia="en-GB"/>
              </w:rPr>
              <w:lastRenderedPageBreak/>
              <w:t>Repeat transplantation</w:t>
            </w:r>
          </w:p>
        </w:tc>
        <w:tc>
          <w:tcPr>
            <w:tcW w:w="1417" w:type="dxa"/>
            <w:noWrap/>
            <w:vAlign w:val="center"/>
          </w:tcPr>
          <w:p w14:paraId="1B89D210" w14:textId="7B5117CC"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No</w:t>
            </w:r>
          </w:p>
        </w:tc>
        <w:tc>
          <w:tcPr>
            <w:tcW w:w="1276" w:type="dxa"/>
            <w:noWrap/>
            <w:vAlign w:val="center"/>
          </w:tcPr>
          <w:p w14:paraId="114C713A" w14:textId="32F4CEBF"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363/2,265</w:t>
            </w:r>
          </w:p>
        </w:tc>
        <w:tc>
          <w:tcPr>
            <w:tcW w:w="992" w:type="dxa"/>
            <w:noWrap/>
            <w:vAlign w:val="center"/>
          </w:tcPr>
          <w:p w14:paraId="3CA08780" w14:textId="75DC0DA6"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280/1,937</w:t>
            </w:r>
          </w:p>
        </w:tc>
        <w:tc>
          <w:tcPr>
            <w:tcW w:w="1418" w:type="dxa"/>
            <w:noWrap/>
            <w:vAlign w:val="center"/>
          </w:tcPr>
          <w:p w14:paraId="757B13A3" w14:textId="78238591" w:rsidR="00F72FB3" w:rsidRPr="004B723C" w:rsidRDefault="00D45F56"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Ref.</w:t>
            </w:r>
          </w:p>
        </w:tc>
        <w:tc>
          <w:tcPr>
            <w:tcW w:w="1134" w:type="dxa"/>
            <w:noWrap/>
            <w:vAlign w:val="center"/>
          </w:tcPr>
          <w:p w14:paraId="0DAD41C3" w14:textId="05C8006B" w:rsidR="00F72FB3" w:rsidRPr="004B723C" w:rsidRDefault="00D45F56"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Ref.</w:t>
            </w:r>
          </w:p>
        </w:tc>
        <w:tc>
          <w:tcPr>
            <w:tcW w:w="1134" w:type="dxa"/>
            <w:noWrap/>
            <w:vAlign w:val="center"/>
          </w:tcPr>
          <w:p w14:paraId="4AC09EE5" w14:textId="00472B4F"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346/2,131</w:t>
            </w:r>
          </w:p>
        </w:tc>
        <w:tc>
          <w:tcPr>
            <w:tcW w:w="1134" w:type="dxa"/>
            <w:noWrap/>
            <w:vAlign w:val="center"/>
          </w:tcPr>
          <w:p w14:paraId="5A9C94DA" w14:textId="30B776CD"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269/1,831</w:t>
            </w:r>
          </w:p>
        </w:tc>
        <w:tc>
          <w:tcPr>
            <w:tcW w:w="1417" w:type="dxa"/>
            <w:noWrap/>
            <w:vAlign w:val="center"/>
          </w:tcPr>
          <w:p w14:paraId="44074AFC" w14:textId="64C4BC58" w:rsidR="00F72FB3" w:rsidRPr="004B723C" w:rsidRDefault="00D45F56"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Ref.</w:t>
            </w:r>
          </w:p>
        </w:tc>
        <w:tc>
          <w:tcPr>
            <w:tcW w:w="1520" w:type="dxa"/>
            <w:noWrap/>
            <w:vAlign w:val="center"/>
          </w:tcPr>
          <w:p w14:paraId="66D46C94" w14:textId="6A7A7400" w:rsidR="00F72FB3" w:rsidRPr="004B723C" w:rsidRDefault="00D45F56"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Ref.</w:t>
            </w:r>
          </w:p>
        </w:tc>
      </w:tr>
      <w:tr w:rsidR="00AE37FE" w:rsidRPr="004B723C" w14:paraId="1C897B58" w14:textId="77777777" w:rsidTr="00AE37FE">
        <w:trPr>
          <w:trHeight w:val="300"/>
          <w:jc w:val="center"/>
        </w:trPr>
        <w:tc>
          <w:tcPr>
            <w:cnfStyle w:val="001000000000" w:firstRow="0" w:lastRow="0" w:firstColumn="1" w:lastColumn="0" w:oddVBand="0" w:evenVBand="0" w:oddHBand="0" w:evenHBand="0" w:firstRowFirstColumn="0" w:firstRowLastColumn="0" w:lastRowFirstColumn="0" w:lastRowLastColumn="0"/>
            <w:tcW w:w="2542" w:type="dxa"/>
            <w:noWrap/>
            <w:vAlign w:val="center"/>
          </w:tcPr>
          <w:p w14:paraId="5668C391" w14:textId="77777777" w:rsidR="00F72FB3" w:rsidRPr="004B723C" w:rsidRDefault="00F72FB3" w:rsidP="00AE37FE">
            <w:pPr>
              <w:spacing w:line="276" w:lineRule="auto"/>
              <w:rPr>
                <w:rFonts w:eastAsia="Times New Roman" w:cs="Times New Roman"/>
                <w:color w:val="000000"/>
                <w:sz w:val="18"/>
                <w:szCs w:val="18"/>
                <w:lang w:eastAsia="en-GB"/>
              </w:rPr>
            </w:pPr>
          </w:p>
        </w:tc>
        <w:tc>
          <w:tcPr>
            <w:tcW w:w="1417" w:type="dxa"/>
            <w:noWrap/>
            <w:vAlign w:val="center"/>
          </w:tcPr>
          <w:p w14:paraId="0C2371BD" w14:textId="63DCE921"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Yes</w:t>
            </w:r>
          </w:p>
        </w:tc>
        <w:tc>
          <w:tcPr>
            <w:tcW w:w="1276" w:type="dxa"/>
            <w:noWrap/>
            <w:vAlign w:val="center"/>
          </w:tcPr>
          <w:p w14:paraId="46CF0DE4" w14:textId="77777777"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992" w:type="dxa"/>
            <w:noWrap/>
            <w:vAlign w:val="center"/>
          </w:tcPr>
          <w:p w14:paraId="1054C071" w14:textId="16048FB2"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83/328</w:t>
            </w:r>
          </w:p>
        </w:tc>
        <w:tc>
          <w:tcPr>
            <w:tcW w:w="1418" w:type="dxa"/>
            <w:noWrap/>
            <w:vAlign w:val="center"/>
          </w:tcPr>
          <w:p w14:paraId="1E677603" w14:textId="5EB5893F"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1.96 (1.54–2.51)</w:t>
            </w:r>
          </w:p>
        </w:tc>
        <w:tc>
          <w:tcPr>
            <w:tcW w:w="1134" w:type="dxa"/>
            <w:noWrap/>
            <w:vAlign w:val="center"/>
          </w:tcPr>
          <w:p w14:paraId="02270518" w14:textId="76C123C0" w:rsidR="00F72FB3" w:rsidRPr="004B723C" w:rsidRDefault="00D53FD9"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7.19 × 10</w:t>
            </w:r>
            <w:r w:rsidRPr="004B723C">
              <w:rPr>
                <w:rFonts w:cs="Times New Roman"/>
                <w:color w:val="000000"/>
                <w:sz w:val="18"/>
                <w:szCs w:val="18"/>
                <w:vertAlign w:val="superscript"/>
              </w:rPr>
              <w:t>-8</w:t>
            </w:r>
          </w:p>
        </w:tc>
        <w:tc>
          <w:tcPr>
            <w:tcW w:w="1134" w:type="dxa"/>
            <w:noWrap/>
            <w:vAlign w:val="center"/>
          </w:tcPr>
          <w:p w14:paraId="2DFB1F72" w14:textId="6A857156"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134" w:type="dxa"/>
            <w:noWrap/>
            <w:vAlign w:val="center"/>
          </w:tcPr>
          <w:p w14:paraId="15F214F6" w14:textId="09556B4C"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77/300</w:t>
            </w:r>
          </w:p>
        </w:tc>
        <w:tc>
          <w:tcPr>
            <w:tcW w:w="1417" w:type="dxa"/>
            <w:noWrap/>
            <w:vAlign w:val="center"/>
          </w:tcPr>
          <w:p w14:paraId="031AE2DC" w14:textId="53683AEE"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1.38 (1.04–1.84)</w:t>
            </w:r>
          </w:p>
        </w:tc>
        <w:tc>
          <w:tcPr>
            <w:tcW w:w="1520" w:type="dxa"/>
            <w:noWrap/>
            <w:vAlign w:val="center"/>
          </w:tcPr>
          <w:p w14:paraId="397DBBF5" w14:textId="5727B344" w:rsidR="00F72FB3" w:rsidRPr="004B723C" w:rsidRDefault="00F72FB3" w:rsidP="006D6E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0.027</w:t>
            </w:r>
          </w:p>
        </w:tc>
      </w:tr>
    </w:tbl>
    <w:p w14:paraId="6B026DEC" w14:textId="1FD6582E" w:rsidR="003F1B1D" w:rsidRPr="004B723C" w:rsidRDefault="003F1B1D" w:rsidP="00BF0A42">
      <w:pPr>
        <w:spacing w:before="240" w:line="360" w:lineRule="auto"/>
      </w:pPr>
      <w:r w:rsidRPr="004B723C">
        <w:t xml:space="preserve">Values are hazard ratios (HRs) with 95% confidence intervals (CIs) from univariable and multivariable Cox proportional-hazards models. Total events and events per subgroup are presented as n/N, where n denotes the number of events and N the number of participants with non-missing data for the respective covariate. Multivariable models were adjusted for recipient age and sex, donor age and type (living, donation after circulatory death, donation after brain death), repeat transplantation, calendar year of transplantation, HLA mismatch, HLA-DSA status at transplantation, </w:t>
      </w:r>
      <w:r w:rsidR="009B73F9">
        <w:t>missing-self</w:t>
      </w:r>
      <w:r w:rsidRPr="004B723C">
        <w:t xml:space="preserve"> status (low or no </w:t>
      </w:r>
      <w:r w:rsidR="009B73F9">
        <w:t>missing-self</w:t>
      </w:r>
      <w:r w:rsidRPr="004B723C">
        <w:t xml:space="preserve"> (&lt;2) versus high </w:t>
      </w:r>
      <w:r w:rsidR="009B73F9">
        <w:t>missing-self</w:t>
      </w:r>
      <w:r w:rsidRPr="004B723C">
        <w:t xml:space="preserve"> (</w:t>
      </w:r>
      <w:r w:rsidRPr="004B723C">
        <w:rPr>
          <w:rFonts w:cs="Times New Roman"/>
        </w:rPr>
        <w:t>≥2</w:t>
      </w:r>
      <w:r w:rsidRPr="004B723C">
        <w:t>))</w:t>
      </w:r>
      <w:r w:rsidR="00B558D5" w:rsidRPr="004B723C">
        <w:t>,</w:t>
      </w:r>
      <w:r w:rsidRPr="004B723C">
        <w:t xml:space="preserve"> cold </w:t>
      </w:r>
      <w:r w:rsidR="00492FBC" w:rsidRPr="004B723C">
        <w:t>ischemia</w:t>
      </w:r>
      <w:r w:rsidRPr="004B723C">
        <w:t xml:space="preserve"> time, and transplant </w:t>
      </w:r>
      <w:r w:rsidR="00492FBC" w:rsidRPr="004B723C">
        <w:t>center</w:t>
      </w:r>
      <w:r w:rsidRPr="004B723C">
        <w:t>.</w:t>
      </w:r>
    </w:p>
    <w:p w14:paraId="0CFC77B1" w14:textId="3D944B8C" w:rsidR="00B52C1B" w:rsidRPr="004B723C" w:rsidRDefault="003F1B1D" w:rsidP="007F3A2D">
      <w:pPr>
        <w:spacing w:line="360" w:lineRule="auto"/>
      </w:pPr>
      <w:r w:rsidRPr="004B723C">
        <w:t xml:space="preserve">Abbreviations: CMV, cytomegalovirus; D, donor; DSA, donor-specific antibody; HLA, human leukocyte antigen; R, recipient; </w:t>
      </w:r>
      <w:r w:rsidR="00D45F56" w:rsidRPr="004B723C">
        <w:t>Ref.</w:t>
      </w:r>
      <w:r w:rsidRPr="004B723C">
        <w:t>, reference.</w:t>
      </w:r>
    </w:p>
    <w:p w14:paraId="4143D3FD" w14:textId="03FCF39D" w:rsidR="008F2DD5" w:rsidRPr="004B723C" w:rsidRDefault="008F2DD5" w:rsidP="007F3A2D">
      <w:pPr>
        <w:spacing w:line="360" w:lineRule="auto"/>
        <w:sectPr w:rsidR="008F2DD5" w:rsidRPr="004B723C" w:rsidSect="00380509">
          <w:pgSz w:w="16838" w:h="11906" w:orient="landscape"/>
          <w:pgMar w:top="1417" w:right="1417" w:bottom="1417" w:left="1417" w:header="708" w:footer="708" w:gutter="0"/>
          <w:cols w:space="708"/>
          <w:docGrid w:linePitch="360"/>
        </w:sectPr>
      </w:pPr>
    </w:p>
    <w:p w14:paraId="3F58A4B4" w14:textId="42585857" w:rsidR="00CE50D3" w:rsidRPr="004B723C" w:rsidRDefault="00D02F3B" w:rsidP="007F3A2D">
      <w:pPr>
        <w:pStyle w:val="Heading2"/>
        <w:spacing w:line="360" w:lineRule="auto"/>
        <w:rPr>
          <w:rFonts w:cs="Times New Roman"/>
          <w:sz w:val="22"/>
          <w:szCs w:val="22"/>
        </w:rPr>
      </w:pPr>
      <w:bookmarkStart w:id="8" w:name="_Toc216645092"/>
      <w:r w:rsidRPr="004B723C">
        <w:rPr>
          <w:rFonts w:cs="Times New Roman"/>
          <w:sz w:val="22"/>
          <w:szCs w:val="22"/>
        </w:rPr>
        <w:lastRenderedPageBreak/>
        <w:t xml:space="preserve">Table </w:t>
      </w:r>
      <w:r w:rsidR="00267FED" w:rsidRPr="004B723C">
        <w:rPr>
          <w:rFonts w:cs="Times New Roman"/>
          <w:sz w:val="22"/>
          <w:szCs w:val="22"/>
        </w:rPr>
        <w:t>S7</w:t>
      </w:r>
      <w:r w:rsidR="008F0E83" w:rsidRPr="004B723C">
        <w:rPr>
          <w:rFonts w:cs="Times New Roman"/>
          <w:sz w:val="22"/>
          <w:szCs w:val="22"/>
        </w:rPr>
        <w:t>:</w:t>
      </w:r>
      <w:bookmarkStart w:id="9" w:name="_Hlk212393739"/>
      <w:bookmarkEnd w:id="7"/>
      <w:r w:rsidR="00A22CD3" w:rsidRPr="004B723C">
        <w:rPr>
          <w:rFonts w:cs="Times New Roman"/>
          <w:sz w:val="22"/>
          <w:szCs w:val="22"/>
        </w:rPr>
        <w:t xml:space="preserve"> </w:t>
      </w:r>
      <w:r w:rsidR="00C72120" w:rsidRPr="004B723C">
        <w:rPr>
          <w:rFonts w:cs="Times New Roman"/>
          <w:sz w:val="22"/>
          <w:szCs w:val="22"/>
        </w:rPr>
        <w:t xml:space="preserve">Cox proportional hazards models for first MVI using composite exposure categories combining any CMV seropositivity with HLA–DSA status or </w:t>
      </w:r>
      <w:r w:rsidR="009B73F9">
        <w:rPr>
          <w:rFonts w:cs="Times New Roman"/>
          <w:sz w:val="22"/>
          <w:szCs w:val="22"/>
        </w:rPr>
        <w:t>missing-self</w:t>
      </w:r>
      <w:bookmarkEnd w:id="8"/>
    </w:p>
    <w:tbl>
      <w:tblPr>
        <w:tblStyle w:val="Nature"/>
        <w:tblW w:w="0" w:type="auto"/>
        <w:jc w:val="center"/>
        <w:tblLook w:val="04A0" w:firstRow="1" w:lastRow="0" w:firstColumn="1" w:lastColumn="0" w:noHBand="0" w:noVBand="1"/>
      </w:tblPr>
      <w:tblGrid>
        <w:gridCol w:w="2827"/>
        <w:gridCol w:w="1443"/>
        <w:gridCol w:w="1372"/>
        <w:gridCol w:w="1506"/>
        <w:gridCol w:w="1063"/>
        <w:gridCol w:w="1372"/>
        <w:gridCol w:w="1506"/>
        <w:gridCol w:w="1063"/>
      </w:tblGrid>
      <w:tr w:rsidR="00D53FD9" w:rsidRPr="004B723C" w14:paraId="7E6ABF5A" w14:textId="77777777" w:rsidTr="00004996">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bookmarkEnd w:id="9"/>
          <w:p w14:paraId="5855CE09" w14:textId="6D017196" w:rsidR="00332FF5" w:rsidRPr="004B723C" w:rsidRDefault="00237637" w:rsidP="007F3A2D">
            <w:pPr>
              <w:spacing w:line="360" w:lineRule="auto"/>
              <w:jc w:val="center"/>
              <w:rPr>
                <w:rFonts w:eastAsia="Times New Roman" w:cs="Times New Roman"/>
                <w:b/>
                <w:bCs/>
                <w:i w:val="0"/>
                <w:iCs w:val="0"/>
                <w:color w:val="000000"/>
                <w:sz w:val="18"/>
                <w:szCs w:val="18"/>
                <w:lang w:eastAsia="en-GB"/>
              </w:rPr>
            </w:pPr>
            <w:r>
              <w:rPr>
                <w:rFonts w:eastAsia="Times New Roman" w:cs="Times New Roman"/>
                <w:b/>
                <w:bCs/>
                <w:color w:val="000000"/>
                <w:sz w:val="18"/>
                <w:szCs w:val="18"/>
                <w:lang w:eastAsia="en-GB"/>
              </w:rPr>
              <w:t>Factors</w:t>
            </w:r>
          </w:p>
        </w:tc>
        <w:tc>
          <w:tcPr>
            <w:tcW w:w="0" w:type="auto"/>
            <w:noWrap/>
            <w:vAlign w:val="center"/>
            <w:hideMark/>
          </w:tcPr>
          <w:p w14:paraId="6ECE1D56" w14:textId="77777777" w:rsidR="00332FF5" w:rsidRPr="004B723C" w:rsidRDefault="00332FF5" w:rsidP="007F3A2D">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i w:val="0"/>
                <w:iCs w:val="0"/>
                <w:color w:val="000000"/>
                <w:sz w:val="18"/>
                <w:szCs w:val="18"/>
                <w:lang w:eastAsia="en-GB"/>
              </w:rPr>
            </w:pPr>
            <w:r w:rsidRPr="004B723C">
              <w:rPr>
                <w:rFonts w:eastAsia="Times New Roman" w:cs="Times New Roman"/>
                <w:b/>
                <w:bCs/>
                <w:color w:val="000000"/>
                <w:sz w:val="18"/>
                <w:szCs w:val="18"/>
                <w:lang w:eastAsia="en-GB"/>
              </w:rPr>
              <w:t>Level</w:t>
            </w:r>
          </w:p>
        </w:tc>
        <w:tc>
          <w:tcPr>
            <w:tcW w:w="0" w:type="auto"/>
            <w:noWrap/>
            <w:vAlign w:val="center"/>
            <w:hideMark/>
          </w:tcPr>
          <w:p w14:paraId="744865EC" w14:textId="46DB70A1" w:rsidR="00332FF5" w:rsidRPr="004B723C" w:rsidRDefault="00332FF5" w:rsidP="007F3A2D">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i w:val="0"/>
                <w:iCs w:val="0"/>
                <w:color w:val="000000"/>
                <w:sz w:val="18"/>
                <w:szCs w:val="18"/>
                <w:lang w:eastAsia="en-GB"/>
              </w:rPr>
            </w:pPr>
            <w:r w:rsidRPr="004B723C">
              <w:rPr>
                <w:rFonts w:eastAsia="Times New Roman" w:cs="Times New Roman"/>
                <w:b/>
                <w:bCs/>
                <w:color w:val="000000"/>
                <w:sz w:val="18"/>
                <w:szCs w:val="18"/>
                <w:lang w:eastAsia="en-GB"/>
              </w:rPr>
              <w:t>Events (group)/</w:t>
            </w:r>
            <w:r w:rsidR="009773A4" w:rsidRPr="004B723C">
              <w:rPr>
                <w:rFonts w:eastAsia="Times New Roman" w:cs="Times New Roman"/>
                <w:b/>
                <w:bCs/>
                <w:color w:val="000000"/>
                <w:sz w:val="18"/>
                <w:szCs w:val="18"/>
                <w:lang w:eastAsia="en-GB"/>
              </w:rPr>
              <w:br/>
            </w:r>
            <w:r w:rsidRPr="004B723C">
              <w:rPr>
                <w:rFonts w:eastAsia="Times New Roman" w:cs="Times New Roman"/>
                <w:b/>
                <w:bCs/>
                <w:color w:val="000000"/>
                <w:sz w:val="18"/>
                <w:szCs w:val="18"/>
                <w:lang w:eastAsia="en-GB"/>
              </w:rPr>
              <w:t>N (group)</w:t>
            </w:r>
          </w:p>
        </w:tc>
        <w:tc>
          <w:tcPr>
            <w:tcW w:w="0" w:type="auto"/>
            <w:noWrap/>
            <w:vAlign w:val="center"/>
            <w:hideMark/>
          </w:tcPr>
          <w:p w14:paraId="187B0E57" w14:textId="27D8D31D" w:rsidR="00332FF5" w:rsidRPr="004B723C" w:rsidRDefault="00332FF5" w:rsidP="007F3A2D">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i w:val="0"/>
                <w:iCs w:val="0"/>
                <w:color w:val="000000"/>
                <w:sz w:val="18"/>
                <w:szCs w:val="18"/>
                <w:lang w:eastAsia="en-GB"/>
              </w:rPr>
            </w:pPr>
            <w:r w:rsidRPr="004B723C">
              <w:rPr>
                <w:rFonts w:eastAsia="Times New Roman" w:cs="Times New Roman"/>
                <w:b/>
                <w:bCs/>
                <w:color w:val="000000"/>
                <w:sz w:val="18"/>
                <w:szCs w:val="18"/>
                <w:lang w:eastAsia="en-GB"/>
              </w:rPr>
              <w:t>HR</w:t>
            </w:r>
            <w:r w:rsidR="009773A4" w:rsidRPr="004B723C">
              <w:rPr>
                <w:rFonts w:eastAsia="Times New Roman" w:cs="Times New Roman"/>
                <w:b/>
                <w:bCs/>
                <w:color w:val="000000"/>
                <w:sz w:val="18"/>
                <w:szCs w:val="18"/>
                <w:lang w:eastAsia="en-GB"/>
              </w:rPr>
              <w:br/>
            </w:r>
            <w:r w:rsidRPr="004B723C">
              <w:rPr>
                <w:rFonts w:eastAsia="Times New Roman" w:cs="Times New Roman"/>
                <w:b/>
                <w:bCs/>
                <w:color w:val="000000"/>
                <w:sz w:val="18"/>
                <w:szCs w:val="18"/>
                <w:lang w:eastAsia="en-GB"/>
              </w:rPr>
              <w:t>(95% CI)</w:t>
            </w:r>
          </w:p>
        </w:tc>
        <w:tc>
          <w:tcPr>
            <w:tcW w:w="0" w:type="auto"/>
            <w:noWrap/>
            <w:vAlign w:val="center"/>
            <w:hideMark/>
          </w:tcPr>
          <w:p w14:paraId="43E1DFF8" w14:textId="2F87B711" w:rsidR="00332FF5" w:rsidRPr="004B723C" w:rsidRDefault="00237637" w:rsidP="007F3A2D">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i w:val="0"/>
                <w:iCs w:val="0"/>
                <w:color w:val="000000"/>
                <w:sz w:val="18"/>
                <w:szCs w:val="18"/>
                <w:lang w:eastAsia="en-GB"/>
              </w:rPr>
            </w:pPr>
            <w:r>
              <w:rPr>
                <w:rFonts w:eastAsia="Times New Roman" w:cs="Times New Roman"/>
                <w:b/>
                <w:bCs/>
                <w:color w:val="000000"/>
                <w:sz w:val="18"/>
                <w:szCs w:val="18"/>
                <w:lang w:eastAsia="en-GB"/>
              </w:rPr>
              <w:t>P</w:t>
            </w:r>
            <w:r w:rsidR="00332FF5" w:rsidRPr="004B723C">
              <w:rPr>
                <w:rFonts w:eastAsia="Times New Roman" w:cs="Times New Roman"/>
                <w:b/>
                <w:bCs/>
                <w:color w:val="000000"/>
                <w:sz w:val="18"/>
                <w:szCs w:val="18"/>
                <w:lang w:eastAsia="en-GB"/>
              </w:rPr>
              <w:t xml:space="preserve"> value</w:t>
            </w:r>
          </w:p>
        </w:tc>
        <w:tc>
          <w:tcPr>
            <w:tcW w:w="0" w:type="auto"/>
            <w:noWrap/>
            <w:vAlign w:val="center"/>
            <w:hideMark/>
          </w:tcPr>
          <w:p w14:paraId="57F3EE8E" w14:textId="4427C272" w:rsidR="00332FF5" w:rsidRPr="004B723C" w:rsidRDefault="00332FF5" w:rsidP="007F3A2D">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i w:val="0"/>
                <w:iCs w:val="0"/>
                <w:sz w:val="18"/>
                <w:szCs w:val="18"/>
                <w:lang w:eastAsia="en-GB"/>
              </w:rPr>
            </w:pPr>
            <w:r w:rsidRPr="004B723C">
              <w:rPr>
                <w:rFonts w:eastAsia="Times New Roman" w:cs="Times New Roman"/>
                <w:b/>
                <w:bCs/>
                <w:color w:val="000000"/>
                <w:sz w:val="18"/>
                <w:szCs w:val="18"/>
                <w:lang w:eastAsia="en-GB"/>
              </w:rPr>
              <w:t>Events (group)/</w:t>
            </w:r>
            <w:r w:rsidR="009773A4" w:rsidRPr="004B723C">
              <w:rPr>
                <w:rFonts w:eastAsia="Times New Roman" w:cs="Times New Roman"/>
                <w:b/>
                <w:bCs/>
                <w:color w:val="000000"/>
                <w:sz w:val="18"/>
                <w:szCs w:val="18"/>
                <w:lang w:eastAsia="en-GB"/>
              </w:rPr>
              <w:br/>
            </w:r>
            <w:r w:rsidRPr="004B723C">
              <w:rPr>
                <w:rFonts w:eastAsia="Times New Roman" w:cs="Times New Roman"/>
                <w:b/>
                <w:bCs/>
                <w:color w:val="000000"/>
                <w:sz w:val="18"/>
                <w:szCs w:val="18"/>
                <w:lang w:eastAsia="en-GB"/>
              </w:rPr>
              <w:t>N (group)</w:t>
            </w:r>
          </w:p>
        </w:tc>
        <w:tc>
          <w:tcPr>
            <w:tcW w:w="0" w:type="auto"/>
            <w:noWrap/>
            <w:vAlign w:val="center"/>
            <w:hideMark/>
          </w:tcPr>
          <w:p w14:paraId="4413A5E3" w14:textId="030F86B6" w:rsidR="00332FF5" w:rsidRPr="004B723C" w:rsidRDefault="00332FF5" w:rsidP="007F3A2D">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i w:val="0"/>
                <w:iCs w:val="0"/>
                <w:sz w:val="18"/>
                <w:szCs w:val="18"/>
                <w:lang w:eastAsia="en-GB"/>
              </w:rPr>
            </w:pPr>
            <w:r w:rsidRPr="004B723C">
              <w:rPr>
                <w:rFonts w:eastAsia="Times New Roman" w:cs="Times New Roman"/>
                <w:b/>
                <w:bCs/>
                <w:color w:val="000000"/>
                <w:sz w:val="18"/>
                <w:szCs w:val="18"/>
                <w:lang w:eastAsia="en-GB"/>
              </w:rPr>
              <w:t>Adjusted HR</w:t>
            </w:r>
            <w:r w:rsidR="009773A4" w:rsidRPr="004B723C">
              <w:rPr>
                <w:rFonts w:eastAsia="Times New Roman" w:cs="Times New Roman"/>
                <w:b/>
                <w:bCs/>
                <w:color w:val="000000"/>
                <w:sz w:val="18"/>
                <w:szCs w:val="18"/>
                <w:lang w:eastAsia="en-GB"/>
              </w:rPr>
              <w:br/>
            </w:r>
            <w:r w:rsidRPr="004B723C">
              <w:rPr>
                <w:rFonts w:eastAsia="Times New Roman" w:cs="Times New Roman"/>
                <w:b/>
                <w:bCs/>
                <w:color w:val="000000"/>
                <w:sz w:val="18"/>
                <w:szCs w:val="18"/>
                <w:lang w:eastAsia="en-GB"/>
              </w:rPr>
              <w:t>(95% CI)</w:t>
            </w:r>
          </w:p>
        </w:tc>
        <w:tc>
          <w:tcPr>
            <w:tcW w:w="0" w:type="auto"/>
            <w:noWrap/>
            <w:vAlign w:val="center"/>
            <w:hideMark/>
          </w:tcPr>
          <w:p w14:paraId="40CFC94F" w14:textId="4356C070" w:rsidR="00332FF5" w:rsidRPr="004B723C" w:rsidRDefault="00237637" w:rsidP="007F3A2D">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i w:val="0"/>
                <w:iCs w:val="0"/>
                <w:sz w:val="18"/>
                <w:szCs w:val="18"/>
                <w:lang w:eastAsia="en-GB"/>
              </w:rPr>
            </w:pPr>
            <w:r>
              <w:rPr>
                <w:rFonts w:eastAsia="Times New Roman" w:cs="Times New Roman"/>
                <w:b/>
                <w:bCs/>
                <w:color w:val="000000"/>
                <w:sz w:val="18"/>
                <w:szCs w:val="18"/>
                <w:lang w:eastAsia="en-GB"/>
              </w:rPr>
              <w:t>P</w:t>
            </w:r>
            <w:r w:rsidR="00332FF5" w:rsidRPr="004B723C">
              <w:rPr>
                <w:rFonts w:eastAsia="Times New Roman" w:cs="Times New Roman"/>
                <w:b/>
                <w:bCs/>
                <w:color w:val="000000"/>
                <w:sz w:val="18"/>
                <w:szCs w:val="18"/>
                <w:lang w:eastAsia="en-GB"/>
              </w:rPr>
              <w:t xml:space="preserve"> value</w:t>
            </w:r>
          </w:p>
        </w:tc>
      </w:tr>
      <w:tr w:rsidR="006A6E75" w:rsidRPr="004B723C" w14:paraId="1DD3CDEF" w14:textId="77777777" w:rsidTr="007F3A2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07488AC0" w14:textId="77777777" w:rsidR="006A6E75" w:rsidRPr="004B723C" w:rsidRDefault="006A6E75" w:rsidP="007F3A2D">
            <w:pPr>
              <w:spacing w:line="360" w:lineRule="auto"/>
              <w:jc w:val="center"/>
              <w:rPr>
                <w:rFonts w:eastAsia="Times New Roman" w:cs="Times New Roman"/>
                <w:b/>
                <w:bCs/>
                <w:color w:val="000000"/>
                <w:sz w:val="18"/>
                <w:szCs w:val="18"/>
                <w:lang w:eastAsia="en-GB"/>
              </w:rPr>
            </w:pPr>
          </w:p>
        </w:tc>
        <w:tc>
          <w:tcPr>
            <w:tcW w:w="0" w:type="auto"/>
            <w:noWrap/>
            <w:vAlign w:val="center"/>
          </w:tcPr>
          <w:p w14:paraId="04FF92B0" w14:textId="77777777" w:rsidR="006A6E75" w:rsidRPr="004B723C" w:rsidRDefault="006A6E7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eastAsia="en-GB"/>
              </w:rPr>
            </w:pPr>
          </w:p>
        </w:tc>
        <w:tc>
          <w:tcPr>
            <w:tcW w:w="0" w:type="auto"/>
            <w:gridSpan w:val="3"/>
            <w:noWrap/>
            <w:vAlign w:val="center"/>
          </w:tcPr>
          <w:p w14:paraId="5142DC9E" w14:textId="5CDE7213" w:rsidR="006A6E75" w:rsidRPr="004B723C" w:rsidRDefault="006A6E7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eastAsia="en-GB"/>
              </w:rPr>
            </w:pPr>
            <w:r w:rsidRPr="004B723C">
              <w:rPr>
                <w:rFonts w:eastAsia="Times New Roman" w:cs="Times New Roman"/>
                <w:b/>
                <w:bCs/>
                <w:color w:val="000000"/>
                <w:sz w:val="18"/>
                <w:szCs w:val="18"/>
                <w:lang w:eastAsia="en-GB"/>
              </w:rPr>
              <w:t xml:space="preserve">UNIVARIABLE </w:t>
            </w:r>
            <w:r w:rsidR="00113CCF" w:rsidRPr="004B723C">
              <w:rPr>
                <w:rFonts w:eastAsia="Times New Roman" w:cs="Times New Roman"/>
                <w:b/>
                <w:bCs/>
                <w:color w:val="000000"/>
                <w:sz w:val="18"/>
                <w:szCs w:val="18"/>
                <w:lang w:eastAsia="en-GB"/>
              </w:rPr>
              <w:t>ANALYSIS</w:t>
            </w:r>
          </w:p>
        </w:tc>
        <w:tc>
          <w:tcPr>
            <w:tcW w:w="0" w:type="auto"/>
            <w:gridSpan w:val="3"/>
            <w:noWrap/>
            <w:vAlign w:val="center"/>
          </w:tcPr>
          <w:p w14:paraId="64CCBF4D" w14:textId="5CCB2DC0" w:rsidR="006A6E75" w:rsidRPr="004B723C" w:rsidRDefault="006A6E7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eastAsia="en-GB"/>
              </w:rPr>
            </w:pPr>
            <w:r w:rsidRPr="004B723C">
              <w:rPr>
                <w:rFonts w:eastAsia="Times New Roman" w:cs="Times New Roman"/>
                <w:b/>
                <w:bCs/>
                <w:color w:val="000000"/>
                <w:sz w:val="18"/>
                <w:szCs w:val="18"/>
                <w:lang w:eastAsia="en-GB"/>
              </w:rPr>
              <w:t xml:space="preserve">MULTIVARIABLE </w:t>
            </w:r>
            <w:r w:rsidR="00113CCF" w:rsidRPr="004B723C">
              <w:rPr>
                <w:rFonts w:eastAsia="Times New Roman" w:cs="Times New Roman"/>
                <w:b/>
                <w:bCs/>
                <w:color w:val="000000"/>
                <w:sz w:val="18"/>
                <w:szCs w:val="18"/>
                <w:lang w:eastAsia="en-GB"/>
              </w:rPr>
              <w:t>ANALYSIS</w:t>
            </w:r>
          </w:p>
        </w:tc>
      </w:tr>
      <w:tr w:rsidR="00D53FD9" w:rsidRPr="004B723C" w14:paraId="6AC6C29C" w14:textId="77777777" w:rsidTr="00004996">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03BCFDD" w14:textId="369912AD" w:rsidR="00004996" w:rsidRPr="004B723C" w:rsidRDefault="00004996" w:rsidP="007F3A2D">
            <w:pPr>
              <w:spacing w:line="360" w:lineRule="auto"/>
              <w:jc w:val="center"/>
              <w:rPr>
                <w:rFonts w:eastAsia="Times New Roman" w:cs="Times New Roman"/>
                <w:b/>
                <w:bCs/>
                <w:color w:val="000000"/>
                <w:sz w:val="18"/>
                <w:szCs w:val="18"/>
                <w:lang w:eastAsia="en-GB"/>
              </w:rPr>
            </w:pPr>
            <w:r w:rsidRPr="004B723C">
              <w:rPr>
                <w:rFonts w:eastAsia="Times New Roman" w:cs="Times New Roman"/>
                <w:b/>
                <w:bCs/>
                <w:color w:val="000000"/>
                <w:sz w:val="18"/>
                <w:szCs w:val="18"/>
                <w:lang w:eastAsia="en-GB"/>
              </w:rPr>
              <w:t>HLA-DSA status and CMV status</w:t>
            </w:r>
          </w:p>
        </w:tc>
        <w:tc>
          <w:tcPr>
            <w:tcW w:w="0" w:type="auto"/>
            <w:noWrap/>
            <w:vAlign w:val="center"/>
            <w:hideMark/>
          </w:tcPr>
          <w:p w14:paraId="71A227F9" w14:textId="77777777" w:rsidR="00004996" w:rsidRPr="004B723C" w:rsidRDefault="0000499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No DSA, CMV−</w:t>
            </w:r>
          </w:p>
        </w:tc>
        <w:tc>
          <w:tcPr>
            <w:tcW w:w="0" w:type="auto"/>
            <w:noWrap/>
            <w:vAlign w:val="center"/>
            <w:hideMark/>
          </w:tcPr>
          <w:p w14:paraId="74E481BA" w14:textId="77777777" w:rsidR="00004996" w:rsidRPr="004B723C" w:rsidRDefault="0000499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45/682</w:t>
            </w:r>
          </w:p>
        </w:tc>
        <w:tc>
          <w:tcPr>
            <w:tcW w:w="0" w:type="auto"/>
            <w:noWrap/>
            <w:vAlign w:val="center"/>
            <w:hideMark/>
          </w:tcPr>
          <w:p w14:paraId="7D51A996" w14:textId="79A6F956" w:rsidR="00004996" w:rsidRPr="004B723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Ref.</w:t>
            </w:r>
          </w:p>
        </w:tc>
        <w:tc>
          <w:tcPr>
            <w:tcW w:w="0" w:type="auto"/>
            <w:noWrap/>
            <w:vAlign w:val="center"/>
            <w:hideMark/>
          </w:tcPr>
          <w:p w14:paraId="40E3EAC9" w14:textId="42163094" w:rsidR="00004996" w:rsidRPr="004B723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Ref.</w:t>
            </w:r>
          </w:p>
        </w:tc>
        <w:tc>
          <w:tcPr>
            <w:tcW w:w="0" w:type="auto"/>
            <w:noWrap/>
            <w:vAlign w:val="center"/>
            <w:hideMark/>
          </w:tcPr>
          <w:p w14:paraId="256BB153" w14:textId="77777777" w:rsidR="00004996" w:rsidRPr="004B723C" w:rsidRDefault="0000499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45/679</w:t>
            </w:r>
          </w:p>
        </w:tc>
        <w:tc>
          <w:tcPr>
            <w:tcW w:w="0" w:type="auto"/>
            <w:noWrap/>
            <w:vAlign w:val="center"/>
            <w:hideMark/>
          </w:tcPr>
          <w:p w14:paraId="2F7E71FB" w14:textId="68526CAA" w:rsidR="00004996" w:rsidRPr="004B723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Ref.</w:t>
            </w:r>
          </w:p>
        </w:tc>
        <w:tc>
          <w:tcPr>
            <w:tcW w:w="0" w:type="auto"/>
            <w:noWrap/>
            <w:vAlign w:val="center"/>
            <w:hideMark/>
          </w:tcPr>
          <w:p w14:paraId="20E776D6" w14:textId="4475EC06" w:rsidR="00004996" w:rsidRPr="004B723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Ref.</w:t>
            </w:r>
          </w:p>
        </w:tc>
      </w:tr>
      <w:tr w:rsidR="00D53FD9" w:rsidRPr="004B723C" w14:paraId="67B1F82D" w14:textId="77777777" w:rsidTr="00004996">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624D6D3" w14:textId="77777777" w:rsidR="00004996" w:rsidRPr="004B723C" w:rsidRDefault="00004996" w:rsidP="007F3A2D">
            <w:pPr>
              <w:spacing w:line="360" w:lineRule="auto"/>
              <w:jc w:val="center"/>
              <w:rPr>
                <w:rFonts w:eastAsia="Times New Roman" w:cs="Times New Roman"/>
                <w:b/>
                <w:bCs/>
                <w:color w:val="000000"/>
                <w:sz w:val="18"/>
                <w:szCs w:val="18"/>
                <w:lang w:eastAsia="en-GB"/>
              </w:rPr>
            </w:pPr>
          </w:p>
        </w:tc>
        <w:tc>
          <w:tcPr>
            <w:tcW w:w="0" w:type="auto"/>
            <w:noWrap/>
            <w:vAlign w:val="center"/>
            <w:hideMark/>
          </w:tcPr>
          <w:p w14:paraId="2E525C1B" w14:textId="77777777" w:rsidR="00004996" w:rsidRPr="004B723C" w:rsidRDefault="0000499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No DSA, CMV+</w:t>
            </w:r>
          </w:p>
        </w:tc>
        <w:tc>
          <w:tcPr>
            <w:tcW w:w="0" w:type="auto"/>
            <w:noWrap/>
            <w:vAlign w:val="center"/>
            <w:hideMark/>
          </w:tcPr>
          <w:p w14:paraId="28A45087" w14:textId="77777777" w:rsidR="00004996" w:rsidRPr="004B723C" w:rsidRDefault="0000499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334/2,644</w:t>
            </w:r>
          </w:p>
        </w:tc>
        <w:tc>
          <w:tcPr>
            <w:tcW w:w="0" w:type="auto"/>
            <w:noWrap/>
            <w:vAlign w:val="center"/>
            <w:hideMark/>
          </w:tcPr>
          <w:p w14:paraId="42B200EB" w14:textId="77777777" w:rsidR="00004996" w:rsidRPr="004B723C" w:rsidRDefault="0000499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2.31 (1.69–3.15)</w:t>
            </w:r>
          </w:p>
        </w:tc>
        <w:tc>
          <w:tcPr>
            <w:tcW w:w="0" w:type="auto"/>
            <w:noWrap/>
            <w:vAlign w:val="center"/>
            <w:hideMark/>
          </w:tcPr>
          <w:p w14:paraId="41DA01DA" w14:textId="61FB9E5A" w:rsidR="00004996" w:rsidRPr="004B723C" w:rsidRDefault="00D53FD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sz w:val="18"/>
                <w:szCs w:val="18"/>
              </w:rPr>
              <w:t>1.44 × 10</w:t>
            </w:r>
            <w:r w:rsidRPr="004B723C">
              <w:rPr>
                <w:rFonts w:cs="Times New Roman"/>
                <w:sz w:val="18"/>
                <w:szCs w:val="18"/>
                <w:vertAlign w:val="superscript"/>
              </w:rPr>
              <w:t>-7</w:t>
            </w:r>
          </w:p>
        </w:tc>
        <w:tc>
          <w:tcPr>
            <w:tcW w:w="0" w:type="auto"/>
            <w:noWrap/>
            <w:vAlign w:val="center"/>
            <w:hideMark/>
          </w:tcPr>
          <w:p w14:paraId="1FA822B0" w14:textId="77777777" w:rsidR="00004996" w:rsidRPr="004B723C" w:rsidRDefault="0000499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331/2,632</w:t>
            </w:r>
          </w:p>
        </w:tc>
        <w:tc>
          <w:tcPr>
            <w:tcW w:w="0" w:type="auto"/>
            <w:noWrap/>
            <w:vAlign w:val="center"/>
            <w:hideMark/>
          </w:tcPr>
          <w:p w14:paraId="10478817" w14:textId="77777777" w:rsidR="00004996" w:rsidRPr="004B723C" w:rsidRDefault="0000499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2.22 (1.62–3.04)</w:t>
            </w:r>
          </w:p>
        </w:tc>
        <w:tc>
          <w:tcPr>
            <w:tcW w:w="0" w:type="auto"/>
            <w:noWrap/>
            <w:vAlign w:val="center"/>
            <w:hideMark/>
          </w:tcPr>
          <w:p w14:paraId="233C9F24" w14:textId="4FC62B29" w:rsidR="00004996" w:rsidRPr="004B723C" w:rsidRDefault="00D53FD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sz w:val="18"/>
                <w:szCs w:val="18"/>
              </w:rPr>
              <w:t>7.23 × 10</w:t>
            </w:r>
            <w:r w:rsidRPr="004B723C">
              <w:rPr>
                <w:rFonts w:cs="Times New Roman"/>
                <w:sz w:val="18"/>
                <w:szCs w:val="18"/>
                <w:vertAlign w:val="superscript"/>
              </w:rPr>
              <w:t>-7</w:t>
            </w:r>
          </w:p>
        </w:tc>
      </w:tr>
      <w:tr w:rsidR="00D53FD9" w:rsidRPr="004B723C" w14:paraId="14ECF26E" w14:textId="77777777" w:rsidTr="00004996">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18AB6DB" w14:textId="11CB2239" w:rsidR="00004996" w:rsidRPr="004B723C" w:rsidRDefault="00004996" w:rsidP="007F3A2D">
            <w:pPr>
              <w:spacing w:line="360" w:lineRule="auto"/>
              <w:jc w:val="center"/>
              <w:rPr>
                <w:rFonts w:eastAsia="Times New Roman" w:cs="Times New Roman"/>
                <w:b/>
                <w:bCs/>
                <w:color w:val="000000"/>
                <w:sz w:val="18"/>
                <w:szCs w:val="18"/>
                <w:lang w:eastAsia="en-GB"/>
              </w:rPr>
            </w:pPr>
          </w:p>
        </w:tc>
        <w:tc>
          <w:tcPr>
            <w:tcW w:w="0" w:type="auto"/>
            <w:noWrap/>
            <w:vAlign w:val="center"/>
            <w:hideMark/>
          </w:tcPr>
          <w:p w14:paraId="3195C79A" w14:textId="77777777" w:rsidR="00004996" w:rsidRPr="004B723C" w:rsidRDefault="0000499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DSA, CMV−</w:t>
            </w:r>
          </w:p>
        </w:tc>
        <w:tc>
          <w:tcPr>
            <w:tcW w:w="0" w:type="auto"/>
            <w:noWrap/>
            <w:vAlign w:val="center"/>
            <w:hideMark/>
          </w:tcPr>
          <w:p w14:paraId="5A1722D4" w14:textId="77777777" w:rsidR="00004996" w:rsidRPr="004B723C" w:rsidRDefault="0000499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21/60</w:t>
            </w:r>
          </w:p>
        </w:tc>
        <w:tc>
          <w:tcPr>
            <w:tcW w:w="0" w:type="auto"/>
            <w:noWrap/>
            <w:vAlign w:val="center"/>
            <w:hideMark/>
          </w:tcPr>
          <w:p w14:paraId="44A00E95" w14:textId="77777777" w:rsidR="00004996" w:rsidRPr="004B723C" w:rsidRDefault="0000499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6.50 (3.87–10.92)</w:t>
            </w:r>
          </w:p>
        </w:tc>
        <w:tc>
          <w:tcPr>
            <w:tcW w:w="0" w:type="auto"/>
            <w:noWrap/>
            <w:vAlign w:val="center"/>
            <w:hideMark/>
          </w:tcPr>
          <w:p w14:paraId="4B5C55BA" w14:textId="374EAACC" w:rsidR="00004996" w:rsidRPr="004B723C" w:rsidRDefault="00D53FD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sz w:val="18"/>
                <w:szCs w:val="18"/>
              </w:rPr>
              <w:t>1.41 × 10</w:t>
            </w:r>
            <w:r w:rsidRPr="004B723C">
              <w:rPr>
                <w:rFonts w:cs="Times New Roman"/>
                <w:sz w:val="18"/>
                <w:szCs w:val="18"/>
                <w:vertAlign w:val="superscript"/>
              </w:rPr>
              <w:t>-12</w:t>
            </w:r>
          </w:p>
        </w:tc>
        <w:tc>
          <w:tcPr>
            <w:tcW w:w="0" w:type="auto"/>
            <w:noWrap/>
            <w:vAlign w:val="center"/>
            <w:hideMark/>
          </w:tcPr>
          <w:p w14:paraId="44AC0AAE" w14:textId="77777777" w:rsidR="00004996" w:rsidRPr="004B723C" w:rsidRDefault="0000499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21/60</w:t>
            </w:r>
          </w:p>
        </w:tc>
        <w:tc>
          <w:tcPr>
            <w:tcW w:w="0" w:type="auto"/>
            <w:noWrap/>
            <w:vAlign w:val="center"/>
            <w:hideMark/>
          </w:tcPr>
          <w:p w14:paraId="17228F81" w14:textId="77777777" w:rsidR="00004996" w:rsidRPr="004B723C" w:rsidRDefault="0000499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4.87 (2.85–8.32)</w:t>
            </w:r>
          </w:p>
        </w:tc>
        <w:tc>
          <w:tcPr>
            <w:tcW w:w="0" w:type="auto"/>
            <w:noWrap/>
            <w:vAlign w:val="center"/>
            <w:hideMark/>
          </w:tcPr>
          <w:p w14:paraId="23E7F69F" w14:textId="622FEC5E" w:rsidR="00004996" w:rsidRPr="004B723C" w:rsidRDefault="00D53FD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sz w:val="18"/>
                <w:szCs w:val="18"/>
              </w:rPr>
              <w:t>6.76 × 10</w:t>
            </w:r>
            <w:r w:rsidRPr="004B723C">
              <w:rPr>
                <w:rFonts w:cs="Times New Roman"/>
                <w:sz w:val="18"/>
                <w:szCs w:val="18"/>
                <w:vertAlign w:val="superscript"/>
              </w:rPr>
              <w:t>-9</w:t>
            </w:r>
          </w:p>
        </w:tc>
      </w:tr>
      <w:tr w:rsidR="00D53FD9" w:rsidRPr="004B723C" w14:paraId="79EB68EF" w14:textId="77777777" w:rsidTr="00004996">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11D1012" w14:textId="77777777" w:rsidR="00004996" w:rsidRPr="004B723C" w:rsidRDefault="00004996" w:rsidP="007F3A2D">
            <w:pPr>
              <w:spacing w:line="360" w:lineRule="auto"/>
              <w:jc w:val="center"/>
              <w:rPr>
                <w:rFonts w:eastAsia="Times New Roman" w:cs="Times New Roman"/>
                <w:b/>
                <w:bCs/>
                <w:color w:val="000000"/>
                <w:sz w:val="18"/>
                <w:szCs w:val="18"/>
                <w:lang w:eastAsia="en-GB"/>
              </w:rPr>
            </w:pPr>
          </w:p>
        </w:tc>
        <w:tc>
          <w:tcPr>
            <w:tcW w:w="0" w:type="auto"/>
            <w:noWrap/>
            <w:vAlign w:val="center"/>
            <w:hideMark/>
          </w:tcPr>
          <w:p w14:paraId="32FE5F87" w14:textId="77777777" w:rsidR="00004996" w:rsidRPr="004B723C" w:rsidRDefault="0000499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DSA, CMV+</w:t>
            </w:r>
          </w:p>
        </w:tc>
        <w:tc>
          <w:tcPr>
            <w:tcW w:w="0" w:type="auto"/>
            <w:noWrap/>
            <w:vAlign w:val="center"/>
            <w:hideMark/>
          </w:tcPr>
          <w:p w14:paraId="63A3817A" w14:textId="77777777" w:rsidR="00004996" w:rsidRPr="004B723C" w:rsidRDefault="0000499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129/323</w:t>
            </w:r>
          </w:p>
        </w:tc>
        <w:tc>
          <w:tcPr>
            <w:tcW w:w="0" w:type="auto"/>
            <w:noWrap/>
            <w:vAlign w:val="center"/>
            <w:hideMark/>
          </w:tcPr>
          <w:p w14:paraId="12AB1172" w14:textId="77777777" w:rsidR="00004996" w:rsidRPr="004B723C" w:rsidRDefault="0000499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8.96 (6.37–12.59)</w:t>
            </w:r>
          </w:p>
        </w:tc>
        <w:tc>
          <w:tcPr>
            <w:tcW w:w="0" w:type="auto"/>
            <w:noWrap/>
            <w:vAlign w:val="center"/>
            <w:hideMark/>
          </w:tcPr>
          <w:p w14:paraId="47C8FA03" w14:textId="5D4DB443" w:rsidR="00004996" w:rsidRPr="004B723C" w:rsidRDefault="00D53FD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sz w:val="18"/>
                <w:szCs w:val="18"/>
              </w:rPr>
              <w:t>1.87 × 10</w:t>
            </w:r>
            <w:r w:rsidRPr="004B723C">
              <w:rPr>
                <w:rFonts w:cs="Times New Roman"/>
                <w:sz w:val="18"/>
                <w:szCs w:val="18"/>
                <w:vertAlign w:val="superscript"/>
              </w:rPr>
              <w:t>-36</w:t>
            </w:r>
          </w:p>
        </w:tc>
        <w:tc>
          <w:tcPr>
            <w:tcW w:w="0" w:type="auto"/>
            <w:noWrap/>
            <w:vAlign w:val="center"/>
            <w:hideMark/>
          </w:tcPr>
          <w:p w14:paraId="2A63B0E1" w14:textId="77777777" w:rsidR="00004996" w:rsidRPr="004B723C" w:rsidRDefault="0000499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129/322</w:t>
            </w:r>
          </w:p>
        </w:tc>
        <w:tc>
          <w:tcPr>
            <w:tcW w:w="0" w:type="auto"/>
            <w:noWrap/>
            <w:vAlign w:val="center"/>
            <w:hideMark/>
          </w:tcPr>
          <w:p w14:paraId="4D856434" w14:textId="77777777" w:rsidR="00004996" w:rsidRPr="004B723C" w:rsidRDefault="0000499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7.73 (5.36–11.17)</w:t>
            </w:r>
          </w:p>
        </w:tc>
        <w:tc>
          <w:tcPr>
            <w:tcW w:w="0" w:type="auto"/>
            <w:noWrap/>
            <w:vAlign w:val="center"/>
            <w:hideMark/>
          </w:tcPr>
          <w:p w14:paraId="11620F23" w14:textId="52682A6A" w:rsidR="00004996" w:rsidRPr="004B723C" w:rsidRDefault="00D53FD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sz w:val="18"/>
                <w:szCs w:val="18"/>
              </w:rPr>
              <w:t>9.70 × 10</w:t>
            </w:r>
            <w:r w:rsidRPr="004B723C">
              <w:rPr>
                <w:rFonts w:cs="Times New Roman"/>
                <w:sz w:val="18"/>
                <w:szCs w:val="18"/>
                <w:vertAlign w:val="superscript"/>
              </w:rPr>
              <w:t>-28</w:t>
            </w:r>
          </w:p>
        </w:tc>
      </w:tr>
      <w:tr w:rsidR="00D53FD9" w:rsidRPr="004B723C" w14:paraId="45F19D44" w14:textId="77777777" w:rsidTr="00004996">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7259401" w14:textId="42224662" w:rsidR="00004996" w:rsidRPr="004B723C" w:rsidRDefault="009B73F9" w:rsidP="007F3A2D">
            <w:pPr>
              <w:spacing w:line="360" w:lineRule="auto"/>
              <w:jc w:val="center"/>
              <w:rPr>
                <w:rFonts w:eastAsia="Times New Roman" w:cs="Times New Roman"/>
                <w:b/>
                <w:bCs/>
                <w:color w:val="000000"/>
                <w:sz w:val="18"/>
                <w:szCs w:val="18"/>
                <w:lang w:eastAsia="en-GB"/>
              </w:rPr>
            </w:pPr>
            <w:r>
              <w:rPr>
                <w:rFonts w:eastAsia="Times New Roman" w:cs="Times New Roman"/>
                <w:b/>
                <w:bCs/>
                <w:color w:val="000000"/>
                <w:sz w:val="18"/>
                <w:szCs w:val="18"/>
                <w:lang w:eastAsia="en-GB"/>
              </w:rPr>
              <w:t>Missing-self</w:t>
            </w:r>
            <w:r w:rsidR="00004996" w:rsidRPr="004B723C">
              <w:rPr>
                <w:rFonts w:eastAsia="Times New Roman" w:cs="Times New Roman"/>
                <w:b/>
                <w:bCs/>
                <w:color w:val="000000"/>
                <w:sz w:val="18"/>
                <w:szCs w:val="18"/>
                <w:lang w:eastAsia="en-GB"/>
              </w:rPr>
              <w:t xml:space="preserve"> and CMV status</w:t>
            </w:r>
          </w:p>
        </w:tc>
        <w:tc>
          <w:tcPr>
            <w:tcW w:w="0" w:type="auto"/>
            <w:noWrap/>
            <w:vAlign w:val="center"/>
            <w:hideMark/>
          </w:tcPr>
          <w:p w14:paraId="57ABDBE1" w14:textId="77777777" w:rsidR="00004996" w:rsidRPr="004B723C" w:rsidRDefault="0000499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MS&lt;2, CMV−</w:t>
            </w:r>
          </w:p>
        </w:tc>
        <w:tc>
          <w:tcPr>
            <w:tcW w:w="0" w:type="auto"/>
            <w:noWrap/>
            <w:vAlign w:val="center"/>
            <w:hideMark/>
          </w:tcPr>
          <w:p w14:paraId="771F27B1" w14:textId="77777777" w:rsidR="00004996" w:rsidRPr="004B723C" w:rsidRDefault="0000499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41/480</w:t>
            </w:r>
          </w:p>
        </w:tc>
        <w:tc>
          <w:tcPr>
            <w:tcW w:w="0" w:type="auto"/>
            <w:noWrap/>
            <w:vAlign w:val="center"/>
            <w:hideMark/>
          </w:tcPr>
          <w:p w14:paraId="0142B328" w14:textId="01301042" w:rsidR="00004996" w:rsidRPr="004B723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Ref.</w:t>
            </w:r>
          </w:p>
        </w:tc>
        <w:tc>
          <w:tcPr>
            <w:tcW w:w="0" w:type="auto"/>
            <w:noWrap/>
            <w:vAlign w:val="center"/>
            <w:hideMark/>
          </w:tcPr>
          <w:p w14:paraId="76DFB0C3" w14:textId="2BEC6F19" w:rsidR="00004996" w:rsidRPr="004B723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Ref.</w:t>
            </w:r>
          </w:p>
        </w:tc>
        <w:tc>
          <w:tcPr>
            <w:tcW w:w="0" w:type="auto"/>
            <w:noWrap/>
            <w:vAlign w:val="center"/>
            <w:hideMark/>
          </w:tcPr>
          <w:p w14:paraId="074FD504" w14:textId="77777777" w:rsidR="00004996" w:rsidRPr="004B723C" w:rsidRDefault="0000499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41/480</w:t>
            </w:r>
          </w:p>
        </w:tc>
        <w:tc>
          <w:tcPr>
            <w:tcW w:w="0" w:type="auto"/>
            <w:noWrap/>
            <w:vAlign w:val="center"/>
            <w:hideMark/>
          </w:tcPr>
          <w:p w14:paraId="1CAB9E7F" w14:textId="286ED1A0" w:rsidR="00004996" w:rsidRPr="004B723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Ref.</w:t>
            </w:r>
          </w:p>
        </w:tc>
        <w:tc>
          <w:tcPr>
            <w:tcW w:w="0" w:type="auto"/>
            <w:noWrap/>
            <w:vAlign w:val="center"/>
            <w:hideMark/>
          </w:tcPr>
          <w:p w14:paraId="7EEC2FC5" w14:textId="65C2BE37" w:rsidR="00004996" w:rsidRPr="004B723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Ref.</w:t>
            </w:r>
          </w:p>
        </w:tc>
      </w:tr>
      <w:tr w:rsidR="00D95BBA" w:rsidRPr="004B723C" w14:paraId="433B72DA" w14:textId="77777777" w:rsidTr="00004996">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12B078D" w14:textId="77777777" w:rsidR="00004996" w:rsidRPr="004B723C" w:rsidRDefault="00004996" w:rsidP="007F3A2D">
            <w:pPr>
              <w:spacing w:line="360" w:lineRule="auto"/>
              <w:jc w:val="center"/>
              <w:rPr>
                <w:rFonts w:eastAsia="Times New Roman" w:cs="Times New Roman"/>
                <w:b/>
                <w:bCs/>
                <w:color w:val="000000"/>
                <w:sz w:val="18"/>
                <w:szCs w:val="18"/>
                <w:lang w:eastAsia="en-GB"/>
              </w:rPr>
            </w:pPr>
          </w:p>
        </w:tc>
        <w:tc>
          <w:tcPr>
            <w:tcW w:w="0" w:type="auto"/>
            <w:noWrap/>
            <w:vAlign w:val="center"/>
            <w:hideMark/>
          </w:tcPr>
          <w:p w14:paraId="4ACDA1DC" w14:textId="77777777" w:rsidR="00004996" w:rsidRPr="004B723C" w:rsidRDefault="0000499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MS&lt;2, CMV+</w:t>
            </w:r>
          </w:p>
        </w:tc>
        <w:tc>
          <w:tcPr>
            <w:tcW w:w="0" w:type="auto"/>
            <w:noWrap/>
            <w:vAlign w:val="center"/>
            <w:hideMark/>
          </w:tcPr>
          <w:p w14:paraId="4DC75581" w14:textId="77777777" w:rsidR="00004996" w:rsidRPr="004B723C" w:rsidRDefault="0000499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235/1,350</w:t>
            </w:r>
          </w:p>
        </w:tc>
        <w:tc>
          <w:tcPr>
            <w:tcW w:w="0" w:type="auto"/>
            <w:noWrap/>
            <w:vAlign w:val="center"/>
            <w:hideMark/>
          </w:tcPr>
          <w:p w14:paraId="732814DF" w14:textId="77777777" w:rsidR="00004996" w:rsidRPr="004B723C" w:rsidRDefault="0000499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2.19 (1.57–3.05)</w:t>
            </w:r>
          </w:p>
        </w:tc>
        <w:tc>
          <w:tcPr>
            <w:tcW w:w="0" w:type="auto"/>
            <w:noWrap/>
            <w:vAlign w:val="center"/>
            <w:hideMark/>
          </w:tcPr>
          <w:p w14:paraId="63B59523" w14:textId="06FA0FC9" w:rsidR="00004996" w:rsidRPr="004B723C" w:rsidRDefault="00D53FD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3.58 × 10</w:t>
            </w:r>
            <w:r w:rsidRPr="004B723C">
              <w:rPr>
                <w:rFonts w:cs="Times New Roman"/>
                <w:color w:val="000000"/>
                <w:sz w:val="18"/>
                <w:szCs w:val="18"/>
                <w:vertAlign w:val="superscript"/>
              </w:rPr>
              <w:t>-6</w:t>
            </w:r>
          </w:p>
        </w:tc>
        <w:tc>
          <w:tcPr>
            <w:tcW w:w="0" w:type="auto"/>
            <w:noWrap/>
            <w:vAlign w:val="center"/>
            <w:hideMark/>
          </w:tcPr>
          <w:p w14:paraId="272AA7FB" w14:textId="77777777" w:rsidR="00004996" w:rsidRPr="004B723C" w:rsidRDefault="0000499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235/1,350</w:t>
            </w:r>
          </w:p>
        </w:tc>
        <w:tc>
          <w:tcPr>
            <w:tcW w:w="0" w:type="auto"/>
            <w:noWrap/>
            <w:vAlign w:val="center"/>
            <w:hideMark/>
          </w:tcPr>
          <w:p w14:paraId="2A7B0301" w14:textId="77777777" w:rsidR="00004996" w:rsidRPr="004B723C" w:rsidRDefault="0000499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1.92 (1.37–2.68)</w:t>
            </w:r>
          </w:p>
        </w:tc>
        <w:tc>
          <w:tcPr>
            <w:tcW w:w="0" w:type="auto"/>
            <w:noWrap/>
            <w:vAlign w:val="center"/>
            <w:hideMark/>
          </w:tcPr>
          <w:p w14:paraId="4C2F0764" w14:textId="57AFDDA4" w:rsidR="00004996" w:rsidRPr="004B723C" w:rsidRDefault="00D53FD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sz w:val="18"/>
                <w:szCs w:val="18"/>
              </w:rPr>
              <w:t>1.36 × 10</w:t>
            </w:r>
            <w:r w:rsidRPr="004B723C">
              <w:rPr>
                <w:rFonts w:cs="Times New Roman"/>
                <w:sz w:val="18"/>
                <w:szCs w:val="18"/>
                <w:vertAlign w:val="superscript"/>
              </w:rPr>
              <w:t>-4</w:t>
            </w:r>
          </w:p>
        </w:tc>
      </w:tr>
      <w:tr w:rsidR="00D95BBA" w:rsidRPr="004B723C" w14:paraId="62645420" w14:textId="77777777" w:rsidTr="00004996">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AB1E1C5" w14:textId="77777777" w:rsidR="00004996" w:rsidRPr="004B723C" w:rsidRDefault="00004996" w:rsidP="007F3A2D">
            <w:pPr>
              <w:spacing w:line="360" w:lineRule="auto"/>
              <w:jc w:val="center"/>
              <w:rPr>
                <w:rFonts w:eastAsia="Times New Roman" w:cs="Times New Roman"/>
                <w:b/>
                <w:bCs/>
                <w:color w:val="000000"/>
                <w:sz w:val="18"/>
                <w:szCs w:val="18"/>
                <w:lang w:eastAsia="en-GB"/>
              </w:rPr>
            </w:pPr>
          </w:p>
        </w:tc>
        <w:tc>
          <w:tcPr>
            <w:tcW w:w="0" w:type="auto"/>
            <w:noWrap/>
            <w:vAlign w:val="center"/>
            <w:hideMark/>
          </w:tcPr>
          <w:p w14:paraId="752F34D4" w14:textId="77777777" w:rsidR="00004996" w:rsidRPr="004B723C" w:rsidRDefault="0000499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MS≥2, CMV−</w:t>
            </w:r>
          </w:p>
        </w:tc>
        <w:tc>
          <w:tcPr>
            <w:tcW w:w="0" w:type="auto"/>
            <w:noWrap/>
            <w:vAlign w:val="center"/>
            <w:hideMark/>
          </w:tcPr>
          <w:p w14:paraId="2F0AA94B" w14:textId="77777777" w:rsidR="00004996" w:rsidRPr="004B723C" w:rsidRDefault="0000499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13/83</w:t>
            </w:r>
          </w:p>
        </w:tc>
        <w:tc>
          <w:tcPr>
            <w:tcW w:w="0" w:type="auto"/>
            <w:noWrap/>
            <w:vAlign w:val="center"/>
            <w:hideMark/>
          </w:tcPr>
          <w:p w14:paraId="470D7AE3" w14:textId="77777777" w:rsidR="00004996" w:rsidRPr="004B723C" w:rsidRDefault="0000499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2.03 (1.09–3.78)</w:t>
            </w:r>
          </w:p>
        </w:tc>
        <w:tc>
          <w:tcPr>
            <w:tcW w:w="0" w:type="auto"/>
            <w:noWrap/>
            <w:vAlign w:val="center"/>
            <w:hideMark/>
          </w:tcPr>
          <w:p w14:paraId="6B302BBB" w14:textId="122F745E" w:rsidR="00004996" w:rsidRPr="004B723C" w:rsidRDefault="0000499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0.027</w:t>
            </w:r>
          </w:p>
        </w:tc>
        <w:tc>
          <w:tcPr>
            <w:tcW w:w="0" w:type="auto"/>
            <w:noWrap/>
            <w:vAlign w:val="center"/>
            <w:hideMark/>
          </w:tcPr>
          <w:p w14:paraId="5BBED4DC" w14:textId="77777777" w:rsidR="00004996" w:rsidRPr="004B723C" w:rsidRDefault="0000499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13/83</w:t>
            </w:r>
          </w:p>
        </w:tc>
        <w:tc>
          <w:tcPr>
            <w:tcW w:w="0" w:type="auto"/>
            <w:noWrap/>
            <w:vAlign w:val="center"/>
            <w:hideMark/>
          </w:tcPr>
          <w:p w14:paraId="42F8E0A0" w14:textId="77777777" w:rsidR="00004996" w:rsidRPr="004B723C" w:rsidRDefault="0000499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1.74 (0.92–3.26)</w:t>
            </w:r>
          </w:p>
        </w:tc>
        <w:tc>
          <w:tcPr>
            <w:tcW w:w="0" w:type="auto"/>
            <w:noWrap/>
            <w:vAlign w:val="center"/>
            <w:hideMark/>
          </w:tcPr>
          <w:p w14:paraId="60CE38C2" w14:textId="25ADFACE" w:rsidR="00004996" w:rsidRPr="004B723C" w:rsidRDefault="0000499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sz w:val="18"/>
                <w:szCs w:val="18"/>
              </w:rPr>
              <w:t>0.087</w:t>
            </w:r>
          </w:p>
        </w:tc>
      </w:tr>
      <w:tr w:rsidR="00D95BBA" w:rsidRPr="004B723C" w14:paraId="2B068F5B" w14:textId="77777777" w:rsidTr="00004996">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DFC2DCF" w14:textId="38EC9B7B" w:rsidR="00004996" w:rsidRPr="004B723C" w:rsidRDefault="00004996" w:rsidP="007F3A2D">
            <w:pPr>
              <w:spacing w:line="360" w:lineRule="auto"/>
              <w:jc w:val="center"/>
              <w:rPr>
                <w:rFonts w:eastAsia="Times New Roman" w:cs="Times New Roman"/>
                <w:b/>
                <w:bCs/>
                <w:color w:val="000000"/>
                <w:sz w:val="18"/>
                <w:szCs w:val="18"/>
                <w:lang w:eastAsia="en-GB"/>
              </w:rPr>
            </w:pPr>
          </w:p>
        </w:tc>
        <w:tc>
          <w:tcPr>
            <w:tcW w:w="0" w:type="auto"/>
            <w:noWrap/>
            <w:vAlign w:val="center"/>
            <w:hideMark/>
          </w:tcPr>
          <w:p w14:paraId="0E764468" w14:textId="77777777" w:rsidR="00004996" w:rsidRPr="004B723C" w:rsidRDefault="0000499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MS≥2, CMV+</w:t>
            </w:r>
          </w:p>
        </w:tc>
        <w:tc>
          <w:tcPr>
            <w:tcW w:w="0" w:type="auto"/>
            <w:noWrap/>
            <w:vAlign w:val="center"/>
            <w:hideMark/>
          </w:tcPr>
          <w:p w14:paraId="6A2AF3F7" w14:textId="77777777" w:rsidR="00004996" w:rsidRPr="004B723C" w:rsidRDefault="0000499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57/218</w:t>
            </w:r>
          </w:p>
        </w:tc>
        <w:tc>
          <w:tcPr>
            <w:tcW w:w="0" w:type="auto"/>
            <w:noWrap/>
            <w:vAlign w:val="center"/>
            <w:hideMark/>
          </w:tcPr>
          <w:p w14:paraId="0CDE2EB0" w14:textId="77777777" w:rsidR="00004996" w:rsidRPr="004B723C" w:rsidRDefault="0000499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3.56 (2.38–5.32)</w:t>
            </w:r>
          </w:p>
        </w:tc>
        <w:tc>
          <w:tcPr>
            <w:tcW w:w="0" w:type="auto"/>
            <w:noWrap/>
            <w:vAlign w:val="center"/>
            <w:hideMark/>
          </w:tcPr>
          <w:p w14:paraId="42B1D541" w14:textId="2EEF9749" w:rsidR="00004996" w:rsidRPr="004B723C" w:rsidRDefault="00D53FD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5.68 × 10</w:t>
            </w:r>
            <w:r w:rsidRPr="004B723C">
              <w:rPr>
                <w:rFonts w:cs="Times New Roman"/>
                <w:color w:val="000000"/>
                <w:sz w:val="18"/>
                <w:szCs w:val="18"/>
                <w:vertAlign w:val="superscript"/>
              </w:rPr>
              <w:t>-10</w:t>
            </w:r>
          </w:p>
        </w:tc>
        <w:tc>
          <w:tcPr>
            <w:tcW w:w="0" w:type="auto"/>
            <w:noWrap/>
            <w:vAlign w:val="center"/>
            <w:hideMark/>
          </w:tcPr>
          <w:p w14:paraId="5CAA4DD3" w14:textId="77777777" w:rsidR="00004996" w:rsidRPr="004B723C" w:rsidRDefault="0000499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57/218</w:t>
            </w:r>
          </w:p>
        </w:tc>
        <w:tc>
          <w:tcPr>
            <w:tcW w:w="0" w:type="auto"/>
            <w:noWrap/>
            <w:vAlign w:val="center"/>
            <w:hideMark/>
          </w:tcPr>
          <w:p w14:paraId="0C787AB6" w14:textId="77777777" w:rsidR="00004996" w:rsidRPr="004B723C" w:rsidRDefault="0000499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3.17 (2.11–4.76)</w:t>
            </w:r>
          </w:p>
        </w:tc>
        <w:tc>
          <w:tcPr>
            <w:tcW w:w="0" w:type="auto"/>
            <w:noWrap/>
            <w:vAlign w:val="center"/>
            <w:hideMark/>
          </w:tcPr>
          <w:p w14:paraId="0508508B" w14:textId="7E230488" w:rsidR="00004996" w:rsidRPr="004B723C" w:rsidRDefault="00D53FD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sz w:val="18"/>
                <w:szCs w:val="18"/>
              </w:rPr>
              <w:t>2.99 × 10</w:t>
            </w:r>
            <w:r w:rsidRPr="004B723C">
              <w:rPr>
                <w:rFonts w:cs="Times New Roman"/>
                <w:sz w:val="18"/>
                <w:szCs w:val="18"/>
                <w:vertAlign w:val="superscript"/>
              </w:rPr>
              <w:t>-8</w:t>
            </w:r>
          </w:p>
        </w:tc>
      </w:tr>
    </w:tbl>
    <w:p w14:paraId="6FDDB8B2" w14:textId="7342CF4C" w:rsidR="00965284" w:rsidRPr="004B723C" w:rsidRDefault="00965284" w:rsidP="00965284">
      <w:pPr>
        <w:spacing w:before="240" w:line="360" w:lineRule="auto"/>
      </w:pPr>
      <w:r w:rsidRPr="004B723C">
        <w:t xml:space="preserve">Values are hazard ratios (HRs) with 95% confidence intervals (CIs) from univariable and multivariable Cox proportional-hazards models. CMV+ denotes any CMV-exposed donor–recipient combination (D+/R+, D+/R–, or D–/R+). Univariable and multivariable models for CMV and HLA–DSA status included 3,709 transplants with 529 events and 3,693 transplants with 526 events, respectively. Corresponding models for CMV and </w:t>
      </w:r>
      <w:r w:rsidR="009B73F9">
        <w:t>missing-self</w:t>
      </w:r>
      <w:r w:rsidRPr="004B723C">
        <w:t xml:space="preserve"> included 2,131 transplants and 346 events. Events per subgroup are shown as n/N, where n is the number of events and N the number of participants with non-missing data. Multivariable models were adjusted for recipient age and sex, donor age and type (living, donation after circulatory death, donation after brain death), repeat transplantation, calendar year of transplantation, HLA mismatch, cold </w:t>
      </w:r>
      <w:r w:rsidR="00503B56" w:rsidRPr="004B723C">
        <w:t>ischemia</w:t>
      </w:r>
      <w:r w:rsidRPr="004B723C">
        <w:t xml:space="preserve"> time, and transplant </w:t>
      </w:r>
      <w:r w:rsidR="00503B56" w:rsidRPr="004B723C">
        <w:t>center</w:t>
      </w:r>
      <w:r w:rsidRPr="004B723C">
        <w:t>.</w:t>
      </w:r>
    </w:p>
    <w:p w14:paraId="280381A5" w14:textId="517BDE12" w:rsidR="00965284" w:rsidRPr="004B723C" w:rsidRDefault="00965284" w:rsidP="00965284">
      <w:pPr>
        <w:spacing w:before="240" w:line="360" w:lineRule="auto"/>
      </w:pPr>
      <w:r w:rsidRPr="004B723C">
        <w:t xml:space="preserve">Abbreviations: CMV, cytomegalovirus; D, donor; DSA, donor-specific antibody; HLA, human leukocyte antigen; R, recipient; </w:t>
      </w:r>
      <w:r w:rsidR="00D45F56" w:rsidRPr="004B723C">
        <w:t>Ref.</w:t>
      </w:r>
      <w:r w:rsidRPr="004B723C">
        <w:t>, reference.</w:t>
      </w:r>
    </w:p>
    <w:p w14:paraId="63D032F6" w14:textId="77777777" w:rsidR="00A22CD3" w:rsidRPr="004B723C" w:rsidRDefault="00A22CD3" w:rsidP="007F3A2D">
      <w:pPr>
        <w:spacing w:line="360" w:lineRule="auto"/>
      </w:pPr>
    </w:p>
    <w:p w14:paraId="143CAE42" w14:textId="3FFC5957" w:rsidR="008F2DD5" w:rsidRPr="004B723C" w:rsidRDefault="008F2DD5" w:rsidP="007F3A2D">
      <w:pPr>
        <w:spacing w:line="360" w:lineRule="auto"/>
        <w:sectPr w:rsidR="008F2DD5" w:rsidRPr="004B723C" w:rsidSect="00380509">
          <w:pgSz w:w="16838" w:h="11906" w:orient="landscape"/>
          <w:pgMar w:top="1417" w:right="1417" w:bottom="1417" w:left="1417" w:header="708" w:footer="708" w:gutter="0"/>
          <w:cols w:space="708"/>
          <w:docGrid w:linePitch="360"/>
        </w:sectPr>
      </w:pPr>
    </w:p>
    <w:p w14:paraId="5E2CEE4E" w14:textId="5EA2D4CB" w:rsidR="00546B65" w:rsidRPr="004B723C" w:rsidRDefault="001D2B76" w:rsidP="007F3A2D">
      <w:pPr>
        <w:pStyle w:val="Heading2"/>
        <w:spacing w:line="360" w:lineRule="auto"/>
        <w:rPr>
          <w:rFonts w:cs="Times New Roman"/>
          <w:sz w:val="22"/>
        </w:rPr>
      </w:pPr>
      <w:bookmarkStart w:id="10" w:name="_Toc216645093"/>
      <w:r w:rsidRPr="004B723C">
        <w:rPr>
          <w:rFonts w:cs="Times New Roman"/>
          <w:sz w:val="22"/>
          <w:szCs w:val="22"/>
        </w:rPr>
        <w:lastRenderedPageBreak/>
        <w:t xml:space="preserve">Table </w:t>
      </w:r>
      <w:r w:rsidR="00267FED" w:rsidRPr="004B723C">
        <w:rPr>
          <w:rFonts w:cs="Times New Roman"/>
          <w:sz w:val="22"/>
          <w:szCs w:val="22"/>
        </w:rPr>
        <w:t>S8</w:t>
      </w:r>
      <w:r w:rsidRPr="004B723C">
        <w:rPr>
          <w:rFonts w:cs="Times New Roman"/>
          <w:sz w:val="22"/>
          <w:szCs w:val="22"/>
        </w:rPr>
        <w:t xml:space="preserve">: </w:t>
      </w:r>
      <w:r w:rsidR="00546B65" w:rsidRPr="004B723C">
        <w:rPr>
          <w:rFonts w:cs="Times New Roman"/>
          <w:sz w:val="22"/>
          <w:szCs w:val="22"/>
        </w:rPr>
        <w:t>Cox proportional hazards models for</w:t>
      </w:r>
      <w:r w:rsidR="00663206" w:rsidRPr="004B723C">
        <w:rPr>
          <w:rFonts w:cs="Times New Roman"/>
          <w:sz w:val="22"/>
          <w:szCs w:val="22"/>
        </w:rPr>
        <w:t xml:space="preserve"> CMV serostatus and</w:t>
      </w:r>
      <w:r w:rsidR="00546B65" w:rsidRPr="004B723C">
        <w:rPr>
          <w:rFonts w:cs="Times New Roman"/>
          <w:sz w:val="22"/>
          <w:szCs w:val="22"/>
        </w:rPr>
        <w:t xml:space="preserve"> first DSA-negative, C4d-negative MVI</w:t>
      </w:r>
      <w:bookmarkEnd w:id="10"/>
    </w:p>
    <w:tbl>
      <w:tblPr>
        <w:tblStyle w:val="Nature"/>
        <w:tblW w:w="0" w:type="auto"/>
        <w:jc w:val="center"/>
        <w:tblLayout w:type="fixed"/>
        <w:tblLook w:val="04A0" w:firstRow="1" w:lastRow="0" w:firstColumn="1" w:lastColumn="0" w:noHBand="0" w:noVBand="1"/>
      </w:tblPr>
      <w:tblGrid>
        <w:gridCol w:w="2258"/>
        <w:gridCol w:w="851"/>
        <w:gridCol w:w="992"/>
        <w:gridCol w:w="992"/>
        <w:gridCol w:w="1418"/>
        <w:gridCol w:w="1134"/>
        <w:gridCol w:w="992"/>
        <w:gridCol w:w="1418"/>
        <w:gridCol w:w="1417"/>
        <w:gridCol w:w="1387"/>
      </w:tblGrid>
      <w:tr w:rsidR="00A64C90" w:rsidRPr="005707BC" w14:paraId="2C03E5CD" w14:textId="77777777" w:rsidTr="00B20FEC">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58" w:type="dxa"/>
            <w:noWrap/>
            <w:vAlign w:val="center"/>
            <w:hideMark/>
          </w:tcPr>
          <w:p w14:paraId="73B58157" w14:textId="6606468D" w:rsidR="00546B65" w:rsidRPr="005707BC" w:rsidRDefault="00B20FEC" w:rsidP="0025243F">
            <w:pPr>
              <w:spacing w:line="360" w:lineRule="auto"/>
              <w:jc w:val="center"/>
              <w:rPr>
                <w:rFonts w:eastAsia="Times New Roman" w:cs="Times New Roman"/>
                <w:b/>
                <w:bCs/>
                <w:iCs w:val="0"/>
                <w:color w:val="000000"/>
                <w:sz w:val="18"/>
                <w:szCs w:val="18"/>
                <w:lang w:eastAsia="en-GB"/>
              </w:rPr>
            </w:pPr>
            <w:r>
              <w:rPr>
                <w:rFonts w:eastAsia="Times New Roman" w:cs="Times New Roman"/>
                <w:b/>
                <w:bCs/>
                <w:color w:val="000000"/>
                <w:sz w:val="18"/>
                <w:szCs w:val="18"/>
                <w:lang w:eastAsia="en-GB"/>
              </w:rPr>
              <w:t>Factors</w:t>
            </w:r>
          </w:p>
        </w:tc>
        <w:tc>
          <w:tcPr>
            <w:tcW w:w="851" w:type="dxa"/>
            <w:noWrap/>
            <w:vAlign w:val="center"/>
            <w:hideMark/>
          </w:tcPr>
          <w:p w14:paraId="152FCBC3" w14:textId="77777777" w:rsidR="00546B65" w:rsidRPr="005707BC" w:rsidRDefault="00546B65" w:rsidP="0025243F">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iCs w:val="0"/>
                <w:color w:val="000000"/>
                <w:sz w:val="18"/>
                <w:szCs w:val="18"/>
                <w:lang w:eastAsia="en-GB"/>
              </w:rPr>
            </w:pPr>
            <w:r w:rsidRPr="005707BC">
              <w:rPr>
                <w:rFonts w:eastAsia="Times New Roman" w:cs="Times New Roman"/>
                <w:b/>
                <w:bCs/>
                <w:color w:val="000000"/>
                <w:sz w:val="18"/>
                <w:szCs w:val="18"/>
                <w:lang w:eastAsia="en-GB"/>
              </w:rPr>
              <w:t>Level</w:t>
            </w:r>
          </w:p>
        </w:tc>
        <w:tc>
          <w:tcPr>
            <w:tcW w:w="992" w:type="dxa"/>
            <w:noWrap/>
            <w:vAlign w:val="center"/>
            <w:hideMark/>
          </w:tcPr>
          <w:p w14:paraId="65A8B3B5" w14:textId="60190A52" w:rsidR="00546B65" w:rsidRPr="005707BC" w:rsidRDefault="00546B65" w:rsidP="0025243F">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iCs w:val="0"/>
                <w:color w:val="000000"/>
                <w:sz w:val="18"/>
                <w:szCs w:val="18"/>
                <w:lang w:eastAsia="en-GB"/>
              </w:rPr>
            </w:pPr>
            <w:r w:rsidRPr="005707BC">
              <w:rPr>
                <w:rFonts w:eastAsia="Times New Roman" w:cs="Times New Roman"/>
                <w:b/>
                <w:bCs/>
                <w:color w:val="000000"/>
                <w:sz w:val="18"/>
                <w:szCs w:val="18"/>
                <w:lang w:eastAsia="en-GB"/>
              </w:rPr>
              <w:t>Events/</w:t>
            </w:r>
            <w:r w:rsidRPr="005707BC">
              <w:rPr>
                <w:rFonts w:eastAsia="Times New Roman" w:cs="Times New Roman"/>
                <w:b/>
                <w:bCs/>
                <w:color w:val="000000"/>
                <w:sz w:val="18"/>
                <w:szCs w:val="18"/>
                <w:lang w:eastAsia="en-GB"/>
              </w:rPr>
              <w:br/>
              <w:t xml:space="preserve">N </w:t>
            </w:r>
            <w:r w:rsidR="00503B56" w:rsidRPr="005707BC">
              <w:rPr>
                <w:rFonts w:eastAsia="Times New Roman" w:cs="Times New Roman"/>
                <w:b/>
                <w:bCs/>
                <w:color w:val="000000"/>
                <w:sz w:val="18"/>
                <w:szCs w:val="18"/>
                <w:lang w:eastAsia="en-GB"/>
              </w:rPr>
              <w:t>analyzed</w:t>
            </w:r>
          </w:p>
        </w:tc>
        <w:tc>
          <w:tcPr>
            <w:tcW w:w="992" w:type="dxa"/>
            <w:noWrap/>
            <w:vAlign w:val="center"/>
            <w:hideMark/>
          </w:tcPr>
          <w:p w14:paraId="1403059E" w14:textId="77777777" w:rsidR="00546B65" w:rsidRPr="005707BC" w:rsidRDefault="00546B65" w:rsidP="0025243F">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iCs w:val="0"/>
                <w:color w:val="000000"/>
                <w:sz w:val="18"/>
                <w:szCs w:val="18"/>
                <w:lang w:eastAsia="en-GB"/>
              </w:rPr>
            </w:pPr>
            <w:r w:rsidRPr="005707BC">
              <w:rPr>
                <w:rFonts w:eastAsia="Times New Roman" w:cs="Times New Roman"/>
                <w:b/>
                <w:bCs/>
                <w:color w:val="000000"/>
                <w:sz w:val="18"/>
                <w:szCs w:val="18"/>
                <w:lang w:eastAsia="en-GB"/>
              </w:rPr>
              <w:t>Events (group)/</w:t>
            </w:r>
            <w:r w:rsidRPr="005707BC">
              <w:rPr>
                <w:rFonts w:eastAsia="Times New Roman" w:cs="Times New Roman"/>
                <w:b/>
                <w:bCs/>
                <w:color w:val="000000"/>
                <w:sz w:val="18"/>
                <w:szCs w:val="18"/>
                <w:lang w:eastAsia="en-GB"/>
              </w:rPr>
              <w:br/>
              <w:t>N (group)</w:t>
            </w:r>
          </w:p>
        </w:tc>
        <w:tc>
          <w:tcPr>
            <w:tcW w:w="1418" w:type="dxa"/>
            <w:noWrap/>
            <w:vAlign w:val="center"/>
            <w:hideMark/>
          </w:tcPr>
          <w:p w14:paraId="52FB303A" w14:textId="77777777" w:rsidR="00546B65" w:rsidRPr="005707BC" w:rsidRDefault="00546B65" w:rsidP="0025243F">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iCs w:val="0"/>
                <w:color w:val="000000"/>
                <w:sz w:val="18"/>
                <w:szCs w:val="18"/>
                <w:lang w:eastAsia="en-GB"/>
              </w:rPr>
            </w:pPr>
            <w:r w:rsidRPr="005707BC">
              <w:rPr>
                <w:rFonts w:eastAsia="Times New Roman" w:cs="Times New Roman"/>
                <w:b/>
                <w:bCs/>
                <w:color w:val="000000"/>
                <w:sz w:val="18"/>
                <w:szCs w:val="18"/>
                <w:lang w:eastAsia="en-GB"/>
              </w:rPr>
              <w:t>HR</w:t>
            </w:r>
            <w:r w:rsidRPr="005707BC">
              <w:rPr>
                <w:rFonts w:eastAsia="Times New Roman" w:cs="Times New Roman"/>
                <w:b/>
                <w:bCs/>
                <w:color w:val="000000"/>
                <w:sz w:val="18"/>
                <w:szCs w:val="18"/>
                <w:lang w:eastAsia="en-GB"/>
              </w:rPr>
              <w:br/>
              <w:t>(95% CI)</w:t>
            </w:r>
          </w:p>
        </w:tc>
        <w:tc>
          <w:tcPr>
            <w:tcW w:w="1134" w:type="dxa"/>
            <w:noWrap/>
            <w:vAlign w:val="center"/>
            <w:hideMark/>
          </w:tcPr>
          <w:p w14:paraId="0975F2E5" w14:textId="7779FA17" w:rsidR="00546B65" w:rsidRPr="005707BC" w:rsidRDefault="00B20FEC" w:rsidP="0025243F">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iCs w:val="0"/>
                <w:color w:val="000000"/>
                <w:sz w:val="18"/>
                <w:szCs w:val="18"/>
                <w:lang w:eastAsia="en-GB"/>
              </w:rPr>
            </w:pPr>
            <w:r>
              <w:rPr>
                <w:rFonts w:eastAsia="Times New Roman" w:cs="Times New Roman"/>
                <w:b/>
                <w:bCs/>
                <w:color w:val="000000"/>
                <w:sz w:val="18"/>
                <w:szCs w:val="18"/>
                <w:lang w:eastAsia="en-GB"/>
              </w:rPr>
              <w:t xml:space="preserve">P </w:t>
            </w:r>
            <w:r w:rsidR="00546B65" w:rsidRPr="005707BC">
              <w:rPr>
                <w:rFonts w:eastAsia="Times New Roman" w:cs="Times New Roman"/>
                <w:b/>
                <w:bCs/>
                <w:color w:val="000000"/>
                <w:sz w:val="18"/>
                <w:szCs w:val="18"/>
                <w:lang w:eastAsia="en-GB"/>
              </w:rPr>
              <w:t>value</w:t>
            </w:r>
          </w:p>
        </w:tc>
        <w:tc>
          <w:tcPr>
            <w:tcW w:w="992" w:type="dxa"/>
            <w:vAlign w:val="center"/>
          </w:tcPr>
          <w:p w14:paraId="0CF3FC28" w14:textId="13203C5F" w:rsidR="00546B65" w:rsidRPr="005707BC" w:rsidRDefault="00546B65" w:rsidP="0025243F">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iCs w:val="0"/>
                <w:color w:val="000000"/>
                <w:sz w:val="18"/>
                <w:szCs w:val="18"/>
                <w:lang w:eastAsia="en-GB"/>
              </w:rPr>
            </w:pPr>
            <w:r w:rsidRPr="005707BC">
              <w:rPr>
                <w:rFonts w:eastAsia="Times New Roman" w:cs="Times New Roman"/>
                <w:b/>
                <w:bCs/>
                <w:color w:val="000000"/>
                <w:sz w:val="18"/>
                <w:szCs w:val="18"/>
                <w:lang w:eastAsia="en-GB"/>
              </w:rPr>
              <w:t>Events/</w:t>
            </w:r>
            <w:r w:rsidRPr="005707BC">
              <w:rPr>
                <w:rFonts w:eastAsia="Times New Roman" w:cs="Times New Roman"/>
                <w:b/>
                <w:bCs/>
                <w:color w:val="000000"/>
                <w:sz w:val="18"/>
                <w:szCs w:val="18"/>
                <w:lang w:eastAsia="en-GB"/>
              </w:rPr>
              <w:br/>
              <w:t xml:space="preserve">N </w:t>
            </w:r>
            <w:r w:rsidR="00503B56" w:rsidRPr="005707BC">
              <w:rPr>
                <w:rFonts w:eastAsia="Times New Roman" w:cs="Times New Roman"/>
                <w:b/>
                <w:bCs/>
                <w:color w:val="000000"/>
                <w:sz w:val="18"/>
                <w:szCs w:val="18"/>
                <w:lang w:eastAsia="en-GB"/>
              </w:rPr>
              <w:t>analyzed</w:t>
            </w:r>
          </w:p>
        </w:tc>
        <w:tc>
          <w:tcPr>
            <w:tcW w:w="1418" w:type="dxa"/>
            <w:vAlign w:val="center"/>
          </w:tcPr>
          <w:p w14:paraId="071D5085" w14:textId="77777777" w:rsidR="00546B65" w:rsidRPr="005707BC" w:rsidRDefault="00546B65" w:rsidP="0025243F">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iCs w:val="0"/>
                <w:color w:val="000000"/>
                <w:sz w:val="18"/>
                <w:szCs w:val="18"/>
                <w:lang w:eastAsia="en-GB"/>
              </w:rPr>
            </w:pPr>
            <w:r w:rsidRPr="005707BC">
              <w:rPr>
                <w:rFonts w:eastAsia="Times New Roman" w:cs="Times New Roman"/>
                <w:b/>
                <w:bCs/>
                <w:color w:val="000000"/>
                <w:sz w:val="18"/>
                <w:szCs w:val="18"/>
                <w:lang w:eastAsia="en-GB"/>
              </w:rPr>
              <w:t>Events (group)/</w:t>
            </w:r>
            <w:r w:rsidRPr="005707BC">
              <w:rPr>
                <w:rFonts w:eastAsia="Times New Roman" w:cs="Times New Roman"/>
                <w:b/>
                <w:bCs/>
                <w:color w:val="000000"/>
                <w:sz w:val="18"/>
                <w:szCs w:val="18"/>
                <w:lang w:eastAsia="en-GB"/>
              </w:rPr>
              <w:br/>
              <w:t>N (group)</w:t>
            </w:r>
          </w:p>
        </w:tc>
        <w:tc>
          <w:tcPr>
            <w:tcW w:w="1417" w:type="dxa"/>
            <w:noWrap/>
            <w:vAlign w:val="center"/>
            <w:hideMark/>
          </w:tcPr>
          <w:p w14:paraId="0AA6A475" w14:textId="77777777" w:rsidR="00546B65" w:rsidRPr="005707BC" w:rsidRDefault="00546B65" w:rsidP="0025243F">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iCs w:val="0"/>
                <w:color w:val="000000"/>
                <w:sz w:val="18"/>
                <w:szCs w:val="18"/>
                <w:lang w:eastAsia="en-GB"/>
              </w:rPr>
            </w:pPr>
            <w:r w:rsidRPr="005707BC">
              <w:rPr>
                <w:rFonts w:eastAsia="Times New Roman" w:cs="Times New Roman"/>
                <w:b/>
                <w:bCs/>
                <w:color w:val="000000"/>
                <w:sz w:val="18"/>
                <w:szCs w:val="18"/>
                <w:lang w:eastAsia="en-GB"/>
              </w:rPr>
              <w:t>Adjusted HR</w:t>
            </w:r>
            <w:r w:rsidRPr="005707BC">
              <w:rPr>
                <w:rFonts w:eastAsia="Times New Roman" w:cs="Times New Roman"/>
                <w:b/>
                <w:bCs/>
                <w:color w:val="000000"/>
                <w:sz w:val="18"/>
                <w:szCs w:val="18"/>
                <w:lang w:eastAsia="en-GB"/>
              </w:rPr>
              <w:br/>
              <w:t>(95% CI)</w:t>
            </w:r>
          </w:p>
        </w:tc>
        <w:tc>
          <w:tcPr>
            <w:tcW w:w="1387" w:type="dxa"/>
            <w:noWrap/>
            <w:vAlign w:val="center"/>
            <w:hideMark/>
          </w:tcPr>
          <w:p w14:paraId="35FFE170" w14:textId="4011D9B8" w:rsidR="00546B65" w:rsidRPr="005707BC" w:rsidRDefault="00B20FEC" w:rsidP="0025243F">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iCs w:val="0"/>
                <w:color w:val="000000"/>
                <w:sz w:val="18"/>
                <w:szCs w:val="18"/>
                <w:lang w:eastAsia="en-GB"/>
              </w:rPr>
            </w:pPr>
            <w:r>
              <w:rPr>
                <w:rFonts w:eastAsia="Times New Roman" w:cs="Times New Roman"/>
                <w:b/>
                <w:bCs/>
                <w:color w:val="000000"/>
                <w:sz w:val="18"/>
                <w:szCs w:val="18"/>
                <w:lang w:eastAsia="en-GB"/>
              </w:rPr>
              <w:t>P</w:t>
            </w:r>
            <w:r w:rsidR="00546B65" w:rsidRPr="005707BC">
              <w:rPr>
                <w:rFonts w:eastAsia="Times New Roman" w:cs="Times New Roman"/>
                <w:b/>
                <w:bCs/>
                <w:color w:val="000000"/>
                <w:sz w:val="18"/>
                <w:szCs w:val="18"/>
                <w:lang w:eastAsia="en-GB"/>
              </w:rPr>
              <w:t xml:space="preserve"> value</w:t>
            </w:r>
          </w:p>
        </w:tc>
      </w:tr>
      <w:tr w:rsidR="00546B65" w:rsidRPr="005707BC" w14:paraId="62142BBE" w14:textId="77777777" w:rsidTr="00B20FEC">
        <w:trPr>
          <w:trHeight w:val="300"/>
          <w:jc w:val="center"/>
        </w:trPr>
        <w:tc>
          <w:tcPr>
            <w:cnfStyle w:val="001000000000" w:firstRow="0" w:lastRow="0" w:firstColumn="1" w:lastColumn="0" w:oddVBand="0" w:evenVBand="0" w:oddHBand="0" w:evenHBand="0" w:firstRowFirstColumn="0" w:firstRowLastColumn="0" w:lastRowFirstColumn="0" w:lastRowLastColumn="0"/>
            <w:tcW w:w="2258" w:type="dxa"/>
            <w:noWrap/>
            <w:vAlign w:val="center"/>
          </w:tcPr>
          <w:p w14:paraId="0996887A" w14:textId="77777777" w:rsidR="00546B65" w:rsidRPr="005707BC" w:rsidRDefault="00546B65" w:rsidP="0025243F">
            <w:pPr>
              <w:spacing w:line="360" w:lineRule="auto"/>
              <w:jc w:val="center"/>
              <w:rPr>
                <w:rFonts w:eastAsia="Times New Roman" w:cs="Times New Roman"/>
                <w:b/>
                <w:bCs/>
                <w:color w:val="000000"/>
                <w:sz w:val="18"/>
                <w:szCs w:val="18"/>
                <w:lang w:eastAsia="en-GB"/>
              </w:rPr>
            </w:pPr>
          </w:p>
        </w:tc>
        <w:tc>
          <w:tcPr>
            <w:tcW w:w="851" w:type="dxa"/>
            <w:noWrap/>
            <w:vAlign w:val="center"/>
          </w:tcPr>
          <w:p w14:paraId="6EFE62BF"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eastAsia="en-GB"/>
              </w:rPr>
            </w:pPr>
          </w:p>
        </w:tc>
        <w:tc>
          <w:tcPr>
            <w:tcW w:w="4536" w:type="dxa"/>
            <w:gridSpan w:val="4"/>
            <w:noWrap/>
            <w:vAlign w:val="center"/>
          </w:tcPr>
          <w:p w14:paraId="301F1C98"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eastAsia="en-GB"/>
              </w:rPr>
            </w:pPr>
            <w:r w:rsidRPr="005707BC">
              <w:rPr>
                <w:rFonts w:eastAsia="Times New Roman" w:cs="Times New Roman"/>
                <w:b/>
                <w:bCs/>
                <w:color w:val="000000"/>
                <w:sz w:val="18"/>
                <w:szCs w:val="18"/>
                <w:lang w:eastAsia="en-GB"/>
              </w:rPr>
              <w:t>UNIVARIABLE ANALYSIS</w:t>
            </w:r>
          </w:p>
        </w:tc>
        <w:tc>
          <w:tcPr>
            <w:tcW w:w="5214" w:type="dxa"/>
            <w:gridSpan w:val="4"/>
            <w:vAlign w:val="center"/>
          </w:tcPr>
          <w:p w14:paraId="3498B994"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eastAsia="en-GB"/>
              </w:rPr>
            </w:pPr>
            <w:r w:rsidRPr="005707BC">
              <w:rPr>
                <w:rFonts w:eastAsia="Times New Roman" w:cs="Times New Roman"/>
                <w:b/>
                <w:bCs/>
                <w:color w:val="000000"/>
                <w:sz w:val="18"/>
                <w:szCs w:val="18"/>
                <w:lang w:eastAsia="en-GB"/>
              </w:rPr>
              <w:t>MULTIVARIABLE ANALYSIS</w:t>
            </w:r>
          </w:p>
        </w:tc>
      </w:tr>
      <w:tr w:rsidR="00546B65" w:rsidRPr="005707BC" w14:paraId="7F2DC8A4" w14:textId="77777777" w:rsidTr="00B20FEC">
        <w:trPr>
          <w:trHeight w:val="300"/>
          <w:jc w:val="center"/>
        </w:trPr>
        <w:tc>
          <w:tcPr>
            <w:cnfStyle w:val="001000000000" w:firstRow="0" w:lastRow="0" w:firstColumn="1" w:lastColumn="0" w:oddVBand="0" w:evenVBand="0" w:oddHBand="0" w:evenHBand="0" w:firstRowFirstColumn="0" w:firstRowLastColumn="0" w:lastRowFirstColumn="0" w:lastRowLastColumn="0"/>
            <w:tcW w:w="2258" w:type="dxa"/>
            <w:noWrap/>
            <w:vAlign w:val="center"/>
            <w:hideMark/>
          </w:tcPr>
          <w:p w14:paraId="3ADF1514" w14:textId="77777777" w:rsidR="00546B65" w:rsidRPr="005707BC" w:rsidRDefault="00546B65" w:rsidP="0025243F">
            <w:pPr>
              <w:spacing w:line="360" w:lineRule="auto"/>
              <w:rPr>
                <w:rFonts w:eastAsia="Times New Roman" w:cs="Times New Roman"/>
                <w:color w:val="000000"/>
                <w:sz w:val="18"/>
                <w:szCs w:val="18"/>
                <w:lang w:eastAsia="en-GB"/>
              </w:rPr>
            </w:pPr>
            <w:r w:rsidRPr="005707BC">
              <w:rPr>
                <w:rFonts w:eastAsia="Times New Roman" w:cs="Times New Roman"/>
                <w:color w:val="000000"/>
                <w:sz w:val="18"/>
                <w:szCs w:val="18"/>
                <w:lang w:eastAsia="en-GB"/>
              </w:rPr>
              <w:t>Calendar year of transplantation (per year)</w:t>
            </w:r>
          </w:p>
        </w:tc>
        <w:tc>
          <w:tcPr>
            <w:tcW w:w="851" w:type="dxa"/>
            <w:noWrap/>
            <w:vAlign w:val="center"/>
            <w:hideMark/>
          </w:tcPr>
          <w:p w14:paraId="1B38802D"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w:t>
            </w:r>
          </w:p>
        </w:tc>
        <w:tc>
          <w:tcPr>
            <w:tcW w:w="992" w:type="dxa"/>
            <w:noWrap/>
            <w:vAlign w:val="center"/>
            <w:hideMark/>
          </w:tcPr>
          <w:p w14:paraId="619A0501"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300/3,709</w:t>
            </w:r>
          </w:p>
        </w:tc>
        <w:tc>
          <w:tcPr>
            <w:tcW w:w="992" w:type="dxa"/>
            <w:noWrap/>
            <w:vAlign w:val="center"/>
            <w:hideMark/>
          </w:tcPr>
          <w:p w14:paraId="6CBEDC37"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w:t>
            </w:r>
          </w:p>
        </w:tc>
        <w:tc>
          <w:tcPr>
            <w:tcW w:w="1418" w:type="dxa"/>
            <w:noWrap/>
            <w:vAlign w:val="center"/>
            <w:hideMark/>
          </w:tcPr>
          <w:p w14:paraId="7113168D"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0.97 (0.95–0.99)</w:t>
            </w:r>
          </w:p>
        </w:tc>
        <w:tc>
          <w:tcPr>
            <w:tcW w:w="1134" w:type="dxa"/>
            <w:noWrap/>
            <w:vAlign w:val="center"/>
            <w:hideMark/>
          </w:tcPr>
          <w:p w14:paraId="045500B5"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0.0051</w:t>
            </w:r>
          </w:p>
        </w:tc>
        <w:tc>
          <w:tcPr>
            <w:tcW w:w="992" w:type="dxa"/>
            <w:vAlign w:val="center"/>
          </w:tcPr>
          <w:p w14:paraId="4C08DF5E"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299/3,693</w:t>
            </w:r>
          </w:p>
        </w:tc>
        <w:tc>
          <w:tcPr>
            <w:tcW w:w="1418" w:type="dxa"/>
            <w:vAlign w:val="center"/>
          </w:tcPr>
          <w:p w14:paraId="0B6DFB28"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cs="Times New Roman"/>
                <w:color w:val="000000"/>
                <w:sz w:val="18"/>
                <w:szCs w:val="18"/>
              </w:rPr>
              <w:t>—</w:t>
            </w:r>
          </w:p>
        </w:tc>
        <w:tc>
          <w:tcPr>
            <w:tcW w:w="1417" w:type="dxa"/>
            <w:noWrap/>
            <w:vAlign w:val="center"/>
            <w:hideMark/>
          </w:tcPr>
          <w:p w14:paraId="1548F77D"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0.95 (0.92–0.98)</w:t>
            </w:r>
          </w:p>
        </w:tc>
        <w:tc>
          <w:tcPr>
            <w:tcW w:w="1387" w:type="dxa"/>
            <w:noWrap/>
            <w:vAlign w:val="center"/>
            <w:hideMark/>
          </w:tcPr>
          <w:p w14:paraId="2B4B349A"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cs="Times New Roman"/>
                <w:sz w:val="18"/>
                <w:szCs w:val="18"/>
              </w:rPr>
              <w:t>0.0024</w:t>
            </w:r>
          </w:p>
        </w:tc>
      </w:tr>
      <w:tr w:rsidR="00546B65" w:rsidRPr="005707BC" w14:paraId="1CBA3FB3" w14:textId="77777777" w:rsidTr="00B20FEC">
        <w:trPr>
          <w:trHeight w:val="300"/>
          <w:jc w:val="center"/>
        </w:trPr>
        <w:tc>
          <w:tcPr>
            <w:cnfStyle w:val="001000000000" w:firstRow="0" w:lastRow="0" w:firstColumn="1" w:lastColumn="0" w:oddVBand="0" w:evenVBand="0" w:oddHBand="0" w:evenHBand="0" w:firstRowFirstColumn="0" w:firstRowLastColumn="0" w:lastRowFirstColumn="0" w:lastRowLastColumn="0"/>
            <w:tcW w:w="2258" w:type="dxa"/>
            <w:noWrap/>
            <w:vAlign w:val="center"/>
            <w:hideMark/>
          </w:tcPr>
          <w:p w14:paraId="1A772D79" w14:textId="77777777" w:rsidR="00546B65" w:rsidRPr="005707BC" w:rsidRDefault="00546B65" w:rsidP="0025243F">
            <w:pPr>
              <w:spacing w:line="360" w:lineRule="auto"/>
              <w:rPr>
                <w:rFonts w:eastAsia="Times New Roman" w:cs="Times New Roman"/>
                <w:color w:val="000000"/>
                <w:sz w:val="18"/>
                <w:szCs w:val="18"/>
                <w:lang w:eastAsia="en-GB"/>
              </w:rPr>
            </w:pPr>
            <w:r w:rsidRPr="005707BC">
              <w:rPr>
                <w:rFonts w:eastAsia="Times New Roman" w:cs="Times New Roman"/>
                <w:color w:val="000000"/>
                <w:sz w:val="18"/>
                <w:szCs w:val="18"/>
                <w:lang w:eastAsia="en-GB"/>
              </w:rPr>
              <w:t>Centre</w:t>
            </w:r>
          </w:p>
        </w:tc>
        <w:tc>
          <w:tcPr>
            <w:tcW w:w="851" w:type="dxa"/>
            <w:noWrap/>
            <w:vAlign w:val="center"/>
            <w:hideMark/>
          </w:tcPr>
          <w:p w14:paraId="69183207"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Basel</w:t>
            </w:r>
          </w:p>
        </w:tc>
        <w:tc>
          <w:tcPr>
            <w:tcW w:w="992" w:type="dxa"/>
            <w:noWrap/>
            <w:vAlign w:val="center"/>
            <w:hideMark/>
          </w:tcPr>
          <w:p w14:paraId="604423C9"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300/3,709</w:t>
            </w:r>
          </w:p>
        </w:tc>
        <w:tc>
          <w:tcPr>
            <w:tcW w:w="992" w:type="dxa"/>
            <w:noWrap/>
            <w:vAlign w:val="center"/>
            <w:hideMark/>
          </w:tcPr>
          <w:p w14:paraId="311DCFC7"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40/460</w:t>
            </w:r>
          </w:p>
        </w:tc>
        <w:tc>
          <w:tcPr>
            <w:tcW w:w="1418" w:type="dxa"/>
            <w:noWrap/>
            <w:vAlign w:val="center"/>
            <w:hideMark/>
          </w:tcPr>
          <w:p w14:paraId="5FB8E580" w14:textId="4DC1C422" w:rsidR="00546B65" w:rsidRPr="005707BC" w:rsidRDefault="00D45F56"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Ref.</w:t>
            </w:r>
          </w:p>
        </w:tc>
        <w:tc>
          <w:tcPr>
            <w:tcW w:w="1134" w:type="dxa"/>
            <w:noWrap/>
            <w:vAlign w:val="center"/>
            <w:hideMark/>
          </w:tcPr>
          <w:p w14:paraId="53494208" w14:textId="7355E0B5" w:rsidR="00546B65" w:rsidRPr="005707BC" w:rsidRDefault="00D45F56"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Ref.</w:t>
            </w:r>
          </w:p>
        </w:tc>
        <w:tc>
          <w:tcPr>
            <w:tcW w:w="992" w:type="dxa"/>
            <w:vAlign w:val="center"/>
          </w:tcPr>
          <w:p w14:paraId="3C770147" w14:textId="77777777" w:rsidR="00546B65" w:rsidRPr="005707BC" w:rsidDel="00E22D36"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299/3,693</w:t>
            </w:r>
          </w:p>
        </w:tc>
        <w:tc>
          <w:tcPr>
            <w:tcW w:w="1418" w:type="dxa"/>
            <w:vAlign w:val="center"/>
          </w:tcPr>
          <w:p w14:paraId="3C78C880" w14:textId="77777777" w:rsidR="00546B65" w:rsidRPr="005707BC" w:rsidDel="00E22D36"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cs="Times New Roman"/>
                <w:color w:val="000000"/>
                <w:sz w:val="18"/>
                <w:szCs w:val="18"/>
              </w:rPr>
              <w:t>40/460</w:t>
            </w:r>
          </w:p>
        </w:tc>
        <w:tc>
          <w:tcPr>
            <w:tcW w:w="1417" w:type="dxa"/>
            <w:noWrap/>
            <w:vAlign w:val="center"/>
            <w:hideMark/>
          </w:tcPr>
          <w:p w14:paraId="00B0A9D3" w14:textId="02A46653" w:rsidR="00546B65" w:rsidRPr="005707BC" w:rsidRDefault="00D45F56"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Ref.</w:t>
            </w:r>
          </w:p>
        </w:tc>
        <w:tc>
          <w:tcPr>
            <w:tcW w:w="1387" w:type="dxa"/>
            <w:noWrap/>
            <w:vAlign w:val="center"/>
            <w:hideMark/>
          </w:tcPr>
          <w:p w14:paraId="146FB688" w14:textId="38E3B5CC" w:rsidR="00546B65" w:rsidRPr="005707BC" w:rsidRDefault="00D45F56"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cs="Times New Roman"/>
                <w:sz w:val="18"/>
                <w:szCs w:val="18"/>
              </w:rPr>
              <w:t>Ref.</w:t>
            </w:r>
          </w:p>
        </w:tc>
      </w:tr>
      <w:tr w:rsidR="00E378EF" w:rsidRPr="005707BC" w14:paraId="2257E63E" w14:textId="77777777" w:rsidTr="00B20FEC">
        <w:trPr>
          <w:trHeight w:val="300"/>
          <w:jc w:val="center"/>
        </w:trPr>
        <w:tc>
          <w:tcPr>
            <w:cnfStyle w:val="001000000000" w:firstRow="0" w:lastRow="0" w:firstColumn="1" w:lastColumn="0" w:oddVBand="0" w:evenVBand="0" w:oddHBand="0" w:evenHBand="0" w:firstRowFirstColumn="0" w:firstRowLastColumn="0" w:lastRowFirstColumn="0" w:lastRowLastColumn="0"/>
            <w:tcW w:w="2258" w:type="dxa"/>
            <w:noWrap/>
            <w:vAlign w:val="center"/>
          </w:tcPr>
          <w:p w14:paraId="302A6F29" w14:textId="77777777" w:rsidR="00546B65" w:rsidRPr="005707BC" w:rsidRDefault="00546B65" w:rsidP="0025243F">
            <w:pPr>
              <w:spacing w:line="360" w:lineRule="auto"/>
              <w:rPr>
                <w:rFonts w:eastAsia="Times New Roman" w:cs="Times New Roman"/>
                <w:color w:val="000000"/>
                <w:sz w:val="18"/>
                <w:szCs w:val="18"/>
                <w:lang w:eastAsia="en-GB"/>
              </w:rPr>
            </w:pPr>
          </w:p>
        </w:tc>
        <w:tc>
          <w:tcPr>
            <w:tcW w:w="851" w:type="dxa"/>
            <w:noWrap/>
            <w:vAlign w:val="center"/>
            <w:hideMark/>
          </w:tcPr>
          <w:p w14:paraId="66F751C5"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Leuven</w:t>
            </w:r>
          </w:p>
        </w:tc>
        <w:tc>
          <w:tcPr>
            <w:tcW w:w="992" w:type="dxa"/>
            <w:noWrap/>
            <w:vAlign w:val="center"/>
          </w:tcPr>
          <w:p w14:paraId="3908DAE8"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992" w:type="dxa"/>
            <w:noWrap/>
            <w:vAlign w:val="center"/>
            <w:hideMark/>
          </w:tcPr>
          <w:p w14:paraId="23C2BA78"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182/1,805</w:t>
            </w:r>
          </w:p>
        </w:tc>
        <w:tc>
          <w:tcPr>
            <w:tcW w:w="1418" w:type="dxa"/>
            <w:noWrap/>
            <w:vAlign w:val="center"/>
            <w:hideMark/>
          </w:tcPr>
          <w:p w14:paraId="00784C50"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0.92 (0.65–1.29)</w:t>
            </w:r>
          </w:p>
        </w:tc>
        <w:tc>
          <w:tcPr>
            <w:tcW w:w="1134" w:type="dxa"/>
            <w:noWrap/>
            <w:vAlign w:val="center"/>
            <w:hideMark/>
          </w:tcPr>
          <w:p w14:paraId="22144DD0"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0.62</w:t>
            </w:r>
          </w:p>
        </w:tc>
        <w:tc>
          <w:tcPr>
            <w:tcW w:w="992" w:type="dxa"/>
            <w:vAlign w:val="center"/>
          </w:tcPr>
          <w:p w14:paraId="7FF9F99B"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418" w:type="dxa"/>
            <w:vAlign w:val="center"/>
          </w:tcPr>
          <w:p w14:paraId="33E99ADF"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cs="Times New Roman"/>
                <w:color w:val="000000"/>
                <w:sz w:val="18"/>
                <w:szCs w:val="18"/>
              </w:rPr>
              <w:t>181/1,804</w:t>
            </w:r>
          </w:p>
        </w:tc>
        <w:tc>
          <w:tcPr>
            <w:tcW w:w="1417" w:type="dxa"/>
            <w:noWrap/>
            <w:vAlign w:val="center"/>
            <w:hideMark/>
          </w:tcPr>
          <w:p w14:paraId="23E719EE"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0.86 (0.56–1.33)</w:t>
            </w:r>
          </w:p>
        </w:tc>
        <w:tc>
          <w:tcPr>
            <w:tcW w:w="1387" w:type="dxa"/>
            <w:noWrap/>
            <w:vAlign w:val="center"/>
            <w:hideMark/>
          </w:tcPr>
          <w:p w14:paraId="73DA8CC9"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cs="Times New Roman"/>
                <w:sz w:val="18"/>
                <w:szCs w:val="18"/>
              </w:rPr>
              <w:t>0.51</w:t>
            </w:r>
          </w:p>
        </w:tc>
      </w:tr>
      <w:tr w:rsidR="00E378EF" w:rsidRPr="005707BC" w14:paraId="76A235E8" w14:textId="77777777" w:rsidTr="00B20FEC">
        <w:trPr>
          <w:trHeight w:val="300"/>
          <w:jc w:val="center"/>
        </w:trPr>
        <w:tc>
          <w:tcPr>
            <w:cnfStyle w:val="001000000000" w:firstRow="0" w:lastRow="0" w:firstColumn="1" w:lastColumn="0" w:oddVBand="0" w:evenVBand="0" w:oddHBand="0" w:evenHBand="0" w:firstRowFirstColumn="0" w:firstRowLastColumn="0" w:lastRowFirstColumn="0" w:lastRowLastColumn="0"/>
            <w:tcW w:w="2258" w:type="dxa"/>
            <w:noWrap/>
            <w:vAlign w:val="center"/>
          </w:tcPr>
          <w:p w14:paraId="2128AFAB" w14:textId="77777777" w:rsidR="00546B65" w:rsidRPr="005707BC" w:rsidRDefault="00546B65" w:rsidP="0025243F">
            <w:pPr>
              <w:spacing w:line="360" w:lineRule="auto"/>
              <w:rPr>
                <w:rFonts w:eastAsia="Times New Roman" w:cs="Times New Roman"/>
                <w:color w:val="000000"/>
                <w:sz w:val="18"/>
                <w:szCs w:val="18"/>
                <w:lang w:eastAsia="en-GB"/>
              </w:rPr>
            </w:pPr>
          </w:p>
        </w:tc>
        <w:tc>
          <w:tcPr>
            <w:tcW w:w="851" w:type="dxa"/>
            <w:noWrap/>
            <w:vAlign w:val="center"/>
            <w:hideMark/>
          </w:tcPr>
          <w:p w14:paraId="30E7F01D"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Prague</w:t>
            </w:r>
          </w:p>
        </w:tc>
        <w:tc>
          <w:tcPr>
            <w:tcW w:w="992" w:type="dxa"/>
            <w:noWrap/>
            <w:vAlign w:val="center"/>
          </w:tcPr>
          <w:p w14:paraId="4CF35CD4"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992" w:type="dxa"/>
            <w:noWrap/>
            <w:vAlign w:val="center"/>
            <w:hideMark/>
          </w:tcPr>
          <w:p w14:paraId="2F3D181E"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40/782</w:t>
            </w:r>
          </w:p>
        </w:tc>
        <w:tc>
          <w:tcPr>
            <w:tcW w:w="1418" w:type="dxa"/>
            <w:noWrap/>
            <w:vAlign w:val="center"/>
            <w:hideMark/>
          </w:tcPr>
          <w:p w14:paraId="55D30E57"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0.75 (0.48–1.17)</w:t>
            </w:r>
          </w:p>
        </w:tc>
        <w:tc>
          <w:tcPr>
            <w:tcW w:w="1134" w:type="dxa"/>
            <w:noWrap/>
            <w:vAlign w:val="center"/>
            <w:hideMark/>
          </w:tcPr>
          <w:p w14:paraId="1CD9F879"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0.2</w:t>
            </w:r>
          </w:p>
        </w:tc>
        <w:tc>
          <w:tcPr>
            <w:tcW w:w="992" w:type="dxa"/>
            <w:vAlign w:val="center"/>
          </w:tcPr>
          <w:p w14:paraId="711DFDC4"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418" w:type="dxa"/>
            <w:vAlign w:val="center"/>
          </w:tcPr>
          <w:p w14:paraId="269D30CE"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cs="Times New Roman"/>
                <w:color w:val="000000"/>
                <w:sz w:val="18"/>
                <w:szCs w:val="18"/>
              </w:rPr>
              <w:t>40/782</w:t>
            </w:r>
          </w:p>
        </w:tc>
        <w:tc>
          <w:tcPr>
            <w:tcW w:w="1417" w:type="dxa"/>
            <w:noWrap/>
            <w:vAlign w:val="center"/>
            <w:hideMark/>
          </w:tcPr>
          <w:p w14:paraId="77661830"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0.88 (0.54–1.42)</w:t>
            </w:r>
          </w:p>
        </w:tc>
        <w:tc>
          <w:tcPr>
            <w:tcW w:w="1387" w:type="dxa"/>
            <w:noWrap/>
            <w:vAlign w:val="center"/>
            <w:hideMark/>
          </w:tcPr>
          <w:p w14:paraId="22BAE2F9"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cs="Times New Roman"/>
                <w:sz w:val="18"/>
                <w:szCs w:val="18"/>
              </w:rPr>
              <w:t>0.6</w:t>
            </w:r>
          </w:p>
        </w:tc>
      </w:tr>
      <w:tr w:rsidR="00E378EF" w:rsidRPr="005707BC" w14:paraId="721E325E" w14:textId="77777777" w:rsidTr="00B20FEC">
        <w:trPr>
          <w:trHeight w:val="300"/>
          <w:jc w:val="center"/>
        </w:trPr>
        <w:tc>
          <w:tcPr>
            <w:cnfStyle w:val="001000000000" w:firstRow="0" w:lastRow="0" w:firstColumn="1" w:lastColumn="0" w:oddVBand="0" w:evenVBand="0" w:oddHBand="0" w:evenHBand="0" w:firstRowFirstColumn="0" w:firstRowLastColumn="0" w:lastRowFirstColumn="0" w:lastRowLastColumn="0"/>
            <w:tcW w:w="2258" w:type="dxa"/>
            <w:noWrap/>
            <w:vAlign w:val="center"/>
          </w:tcPr>
          <w:p w14:paraId="47FB021D" w14:textId="77777777" w:rsidR="00546B65" w:rsidRPr="005707BC" w:rsidRDefault="00546B65" w:rsidP="0025243F">
            <w:pPr>
              <w:spacing w:line="360" w:lineRule="auto"/>
              <w:rPr>
                <w:rFonts w:eastAsia="Times New Roman" w:cs="Times New Roman"/>
                <w:color w:val="000000"/>
                <w:sz w:val="18"/>
                <w:szCs w:val="18"/>
                <w:lang w:eastAsia="en-GB"/>
              </w:rPr>
            </w:pPr>
          </w:p>
        </w:tc>
        <w:tc>
          <w:tcPr>
            <w:tcW w:w="851" w:type="dxa"/>
            <w:noWrap/>
            <w:vAlign w:val="center"/>
            <w:hideMark/>
          </w:tcPr>
          <w:p w14:paraId="038CDDB1"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Vienna</w:t>
            </w:r>
          </w:p>
        </w:tc>
        <w:tc>
          <w:tcPr>
            <w:tcW w:w="992" w:type="dxa"/>
            <w:noWrap/>
            <w:vAlign w:val="center"/>
          </w:tcPr>
          <w:p w14:paraId="4E2189E5"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992" w:type="dxa"/>
            <w:noWrap/>
            <w:vAlign w:val="center"/>
            <w:hideMark/>
          </w:tcPr>
          <w:p w14:paraId="77B3F1AD"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38/662</w:t>
            </w:r>
          </w:p>
        </w:tc>
        <w:tc>
          <w:tcPr>
            <w:tcW w:w="1418" w:type="dxa"/>
            <w:noWrap/>
            <w:vAlign w:val="center"/>
            <w:hideMark/>
          </w:tcPr>
          <w:p w14:paraId="4D4B71BC"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0.70 (0.45–1.09)</w:t>
            </w:r>
          </w:p>
        </w:tc>
        <w:tc>
          <w:tcPr>
            <w:tcW w:w="1134" w:type="dxa"/>
            <w:noWrap/>
            <w:vAlign w:val="center"/>
            <w:hideMark/>
          </w:tcPr>
          <w:p w14:paraId="625704BF"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0.11</w:t>
            </w:r>
          </w:p>
        </w:tc>
        <w:tc>
          <w:tcPr>
            <w:tcW w:w="992" w:type="dxa"/>
            <w:vAlign w:val="center"/>
          </w:tcPr>
          <w:p w14:paraId="3F5E1038"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418" w:type="dxa"/>
            <w:vAlign w:val="center"/>
          </w:tcPr>
          <w:p w14:paraId="16A0FF5A"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cs="Times New Roman"/>
                <w:color w:val="000000"/>
                <w:sz w:val="18"/>
                <w:szCs w:val="18"/>
              </w:rPr>
              <w:t>38/647</w:t>
            </w:r>
          </w:p>
        </w:tc>
        <w:tc>
          <w:tcPr>
            <w:tcW w:w="1417" w:type="dxa"/>
            <w:noWrap/>
            <w:vAlign w:val="center"/>
            <w:hideMark/>
          </w:tcPr>
          <w:p w14:paraId="3970CC5A"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0.67 (0.42–1.07)</w:t>
            </w:r>
          </w:p>
        </w:tc>
        <w:tc>
          <w:tcPr>
            <w:tcW w:w="1387" w:type="dxa"/>
            <w:noWrap/>
            <w:vAlign w:val="center"/>
            <w:hideMark/>
          </w:tcPr>
          <w:p w14:paraId="375C7C6D"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cs="Times New Roman"/>
                <w:sz w:val="18"/>
                <w:szCs w:val="18"/>
              </w:rPr>
              <w:t>0.094</w:t>
            </w:r>
          </w:p>
        </w:tc>
      </w:tr>
      <w:tr w:rsidR="00E378EF" w:rsidRPr="005707BC" w14:paraId="0D45A3D7" w14:textId="77777777" w:rsidTr="00B20FEC">
        <w:trPr>
          <w:trHeight w:val="300"/>
          <w:jc w:val="center"/>
        </w:trPr>
        <w:tc>
          <w:tcPr>
            <w:cnfStyle w:val="001000000000" w:firstRow="0" w:lastRow="0" w:firstColumn="1" w:lastColumn="0" w:oddVBand="0" w:evenVBand="0" w:oddHBand="0" w:evenHBand="0" w:firstRowFirstColumn="0" w:firstRowLastColumn="0" w:lastRowFirstColumn="0" w:lastRowLastColumn="0"/>
            <w:tcW w:w="2258" w:type="dxa"/>
            <w:noWrap/>
            <w:vAlign w:val="center"/>
            <w:hideMark/>
          </w:tcPr>
          <w:p w14:paraId="0B7F3903" w14:textId="22670A98" w:rsidR="00546B65" w:rsidRPr="005707BC" w:rsidRDefault="00546B65" w:rsidP="0025243F">
            <w:pPr>
              <w:spacing w:line="360" w:lineRule="auto"/>
              <w:rPr>
                <w:rFonts w:eastAsia="Times New Roman" w:cs="Times New Roman"/>
                <w:color w:val="000000"/>
                <w:sz w:val="18"/>
                <w:szCs w:val="18"/>
                <w:lang w:eastAsia="en-GB"/>
              </w:rPr>
            </w:pPr>
            <w:r w:rsidRPr="005707BC">
              <w:rPr>
                <w:rFonts w:eastAsia="Times New Roman" w:cs="Times New Roman"/>
                <w:color w:val="000000"/>
                <w:sz w:val="18"/>
                <w:szCs w:val="18"/>
                <w:lang w:eastAsia="en-GB"/>
              </w:rPr>
              <w:t xml:space="preserve">Cold </w:t>
            </w:r>
            <w:r w:rsidR="00503B56" w:rsidRPr="005707BC">
              <w:rPr>
                <w:rFonts w:eastAsia="Times New Roman" w:cs="Times New Roman"/>
                <w:color w:val="000000"/>
                <w:sz w:val="18"/>
                <w:szCs w:val="18"/>
                <w:lang w:eastAsia="en-GB"/>
              </w:rPr>
              <w:t>ischemia</w:t>
            </w:r>
            <w:r w:rsidRPr="005707BC">
              <w:rPr>
                <w:rFonts w:eastAsia="Times New Roman" w:cs="Times New Roman"/>
                <w:color w:val="000000"/>
                <w:sz w:val="18"/>
                <w:szCs w:val="18"/>
                <w:lang w:eastAsia="en-GB"/>
              </w:rPr>
              <w:t xml:space="preserve"> time (per 5 hours)</w:t>
            </w:r>
          </w:p>
        </w:tc>
        <w:tc>
          <w:tcPr>
            <w:tcW w:w="851" w:type="dxa"/>
            <w:noWrap/>
            <w:vAlign w:val="center"/>
            <w:hideMark/>
          </w:tcPr>
          <w:p w14:paraId="2ABADB1E"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w:t>
            </w:r>
          </w:p>
        </w:tc>
        <w:tc>
          <w:tcPr>
            <w:tcW w:w="992" w:type="dxa"/>
            <w:noWrap/>
            <w:vAlign w:val="center"/>
          </w:tcPr>
          <w:p w14:paraId="5D74DC1F"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299/3,693</w:t>
            </w:r>
          </w:p>
        </w:tc>
        <w:tc>
          <w:tcPr>
            <w:tcW w:w="992" w:type="dxa"/>
            <w:noWrap/>
            <w:vAlign w:val="center"/>
            <w:hideMark/>
          </w:tcPr>
          <w:p w14:paraId="672D8360"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w:t>
            </w:r>
          </w:p>
        </w:tc>
        <w:tc>
          <w:tcPr>
            <w:tcW w:w="1418" w:type="dxa"/>
            <w:noWrap/>
            <w:vAlign w:val="center"/>
            <w:hideMark/>
          </w:tcPr>
          <w:p w14:paraId="5815EC37"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1.09 (0.99–1.19)</w:t>
            </w:r>
          </w:p>
        </w:tc>
        <w:tc>
          <w:tcPr>
            <w:tcW w:w="1134" w:type="dxa"/>
            <w:noWrap/>
            <w:vAlign w:val="center"/>
            <w:hideMark/>
          </w:tcPr>
          <w:p w14:paraId="5C13DADD"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0.074</w:t>
            </w:r>
          </w:p>
        </w:tc>
        <w:tc>
          <w:tcPr>
            <w:tcW w:w="992" w:type="dxa"/>
            <w:vAlign w:val="center"/>
          </w:tcPr>
          <w:p w14:paraId="00C024CF"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299/3,693</w:t>
            </w:r>
          </w:p>
        </w:tc>
        <w:tc>
          <w:tcPr>
            <w:tcW w:w="1418" w:type="dxa"/>
            <w:vAlign w:val="center"/>
          </w:tcPr>
          <w:p w14:paraId="6650C87A"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cs="Times New Roman"/>
                <w:color w:val="000000"/>
                <w:sz w:val="18"/>
                <w:szCs w:val="18"/>
              </w:rPr>
              <w:t>—</w:t>
            </w:r>
          </w:p>
        </w:tc>
        <w:tc>
          <w:tcPr>
            <w:tcW w:w="1417" w:type="dxa"/>
            <w:noWrap/>
            <w:vAlign w:val="center"/>
            <w:hideMark/>
          </w:tcPr>
          <w:p w14:paraId="4427E1C3"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1.12 (0.99–1.27)</w:t>
            </w:r>
          </w:p>
        </w:tc>
        <w:tc>
          <w:tcPr>
            <w:tcW w:w="1387" w:type="dxa"/>
            <w:noWrap/>
            <w:vAlign w:val="center"/>
            <w:hideMark/>
          </w:tcPr>
          <w:p w14:paraId="490CDB4B"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cs="Times New Roman"/>
                <w:sz w:val="18"/>
                <w:szCs w:val="18"/>
              </w:rPr>
              <w:t>0.065</w:t>
            </w:r>
          </w:p>
        </w:tc>
      </w:tr>
      <w:tr w:rsidR="00E378EF" w:rsidRPr="005707BC" w14:paraId="1F6BAF6C" w14:textId="77777777" w:rsidTr="00B20FEC">
        <w:trPr>
          <w:trHeight w:val="300"/>
          <w:jc w:val="center"/>
        </w:trPr>
        <w:tc>
          <w:tcPr>
            <w:cnfStyle w:val="001000000000" w:firstRow="0" w:lastRow="0" w:firstColumn="1" w:lastColumn="0" w:oddVBand="0" w:evenVBand="0" w:oddHBand="0" w:evenHBand="0" w:firstRowFirstColumn="0" w:firstRowLastColumn="0" w:lastRowFirstColumn="0" w:lastRowLastColumn="0"/>
            <w:tcW w:w="2258" w:type="dxa"/>
            <w:noWrap/>
            <w:vAlign w:val="center"/>
            <w:hideMark/>
          </w:tcPr>
          <w:p w14:paraId="43AB2F8B" w14:textId="77777777" w:rsidR="00546B65" w:rsidRPr="005707BC" w:rsidRDefault="00546B65" w:rsidP="0025243F">
            <w:pPr>
              <w:spacing w:line="360" w:lineRule="auto"/>
              <w:rPr>
                <w:rFonts w:eastAsia="Times New Roman" w:cs="Times New Roman"/>
                <w:color w:val="000000"/>
                <w:sz w:val="18"/>
                <w:szCs w:val="18"/>
                <w:lang w:eastAsia="en-GB"/>
              </w:rPr>
            </w:pPr>
            <w:r w:rsidRPr="005707BC">
              <w:rPr>
                <w:rFonts w:eastAsia="Times New Roman" w:cs="Times New Roman"/>
                <w:color w:val="000000"/>
                <w:sz w:val="18"/>
                <w:szCs w:val="18"/>
                <w:lang w:eastAsia="en-GB"/>
              </w:rPr>
              <w:t>Donor age (per 10 years)</w:t>
            </w:r>
          </w:p>
        </w:tc>
        <w:tc>
          <w:tcPr>
            <w:tcW w:w="851" w:type="dxa"/>
            <w:noWrap/>
            <w:vAlign w:val="center"/>
            <w:hideMark/>
          </w:tcPr>
          <w:p w14:paraId="194BC96E"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w:t>
            </w:r>
          </w:p>
        </w:tc>
        <w:tc>
          <w:tcPr>
            <w:tcW w:w="992" w:type="dxa"/>
            <w:noWrap/>
            <w:vAlign w:val="center"/>
            <w:hideMark/>
          </w:tcPr>
          <w:p w14:paraId="0B7B43F3"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300/3,709</w:t>
            </w:r>
          </w:p>
        </w:tc>
        <w:tc>
          <w:tcPr>
            <w:tcW w:w="992" w:type="dxa"/>
            <w:noWrap/>
            <w:vAlign w:val="center"/>
            <w:hideMark/>
          </w:tcPr>
          <w:p w14:paraId="12EA8398"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w:t>
            </w:r>
          </w:p>
        </w:tc>
        <w:tc>
          <w:tcPr>
            <w:tcW w:w="1418" w:type="dxa"/>
            <w:noWrap/>
            <w:vAlign w:val="center"/>
            <w:hideMark/>
          </w:tcPr>
          <w:p w14:paraId="49C7082E"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1.17 (1.08–1.27)</w:t>
            </w:r>
          </w:p>
        </w:tc>
        <w:tc>
          <w:tcPr>
            <w:tcW w:w="1134" w:type="dxa"/>
            <w:noWrap/>
            <w:vAlign w:val="center"/>
            <w:hideMark/>
          </w:tcPr>
          <w:p w14:paraId="73919BC2"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0.00016</w:t>
            </w:r>
          </w:p>
        </w:tc>
        <w:tc>
          <w:tcPr>
            <w:tcW w:w="992" w:type="dxa"/>
            <w:vAlign w:val="center"/>
          </w:tcPr>
          <w:p w14:paraId="34115385"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299/3,693</w:t>
            </w:r>
          </w:p>
        </w:tc>
        <w:tc>
          <w:tcPr>
            <w:tcW w:w="1418" w:type="dxa"/>
            <w:vAlign w:val="center"/>
          </w:tcPr>
          <w:p w14:paraId="17BDDA7A"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cs="Times New Roman"/>
                <w:color w:val="000000"/>
                <w:sz w:val="18"/>
                <w:szCs w:val="18"/>
              </w:rPr>
              <w:t>—</w:t>
            </w:r>
          </w:p>
        </w:tc>
        <w:tc>
          <w:tcPr>
            <w:tcW w:w="1417" w:type="dxa"/>
            <w:noWrap/>
            <w:vAlign w:val="center"/>
            <w:hideMark/>
          </w:tcPr>
          <w:p w14:paraId="697346E5"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1.16 (1.06–1.26)</w:t>
            </w:r>
          </w:p>
        </w:tc>
        <w:tc>
          <w:tcPr>
            <w:tcW w:w="1387" w:type="dxa"/>
            <w:noWrap/>
            <w:vAlign w:val="center"/>
            <w:hideMark/>
          </w:tcPr>
          <w:p w14:paraId="0673B176" w14:textId="39365F98" w:rsidR="00546B65" w:rsidRPr="005707BC" w:rsidRDefault="00D53FD9"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cs="Times New Roman"/>
                <w:sz w:val="18"/>
                <w:szCs w:val="18"/>
              </w:rPr>
              <w:t>9.98 × 10</w:t>
            </w:r>
            <w:r w:rsidRPr="005707BC">
              <w:rPr>
                <w:rFonts w:cs="Times New Roman"/>
                <w:sz w:val="18"/>
                <w:szCs w:val="18"/>
                <w:vertAlign w:val="superscript"/>
              </w:rPr>
              <w:t>-4</w:t>
            </w:r>
          </w:p>
        </w:tc>
      </w:tr>
      <w:tr w:rsidR="00E378EF" w:rsidRPr="005707BC" w14:paraId="2870FD48" w14:textId="77777777" w:rsidTr="00B20FEC">
        <w:trPr>
          <w:trHeight w:val="300"/>
          <w:jc w:val="center"/>
        </w:trPr>
        <w:tc>
          <w:tcPr>
            <w:cnfStyle w:val="001000000000" w:firstRow="0" w:lastRow="0" w:firstColumn="1" w:lastColumn="0" w:oddVBand="0" w:evenVBand="0" w:oddHBand="0" w:evenHBand="0" w:firstRowFirstColumn="0" w:firstRowLastColumn="0" w:lastRowFirstColumn="0" w:lastRowLastColumn="0"/>
            <w:tcW w:w="2258" w:type="dxa"/>
            <w:noWrap/>
            <w:vAlign w:val="center"/>
            <w:hideMark/>
          </w:tcPr>
          <w:p w14:paraId="01357484" w14:textId="77777777" w:rsidR="00546B65" w:rsidRPr="005707BC" w:rsidRDefault="00546B65" w:rsidP="0025243F">
            <w:pPr>
              <w:spacing w:line="360" w:lineRule="auto"/>
              <w:rPr>
                <w:rFonts w:eastAsia="Times New Roman" w:cs="Times New Roman"/>
                <w:color w:val="000000"/>
                <w:sz w:val="18"/>
                <w:szCs w:val="18"/>
                <w:lang w:eastAsia="en-GB"/>
              </w:rPr>
            </w:pPr>
            <w:r w:rsidRPr="005707BC">
              <w:rPr>
                <w:rFonts w:eastAsia="Times New Roman" w:cs="Times New Roman"/>
                <w:color w:val="000000"/>
                <w:sz w:val="18"/>
                <w:szCs w:val="18"/>
                <w:lang w:eastAsia="en-GB"/>
              </w:rPr>
              <w:t>Donor type</w:t>
            </w:r>
          </w:p>
        </w:tc>
        <w:tc>
          <w:tcPr>
            <w:tcW w:w="851" w:type="dxa"/>
            <w:noWrap/>
            <w:vAlign w:val="center"/>
            <w:hideMark/>
          </w:tcPr>
          <w:p w14:paraId="7AC39ADB"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Living</w:t>
            </w:r>
          </w:p>
        </w:tc>
        <w:tc>
          <w:tcPr>
            <w:tcW w:w="992" w:type="dxa"/>
            <w:noWrap/>
            <w:vAlign w:val="center"/>
            <w:hideMark/>
          </w:tcPr>
          <w:p w14:paraId="3D18B886"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300/3,709</w:t>
            </w:r>
          </w:p>
        </w:tc>
        <w:tc>
          <w:tcPr>
            <w:tcW w:w="992" w:type="dxa"/>
            <w:noWrap/>
            <w:vAlign w:val="center"/>
            <w:hideMark/>
          </w:tcPr>
          <w:p w14:paraId="786BC085"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34/521</w:t>
            </w:r>
          </w:p>
        </w:tc>
        <w:tc>
          <w:tcPr>
            <w:tcW w:w="1418" w:type="dxa"/>
            <w:noWrap/>
            <w:vAlign w:val="center"/>
            <w:hideMark/>
          </w:tcPr>
          <w:p w14:paraId="58C5B855" w14:textId="3ABCA08F" w:rsidR="00546B65" w:rsidRPr="005707BC" w:rsidRDefault="00D45F56"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Ref.</w:t>
            </w:r>
          </w:p>
        </w:tc>
        <w:tc>
          <w:tcPr>
            <w:tcW w:w="1134" w:type="dxa"/>
            <w:noWrap/>
            <w:vAlign w:val="center"/>
            <w:hideMark/>
          </w:tcPr>
          <w:p w14:paraId="343D8533" w14:textId="4BC494AD" w:rsidR="00546B65" w:rsidRPr="005707BC" w:rsidRDefault="00D45F56"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Ref.</w:t>
            </w:r>
          </w:p>
        </w:tc>
        <w:tc>
          <w:tcPr>
            <w:tcW w:w="992" w:type="dxa"/>
            <w:vAlign w:val="center"/>
          </w:tcPr>
          <w:p w14:paraId="372BB3B8" w14:textId="77777777" w:rsidR="00546B65" w:rsidRPr="005707BC" w:rsidDel="00E22D36"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418" w:type="dxa"/>
            <w:vAlign w:val="center"/>
          </w:tcPr>
          <w:p w14:paraId="229A6A8B" w14:textId="77777777" w:rsidR="00546B65" w:rsidRPr="005707BC" w:rsidDel="00E22D36"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cs="Times New Roman"/>
                <w:color w:val="000000"/>
                <w:sz w:val="18"/>
                <w:szCs w:val="18"/>
              </w:rPr>
              <w:t>34/511</w:t>
            </w:r>
          </w:p>
        </w:tc>
        <w:tc>
          <w:tcPr>
            <w:tcW w:w="1417" w:type="dxa"/>
            <w:noWrap/>
            <w:vAlign w:val="center"/>
            <w:hideMark/>
          </w:tcPr>
          <w:p w14:paraId="18F62207" w14:textId="46E3B517" w:rsidR="00546B65" w:rsidRPr="005707BC" w:rsidRDefault="00D45F56"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Ref.</w:t>
            </w:r>
          </w:p>
        </w:tc>
        <w:tc>
          <w:tcPr>
            <w:tcW w:w="1387" w:type="dxa"/>
            <w:noWrap/>
            <w:vAlign w:val="center"/>
            <w:hideMark/>
          </w:tcPr>
          <w:p w14:paraId="35841D9E" w14:textId="299B60E4" w:rsidR="00546B65" w:rsidRPr="005707BC" w:rsidRDefault="00D45F56"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cs="Times New Roman"/>
                <w:sz w:val="18"/>
                <w:szCs w:val="18"/>
              </w:rPr>
              <w:t>Ref.</w:t>
            </w:r>
          </w:p>
        </w:tc>
      </w:tr>
      <w:tr w:rsidR="00E378EF" w:rsidRPr="005707BC" w14:paraId="3B04091D" w14:textId="77777777" w:rsidTr="00B20FEC">
        <w:trPr>
          <w:trHeight w:val="300"/>
          <w:jc w:val="center"/>
        </w:trPr>
        <w:tc>
          <w:tcPr>
            <w:cnfStyle w:val="001000000000" w:firstRow="0" w:lastRow="0" w:firstColumn="1" w:lastColumn="0" w:oddVBand="0" w:evenVBand="0" w:oddHBand="0" w:evenHBand="0" w:firstRowFirstColumn="0" w:firstRowLastColumn="0" w:lastRowFirstColumn="0" w:lastRowLastColumn="0"/>
            <w:tcW w:w="2258" w:type="dxa"/>
            <w:noWrap/>
            <w:vAlign w:val="center"/>
          </w:tcPr>
          <w:p w14:paraId="11B1868E" w14:textId="77777777" w:rsidR="00546B65" w:rsidRPr="005707BC" w:rsidRDefault="00546B65" w:rsidP="0025243F">
            <w:pPr>
              <w:spacing w:line="360" w:lineRule="auto"/>
              <w:rPr>
                <w:rFonts w:eastAsia="Times New Roman" w:cs="Times New Roman"/>
                <w:color w:val="000000"/>
                <w:sz w:val="18"/>
                <w:szCs w:val="18"/>
                <w:lang w:eastAsia="en-GB"/>
              </w:rPr>
            </w:pPr>
          </w:p>
        </w:tc>
        <w:tc>
          <w:tcPr>
            <w:tcW w:w="851" w:type="dxa"/>
            <w:noWrap/>
            <w:vAlign w:val="center"/>
            <w:hideMark/>
          </w:tcPr>
          <w:p w14:paraId="6283AF6E"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DBD</w:t>
            </w:r>
          </w:p>
        </w:tc>
        <w:tc>
          <w:tcPr>
            <w:tcW w:w="992" w:type="dxa"/>
            <w:noWrap/>
            <w:vAlign w:val="center"/>
          </w:tcPr>
          <w:p w14:paraId="70EDF17D"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992" w:type="dxa"/>
            <w:noWrap/>
            <w:vAlign w:val="center"/>
            <w:hideMark/>
          </w:tcPr>
          <w:p w14:paraId="73564324"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212/2,631</w:t>
            </w:r>
          </w:p>
        </w:tc>
        <w:tc>
          <w:tcPr>
            <w:tcW w:w="1418" w:type="dxa"/>
            <w:noWrap/>
            <w:vAlign w:val="center"/>
            <w:hideMark/>
          </w:tcPr>
          <w:p w14:paraId="4F5AAA4C"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1.20 (0.83–1.72)</w:t>
            </w:r>
          </w:p>
        </w:tc>
        <w:tc>
          <w:tcPr>
            <w:tcW w:w="1134" w:type="dxa"/>
            <w:noWrap/>
            <w:vAlign w:val="center"/>
            <w:hideMark/>
          </w:tcPr>
          <w:p w14:paraId="644406F0"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0.33</w:t>
            </w:r>
          </w:p>
        </w:tc>
        <w:tc>
          <w:tcPr>
            <w:tcW w:w="992" w:type="dxa"/>
            <w:vAlign w:val="center"/>
          </w:tcPr>
          <w:p w14:paraId="20CB2385"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418" w:type="dxa"/>
            <w:vAlign w:val="center"/>
          </w:tcPr>
          <w:p w14:paraId="2C1E623C"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cs="Times New Roman"/>
                <w:color w:val="000000"/>
                <w:sz w:val="18"/>
                <w:szCs w:val="18"/>
              </w:rPr>
              <w:t>211/2,626</w:t>
            </w:r>
          </w:p>
        </w:tc>
        <w:tc>
          <w:tcPr>
            <w:tcW w:w="1417" w:type="dxa"/>
            <w:noWrap/>
            <w:vAlign w:val="center"/>
            <w:hideMark/>
          </w:tcPr>
          <w:p w14:paraId="24AB6520"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0.85 (0.52–1.39)</w:t>
            </w:r>
          </w:p>
        </w:tc>
        <w:tc>
          <w:tcPr>
            <w:tcW w:w="1387" w:type="dxa"/>
            <w:noWrap/>
            <w:vAlign w:val="center"/>
            <w:hideMark/>
          </w:tcPr>
          <w:p w14:paraId="5E53417C"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cs="Times New Roman"/>
                <w:sz w:val="18"/>
                <w:szCs w:val="18"/>
              </w:rPr>
              <w:t>0.53</w:t>
            </w:r>
          </w:p>
        </w:tc>
      </w:tr>
      <w:tr w:rsidR="00E378EF" w:rsidRPr="005707BC" w14:paraId="6050839F" w14:textId="77777777" w:rsidTr="00B20FEC">
        <w:trPr>
          <w:trHeight w:val="300"/>
          <w:jc w:val="center"/>
        </w:trPr>
        <w:tc>
          <w:tcPr>
            <w:cnfStyle w:val="001000000000" w:firstRow="0" w:lastRow="0" w:firstColumn="1" w:lastColumn="0" w:oddVBand="0" w:evenVBand="0" w:oddHBand="0" w:evenHBand="0" w:firstRowFirstColumn="0" w:firstRowLastColumn="0" w:lastRowFirstColumn="0" w:lastRowLastColumn="0"/>
            <w:tcW w:w="2258" w:type="dxa"/>
            <w:noWrap/>
            <w:vAlign w:val="center"/>
          </w:tcPr>
          <w:p w14:paraId="24DE79EC" w14:textId="77777777" w:rsidR="00546B65" w:rsidRPr="005707BC" w:rsidRDefault="00546B65" w:rsidP="0025243F">
            <w:pPr>
              <w:spacing w:line="360" w:lineRule="auto"/>
              <w:rPr>
                <w:rFonts w:eastAsia="Times New Roman" w:cs="Times New Roman"/>
                <w:color w:val="000000"/>
                <w:sz w:val="18"/>
                <w:szCs w:val="18"/>
                <w:lang w:eastAsia="en-GB"/>
              </w:rPr>
            </w:pPr>
          </w:p>
        </w:tc>
        <w:tc>
          <w:tcPr>
            <w:tcW w:w="851" w:type="dxa"/>
            <w:noWrap/>
            <w:vAlign w:val="center"/>
            <w:hideMark/>
          </w:tcPr>
          <w:p w14:paraId="05F82B27"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DCD</w:t>
            </w:r>
          </w:p>
        </w:tc>
        <w:tc>
          <w:tcPr>
            <w:tcW w:w="992" w:type="dxa"/>
            <w:noWrap/>
            <w:vAlign w:val="center"/>
          </w:tcPr>
          <w:p w14:paraId="1C9C3789"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992" w:type="dxa"/>
            <w:noWrap/>
            <w:vAlign w:val="center"/>
            <w:hideMark/>
          </w:tcPr>
          <w:p w14:paraId="300B375F"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54/557</w:t>
            </w:r>
          </w:p>
        </w:tc>
        <w:tc>
          <w:tcPr>
            <w:tcW w:w="1418" w:type="dxa"/>
            <w:noWrap/>
            <w:vAlign w:val="center"/>
            <w:hideMark/>
          </w:tcPr>
          <w:p w14:paraId="3957FE9F"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1.38 (0.90–2.12)</w:t>
            </w:r>
          </w:p>
        </w:tc>
        <w:tc>
          <w:tcPr>
            <w:tcW w:w="1134" w:type="dxa"/>
            <w:noWrap/>
            <w:vAlign w:val="center"/>
            <w:hideMark/>
          </w:tcPr>
          <w:p w14:paraId="7FCFDBB2"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0.14</w:t>
            </w:r>
          </w:p>
        </w:tc>
        <w:tc>
          <w:tcPr>
            <w:tcW w:w="992" w:type="dxa"/>
            <w:vAlign w:val="center"/>
          </w:tcPr>
          <w:p w14:paraId="642C35DF"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299/3,693</w:t>
            </w:r>
          </w:p>
        </w:tc>
        <w:tc>
          <w:tcPr>
            <w:tcW w:w="1418" w:type="dxa"/>
            <w:vAlign w:val="center"/>
          </w:tcPr>
          <w:p w14:paraId="0F1B8FBF"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cs="Times New Roman"/>
                <w:color w:val="000000"/>
                <w:sz w:val="18"/>
                <w:szCs w:val="18"/>
              </w:rPr>
              <w:t>54/556</w:t>
            </w:r>
          </w:p>
        </w:tc>
        <w:tc>
          <w:tcPr>
            <w:tcW w:w="1417" w:type="dxa"/>
            <w:noWrap/>
            <w:vAlign w:val="center"/>
            <w:hideMark/>
          </w:tcPr>
          <w:p w14:paraId="2F663CCC"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1.11 (0.66–1.88)</w:t>
            </w:r>
          </w:p>
        </w:tc>
        <w:tc>
          <w:tcPr>
            <w:tcW w:w="1387" w:type="dxa"/>
            <w:noWrap/>
            <w:vAlign w:val="center"/>
            <w:hideMark/>
          </w:tcPr>
          <w:p w14:paraId="0037309C"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cs="Times New Roman"/>
                <w:sz w:val="18"/>
                <w:szCs w:val="18"/>
              </w:rPr>
              <w:t>0.69</w:t>
            </w:r>
          </w:p>
        </w:tc>
      </w:tr>
      <w:tr w:rsidR="00E378EF" w:rsidRPr="005707BC" w14:paraId="3F99FD0D" w14:textId="77777777" w:rsidTr="00B20FEC">
        <w:trPr>
          <w:trHeight w:val="300"/>
          <w:jc w:val="center"/>
        </w:trPr>
        <w:tc>
          <w:tcPr>
            <w:cnfStyle w:val="001000000000" w:firstRow="0" w:lastRow="0" w:firstColumn="1" w:lastColumn="0" w:oddVBand="0" w:evenVBand="0" w:oddHBand="0" w:evenHBand="0" w:firstRowFirstColumn="0" w:firstRowLastColumn="0" w:lastRowFirstColumn="0" w:lastRowLastColumn="0"/>
            <w:tcW w:w="2258" w:type="dxa"/>
            <w:noWrap/>
            <w:vAlign w:val="center"/>
            <w:hideMark/>
          </w:tcPr>
          <w:p w14:paraId="0BD65863" w14:textId="77777777" w:rsidR="00546B65" w:rsidRPr="005707BC" w:rsidRDefault="00546B65" w:rsidP="0025243F">
            <w:pPr>
              <w:spacing w:line="360" w:lineRule="auto"/>
              <w:rPr>
                <w:rFonts w:eastAsia="Times New Roman" w:cs="Times New Roman"/>
                <w:color w:val="000000"/>
                <w:sz w:val="18"/>
                <w:szCs w:val="18"/>
                <w:lang w:eastAsia="en-GB"/>
              </w:rPr>
            </w:pPr>
            <w:r w:rsidRPr="005707BC">
              <w:rPr>
                <w:rFonts w:eastAsia="Times New Roman" w:cs="Times New Roman"/>
                <w:color w:val="000000"/>
                <w:sz w:val="18"/>
                <w:szCs w:val="18"/>
                <w:lang w:eastAsia="en-GB"/>
              </w:rPr>
              <w:t>Donor–recipient CMV serostatus</w:t>
            </w:r>
          </w:p>
        </w:tc>
        <w:tc>
          <w:tcPr>
            <w:tcW w:w="851" w:type="dxa"/>
            <w:noWrap/>
            <w:vAlign w:val="center"/>
            <w:hideMark/>
          </w:tcPr>
          <w:p w14:paraId="390985DD"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D−/R−</w:t>
            </w:r>
          </w:p>
        </w:tc>
        <w:tc>
          <w:tcPr>
            <w:tcW w:w="992" w:type="dxa"/>
            <w:noWrap/>
            <w:vAlign w:val="center"/>
            <w:hideMark/>
          </w:tcPr>
          <w:p w14:paraId="3D613618"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300/3,709</w:t>
            </w:r>
          </w:p>
        </w:tc>
        <w:tc>
          <w:tcPr>
            <w:tcW w:w="992" w:type="dxa"/>
            <w:noWrap/>
            <w:vAlign w:val="center"/>
            <w:hideMark/>
          </w:tcPr>
          <w:p w14:paraId="55650325"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33/742</w:t>
            </w:r>
          </w:p>
        </w:tc>
        <w:tc>
          <w:tcPr>
            <w:tcW w:w="1418" w:type="dxa"/>
            <w:noWrap/>
            <w:vAlign w:val="center"/>
            <w:hideMark/>
          </w:tcPr>
          <w:p w14:paraId="1F3686C6" w14:textId="768347DC" w:rsidR="00546B65" w:rsidRPr="005707BC" w:rsidRDefault="00D45F56"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Ref.</w:t>
            </w:r>
          </w:p>
        </w:tc>
        <w:tc>
          <w:tcPr>
            <w:tcW w:w="1134" w:type="dxa"/>
            <w:noWrap/>
            <w:vAlign w:val="center"/>
            <w:hideMark/>
          </w:tcPr>
          <w:p w14:paraId="09DD15BA" w14:textId="3D6347C5" w:rsidR="00546B65" w:rsidRPr="005707BC" w:rsidRDefault="00D45F56"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Ref.</w:t>
            </w:r>
          </w:p>
        </w:tc>
        <w:tc>
          <w:tcPr>
            <w:tcW w:w="992" w:type="dxa"/>
            <w:vAlign w:val="center"/>
          </w:tcPr>
          <w:p w14:paraId="0197321A" w14:textId="77777777" w:rsidR="00546B65" w:rsidRPr="005707BC" w:rsidDel="00E22D36"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299/3,693</w:t>
            </w:r>
          </w:p>
        </w:tc>
        <w:tc>
          <w:tcPr>
            <w:tcW w:w="1418" w:type="dxa"/>
            <w:vAlign w:val="center"/>
          </w:tcPr>
          <w:p w14:paraId="2069C565" w14:textId="77777777" w:rsidR="00546B65" w:rsidRPr="005707BC" w:rsidDel="00E22D36"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cs="Times New Roman"/>
                <w:color w:val="000000"/>
                <w:sz w:val="18"/>
                <w:szCs w:val="18"/>
              </w:rPr>
              <w:t>33/739</w:t>
            </w:r>
          </w:p>
        </w:tc>
        <w:tc>
          <w:tcPr>
            <w:tcW w:w="1417" w:type="dxa"/>
            <w:noWrap/>
            <w:vAlign w:val="center"/>
            <w:hideMark/>
          </w:tcPr>
          <w:p w14:paraId="14C68525" w14:textId="3C9976B4" w:rsidR="00546B65" w:rsidRPr="005707BC" w:rsidRDefault="00D45F56"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Ref.</w:t>
            </w:r>
          </w:p>
        </w:tc>
        <w:tc>
          <w:tcPr>
            <w:tcW w:w="1387" w:type="dxa"/>
            <w:noWrap/>
            <w:vAlign w:val="center"/>
            <w:hideMark/>
          </w:tcPr>
          <w:p w14:paraId="1EEE8611" w14:textId="4919BD08" w:rsidR="00546B65" w:rsidRPr="005707BC" w:rsidRDefault="00D45F56"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cs="Times New Roman"/>
                <w:sz w:val="18"/>
                <w:szCs w:val="18"/>
              </w:rPr>
              <w:t>Ref.</w:t>
            </w:r>
          </w:p>
        </w:tc>
      </w:tr>
      <w:tr w:rsidR="00DD53D6" w:rsidRPr="005707BC" w14:paraId="4537DD95" w14:textId="77777777" w:rsidTr="00B20FEC">
        <w:trPr>
          <w:trHeight w:val="300"/>
          <w:jc w:val="center"/>
        </w:trPr>
        <w:tc>
          <w:tcPr>
            <w:cnfStyle w:val="001000000000" w:firstRow="0" w:lastRow="0" w:firstColumn="1" w:lastColumn="0" w:oddVBand="0" w:evenVBand="0" w:oddHBand="0" w:evenHBand="0" w:firstRowFirstColumn="0" w:firstRowLastColumn="0" w:lastRowFirstColumn="0" w:lastRowLastColumn="0"/>
            <w:tcW w:w="2258" w:type="dxa"/>
            <w:noWrap/>
            <w:vAlign w:val="center"/>
          </w:tcPr>
          <w:p w14:paraId="118DA6C4" w14:textId="77777777" w:rsidR="00DD53D6" w:rsidRPr="005707BC" w:rsidRDefault="00DD53D6" w:rsidP="00DD53D6">
            <w:pPr>
              <w:spacing w:line="360" w:lineRule="auto"/>
              <w:rPr>
                <w:rFonts w:eastAsia="Times New Roman" w:cs="Times New Roman"/>
                <w:color w:val="000000"/>
                <w:sz w:val="18"/>
                <w:szCs w:val="18"/>
                <w:lang w:eastAsia="en-GB"/>
              </w:rPr>
            </w:pPr>
          </w:p>
        </w:tc>
        <w:tc>
          <w:tcPr>
            <w:tcW w:w="851" w:type="dxa"/>
            <w:noWrap/>
            <w:vAlign w:val="center"/>
            <w:hideMark/>
          </w:tcPr>
          <w:p w14:paraId="0243707E" w14:textId="77777777" w:rsidR="00DD53D6" w:rsidRPr="005707BC" w:rsidRDefault="00DD53D6" w:rsidP="00DD53D6">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D+/R+</w:t>
            </w:r>
          </w:p>
        </w:tc>
        <w:tc>
          <w:tcPr>
            <w:tcW w:w="992" w:type="dxa"/>
            <w:noWrap/>
            <w:vAlign w:val="center"/>
          </w:tcPr>
          <w:p w14:paraId="703F4998" w14:textId="77777777" w:rsidR="00DD53D6" w:rsidRPr="005707BC" w:rsidRDefault="00DD53D6" w:rsidP="00DD53D6">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992" w:type="dxa"/>
            <w:noWrap/>
            <w:vAlign w:val="center"/>
            <w:hideMark/>
          </w:tcPr>
          <w:p w14:paraId="46F7326C" w14:textId="77777777" w:rsidR="00DD53D6" w:rsidRPr="005707BC" w:rsidRDefault="00DD53D6" w:rsidP="00DD53D6">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112/1,370</w:t>
            </w:r>
          </w:p>
        </w:tc>
        <w:tc>
          <w:tcPr>
            <w:tcW w:w="1418" w:type="dxa"/>
            <w:noWrap/>
            <w:vAlign w:val="center"/>
            <w:hideMark/>
          </w:tcPr>
          <w:p w14:paraId="145640DD" w14:textId="77777777" w:rsidR="00DD53D6" w:rsidRPr="005707BC" w:rsidRDefault="00DD53D6" w:rsidP="00DD53D6">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2.32 (1.57–3.42)</w:t>
            </w:r>
          </w:p>
        </w:tc>
        <w:tc>
          <w:tcPr>
            <w:tcW w:w="1134" w:type="dxa"/>
            <w:noWrap/>
            <w:vAlign w:val="center"/>
            <w:hideMark/>
          </w:tcPr>
          <w:p w14:paraId="4C0319C7" w14:textId="44321EC7" w:rsidR="00DD53D6" w:rsidRPr="005707BC" w:rsidRDefault="00D53FD9" w:rsidP="00DD53D6">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cs="Times New Roman"/>
                <w:sz w:val="18"/>
                <w:szCs w:val="18"/>
              </w:rPr>
              <w:t>2.26 × 10</w:t>
            </w:r>
            <w:r w:rsidRPr="005707BC">
              <w:rPr>
                <w:rFonts w:cs="Times New Roman"/>
                <w:sz w:val="18"/>
                <w:szCs w:val="18"/>
                <w:vertAlign w:val="superscript"/>
              </w:rPr>
              <w:t>-5</w:t>
            </w:r>
          </w:p>
        </w:tc>
        <w:tc>
          <w:tcPr>
            <w:tcW w:w="992" w:type="dxa"/>
            <w:vAlign w:val="center"/>
          </w:tcPr>
          <w:p w14:paraId="2E00C9AD" w14:textId="77777777" w:rsidR="00DD53D6" w:rsidRPr="005707BC" w:rsidRDefault="00DD53D6" w:rsidP="00DD53D6">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418" w:type="dxa"/>
            <w:vAlign w:val="center"/>
          </w:tcPr>
          <w:p w14:paraId="6F45B847" w14:textId="77777777" w:rsidR="00DD53D6" w:rsidRPr="005707BC" w:rsidRDefault="00DD53D6" w:rsidP="00DD53D6">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cs="Times New Roman"/>
                <w:color w:val="000000"/>
                <w:sz w:val="18"/>
                <w:szCs w:val="18"/>
              </w:rPr>
              <w:t>112/1,363</w:t>
            </w:r>
          </w:p>
        </w:tc>
        <w:tc>
          <w:tcPr>
            <w:tcW w:w="1417" w:type="dxa"/>
            <w:noWrap/>
            <w:vAlign w:val="center"/>
            <w:hideMark/>
          </w:tcPr>
          <w:p w14:paraId="60BB721A" w14:textId="77777777" w:rsidR="00DD53D6" w:rsidRPr="005707BC" w:rsidRDefault="00DD53D6" w:rsidP="00DD53D6">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2.34 (1.57–3.49)</w:t>
            </w:r>
          </w:p>
        </w:tc>
        <w:tc>
          <w:tcPr>
            <w:tcW w:w="1387" w:type="dxa"/>
            <w:noWrap/>
            <w:vAlign w:val="center"/>
            <w:hideMark/>
          </w:tcPr>
          <w:p w14:paraId="12154875" w14:textId="3E9F5CBF" w:rsidR="00DD53D6" w:rsidRPr="005707BC" w:rsidRDefault="00D53FD9" w:rsidP="00DD53D6">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cs="Times New Roman"/>
                <w:color w:val="000000"/>
                <w:sz w:val="18"/>
                <w:szCs w:val="18"/>
              </w:rPr>
              <w:t>3.07 × 10</w:t>
            </w:r>
            <w:r w:rsidRPr="005707BC">
              <w:rPr>
                <w:rFonts w:cs="Times New Roman"/>
                <w:color w:val="000000"/>
                <w:sz w:val="18"/>
                <w:szCs w:val="18"/>
                <w:vertAlign w:val="superscript"/>
              </w:rPr>
              <w:t>-5</w:t>
            </w:r>
          </w:p>
        </w:tc>
      </w:tr>
      <w:tr w:rsidR="00DD53D6" w:rsidRPr="005707BC" w14:paraId="5710010F" w14:textId="77777777" w:rsidTr="00B20FEC">
        <w:trPr>
          <w:trHeight w:val="300"/>
          <w:jc w:val="center"/>
        </w:trPr>
        <w:tc>
          <w:tcPr>
            <w:cnfStyle w:val="001000000000" w:firstRow="0" w:lastRow="0" w:firstColumn="1" w:lastColumn="0" w:oddVBand="0" w:evenVBand="0" w:oddHBand="0" w:evenHBand="0" w:firstRowFirstColumn="0" w:firstRowLastColumn="0" w:lastRowFirstColumn="0" w:lastRowLastColumn="0"/>
            <w:tcW w:w="2258" w:type="dxa"/>
            <w:noWrap/>
            <w:vAlign w:val="center"/>
          </w:tcPr>
          <w:p w14:paraId="14CFEEB6" w14:textId="77777777" w:rsidR="00DD53D6" w:rsidRPr="005707BC" w:rsidRDefault="00DD53D6" w:rsidP="00DD53D6">
            <w:pPr>
              <w:spacing w:line="360" w:lineRule="auto"/>
              <w:rPr>
                <w:rFonts w:eastAsia="Times New Roman" w:cs="Times New Roman"/>
                <w:color w:val="000000"/>
                <w:sz w:val="18"/>
                <w:szCs w:val="18"/>
                <w:lang w:eastAsia="en-GB"/>
              </w:rPr>
            </w:pPr>
          </w:p>
        </w:tc>
        <w:tc>
          <w:tcPr>
            <w:tcW w:w="851" w:type="dxa"/>
            <w:noWrap/>
            <w:vAlign w:val="center"/>
            <w:hideMark/>
          </w:tcPr>
          <w:p w14:paraId="08056661" w14:textId="77777777" w:rsidR="00DD53D6" w:rsidRPr="005707BC" w:rsidRDefault="00DD53D6" w:rsidP="00DD53D6">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D+/R−</w:t>
            </w:r>
          </w:p>
        </w:tc>
        <w:tc>
          <w:tcPr>
            <w:tcW w:w="992" w:type="dxa"/>
            <w:noWrap/>
            <w:vAlign w:val="center"/>
          </w:tcPr>
          <w:p w14:paraId="52355BCC" w14:textId="77777777" w:rsidR="00DD53D6" w:rsidRPr="005707BC" w:rsidRDefault="00DD53D6" w:rsidP="00DD53D6">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992" w:type="dxa"/>
            <w:noWrap/>
            <w:vAlign w:val="center"/>
            <w:hideMark/>
          </w:tcPr>
          <w:p w14:paraId="640F82AA" w14:textId="77777777" w:rsidR="00DD53D6" w:rsidRPr="005707BC" w:rsidRDefault="00DD53D6" w:rsidP="00DD53D6">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59/724</w:t>
            </w:r>
          </w:p>
        </w:tc>
        <w:tc>
          <w:tcPr>
            <w:tcW w:w="1418" w:type="dxa"/>
            <w:noWrap/>
            <w:vAlign w:val="center"/>
            <w:hideMark/>
          </w:tcPr>
          <w:p w14:paraId="4214A0A1" w14:textId="77777777" w:rsidR="00DD53D6" w:rsidRPr="005707BC" w:rsidRDefault="00DD53D6" w:rsidP="00DD53D6">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2.06 (1.34–3.15)</w:t>
            </w:r>
          </w:p>
        </w:tc>
        <w:tc>
          <w:tcPr>
            <w:tcW w:w="1134" w:type="dxa"/>
            <w:noWrap/>
            <w:vAlign w:val="center"/>
            <w:hideMark/>
          </w:tcPr>
          <w:p w14:paraId="2C631768" w14:textId="15280AC4" w:rsidR="00DD53D6" w:rsidRPr="005707BC" w:rsidRDefault="00D53FD9" w:rsidP="00DD53D6">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cs="Times New Roman"/>
                <w:sz w:val="18"/>
                <w:szCs w:val="18"/>
              </w:rPr>
              <w:t>9.16 × 10</w:t>
            </w:r>
            <w:r w:rsidRPr="005707BC">
              <w:rPr>
                <w:rFonts w:cs="Times New Roman"/>
                <w:sz w:val="18"/>
                <w:szCs w:val="18"/>
                <w:vertAlign w:val="superscript"/>
              </w:rPr>
              <w:t>-4</w:t>
            </w:r>
          </w:p>
        </w:tc>
        <w:tc>
          <w:tcPr>
            <w:tcW w:w="992" w:type="dxa"/>
            <w:vAlign w:val="center"/>
          </w:tcPr>
          <w:p w14:paraId="7085BF3B" w14:textId="77777777" w:rsidR="00DD53D6" w:rsidRPr="005707BC" w:rsidRDefault="00DD53D6" w:rsidP="00DD53D6">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418" w:type="dxa"/>
            <w:vAlign w:val="center"/>
          </w:tcPr>
          <w:p w14:paraId="56061B17" w14:textId="77777777" w:rsidR="00DD53D6" w:rsidRPr="005707BC" w:rsidRDefault="00DD53D6" w:rsidP="00DD53D6">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cs="Times New Roman"/>
                <w:color w:val="000000"/>
                <w:sz w:val="18"/>
                <w:szCs w:val="18"/>
              </w:rPr>
              <w:t>58/721</w:t>
            </w:r>
          </w:p>
        </w:tc>
        <w:tc>
          <w:tcPr>
            <w:tcW w:w="1417" w:type="dxa"/>
            <w:noWrap/>
            <w:vAlign w:val="center"/>
            <w:hideMark/>
          </w:tcPr>
          <w:p w14:paraId="434A277C" w14:textId="77777777" w:rsidR="00DD53D6" w:rsidRPr="005707BC" w:rsidRDefault="00DD53D6" w:rsidP="00DD53D6">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1.99 (1.29–3.06)</w:t>
            </w:r>
          </w:p>
        </w:tc>
        <w:tc>
          <w:tcPr>
            <w:tcW w:w="1387" w:type="dxa"/>
            <w:noWrap/>
            <w:vAlign w:val="center"/>
            <w:hideMark/>
          </w:tcPr>
          <w:p w14:paraId="0ED989A1" w14:textId="3C31B8E1" w:rsidR="00DD53D6" w:rsidRPr="005707BC" w:rsidRDefault="00DD53D6" w:rsidP="00DD53D6">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cs="Times New Roman"/>
                <w:color w:val="000000"/>
                <w:sz w:val="18"/>
                <w:szCs w:val="18"/>
              </w:rPr>
              <w:t>0.0017</w:t>
            </w:r>
          </w:p>
        </w:tc>
      </w:tr>
      <w:tr w:rsidR="00DD53D6" w:rsidRPr="005707BC" w14:paraId="24EB9C81" w14:textId="77777777" w:rsidTr="00B20FEC">
        <w:trPr>
          <w:trHeight w:val="300"/>
          <w:jc w:val="center"/>
        </w:trPr>
        <w:tc>
          <w:tcPr>
            <w:cnfStyle w:val="001000000000" w:firstRow="0" w:lastRow="0" w:firstColumn="1" w:lastColumn="0" w:oddVBand="0" w:evenVBand="0" w:oddHBand="0" w:evenHBand="0" w:firstRowFirstColumn="0" w:firstRowLastColumn="0" w:lastRowFirstColumn="0" w:lastRowLastColumn="0"/>
            <w:tcW w:w="2258" w:type="dxa"/>
            <w:noWrap/>
            <w:vAlign w:val="center"/>
          </w:tcPr>
          <w:p w14:paraId="6AF834D4" w14:textId="77777777" w:rsidR="00DD53D6" w:rsidRPr="005707BC" w:rsidRDefault="00DD53D6" w:rsidP="00DD53D6">
            <w:pPr>
              <w:spacing w:line="360" w:lineRule="auto"/>
              <w:rPr>
                <w:rFonts w:eastAsia="Times New Roman" w:cs="Times New Roman"/>
                <w:color w:val="000000"/>
                <w:sz w:val="18"/>
                <w:szCs w:val="18"/>
                <w:lang w:eastAsia="en-GB"/>
              </w:rPr>
            </w:pPr>
          </w:p>
        </w:tc>
        <w:tc>
          <w:tcPr>
            <w:tcW w:w="851" w:type="dxa"/>
            <w:noWrap/>
            <w:vAlign w:val="center"/>
            <w:hideMark/>
          </w:tcPr>
          <w:p w14:paraId="4F0F9908" w14:textId="77777777" w:rsidR="00DD53D6" w:rsidRPr="005707BC" w:rsidRDefault="00DD53D6" w:rsidP="00DD53D6">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D−/R+</w:t>
            </w:r>
          </w:p>
        </w:tc>
        <w:tc>
          <w:tcPr>
            <w:tcW w:w="992" w:type="dxa"/>
            <w:noWrap/>
            <w:vAlign w:val="center"/>
          </w:tcPr>
          <w:p w14:paraId="246EB707" w14:textId="77777777" w:rsidR="00DD53D6" w:rsidRPr="005707BC" w:rsidRDefault="00DD53D6" w:rsidP="00DD53D6">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992" w:type="dxa"/>
            <w:noWrap/>
            <w:vAlign w:val="center"/>
            <w:hideMark/>
          </w:tcPr>
          <w:p w14:paraId="46704954" w14:textId="77777777" w:rsidR="00DD53D6" w:rsidRPr="005707BC" w:rsidRDefault="00DD53D6" w:rsidP="00DD53D6">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96/873</w:t>
            </w:r>
          </w:p>
        </w:tc>
        <w:tc>
          <w:tcPr>
            <w:tcW w:w="1418" w:type="dxa"/>
            <w:noWrap/>
            <w:vAlign w:val="center"/>
            <w:hideMark/>
          </w:tcPr>
          <w:p w14:paraId="5CBA07C9" w14:textId="77777777" w:rsidR="00DD53D6" w:rsidRPr="005707BC" w:rsidRDefault="00DD53D6" w:rsidP="00DD53D6">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2.77 (1.86–4.11)</w:t>
            </w:r>
          </w:p>
        </w:tc>
        <w:tc>
          <w:tcPr>
            <w:tcW w:w="1134" w:type="dxa"/>
            <w:noWrap/>
            <w:vAlign w:val="center"/>
            <w:hideMark/>
          </w:tcPr>
          <w:p w14:paraId="67C995EA" w14:textId="21EB81AB" w:rsidR="00DD53D6" w:rsidRPr="005707BC" w:rsidRDefault="00D53FD9" w:rsidP="00DD53D6">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cs="Times New Roman"/>
                <w:sz w:val="18"/>
                <w:szCs w:val="18"/>
              </w:rPr>
              <w:t>4.50 × 10</w:t>
            </w:r>
            <w:r w:rsidRPr="005707BC">
              <w:rPr>
                <w:rFonts w:cs="Times New Roman"/>
                <w:sz w:val="18"/>
                <w:szCs w:val="18"/>
                <w:vertAlign w:val="superscript"/>
              </w:rPr>
              <w:t>-7</w:t>
            </w:r>
          </w:p>
        </w:tc>
        <w:tc>
          <w:tcPr>
            <w:tcW w:w="992" w:type="dxa"/>
            <w:vAlign w:val="center"/>
          </w:tcPr>
          <w:p w14:paraId="3B89216D" w14:textId="77777777" w:rsidR="00DD53D6" w:rsidRPr="005707BC" w:rsidRDefault="00DD53D6" w:rsidP="00DD53D6">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418" w:type="dxa"/>
            <w:vAlign w:val="center"/>
          </w:tcPr>
          <w:p w14:paraId="16D43043" w14:textId="77777777" w:rsidR="00DD53D6" w:rsidRPr="005707BC" w:rsidRDefault="00DD53D6" w:rsidP="00DD53D6">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cs="Times New Roman"/>
                <w:color w:val="000000"/>
                <w:sz w:val="18"/>
                <w:szCs w:val="18"/>
              </w:rPr>
              <w:t>96/870</w:t>
            </w:r>
          </w:p>
        </w:tc>
        <w:tc>
          <w:tcPr>
            <w:tcW w:w="1417" w:type="dxa"/>
            <w:noWrap/>
            <w:vAlign w:val="center"/>
            <w:hideMark/>
          </w:tcPr>
          <w:p w14:paraId="654C2FC3" w14:textId="77777777" w:rsidR="00DD53D6" w:rsidRPr="005707BC" w:rsidRDefault="00DD53D6" w:rsidP="00DD53D6">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2.64 (1.77–3.93)</w:t>
            </w:r>
          </w:p>
        </w:tc>
        <w:tc>
          <w:tcPr>
            <w:tcW w:w="1387" w:type="dxa"/>
            <w:noWrap/>
            <w:vAlign w:val="center"/>
            <w:hideMark/>
          </w:tcPr>
          <w:p w14:paraId="36D1393C" w14:textId="690E1DAA" w:rsidR="00DD53D6" w:rsidRPr="005707BC" w:rsidRDefault="00D53FD9" w:rsidP="00DD53D6">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cs="Times New Roman"/>
                <w:color w:val="000000"/>
                <w:sz w:val="18"/>
                <w:szCs w:val="18"/>
              </w:rPr>
              <w:t>2.06 × 10</w:t>
            </w:r>
            <w:r w:rsidRPr="005707BC">
              <w:rPr>
                <w:rFonts w:cs="Times New Roman"/>
                <w:color w:val="000000"/>
                <w:sz w:val="18"/>
                <w:szCs w:val="18"/>
                <w:vertAlign w:val="superscript"/>
              </w:rPr>
              <w:t>-6</w:t>
            </w:r>
          </w:p>
        </w:tc>
      </w:tr>
      <w:tr w:rsidR="00DD53D6" w:rsidRPr="005707BC" w14:paraId="3062845D" w14:textId="77777777" w:rsidTr="00B20FEC">
        <w:trPr>
          <w:trHeight w:val="300"/>
          <w:jc w:val="center"/>
        </w:trPr>
        <w:tc>
          <w:tcPr>
            <w:cnfStyle w:val="001000000000" w:firstRow="0" w:lastRow="0" w:firstColumn="1" w:lastColumn="0" w:oddVBand="0" w:evenVBand="0" w:oddHBand="0" w:evenHBand="0" w:firstRowFirstColumn="0" w:firstRowLastColumn="0" w:lastRowFirstColumn="0" w:lastRowLastColumn="0"/>
            <w:tcW w:w="2258" w:type="dxa"/>
            <w:noWrap/>
            <w:vAlign w:val="center"/>
            <w:hideMark/>
          </w:tcPr>
          <w:p w14:paraId="39788DF4" w14:textId="77777777" w:rsidR="00DD53D6" w:rsidRPr="005707BC" w:rsidRDefault="00DD53D6" w:rsidP="00DD53D6">
            <w:pPr>
              <w:spacing w:line="360" w:lineRule="auto"/>
              <w:rPr>
                <w:rFonts w:eastAsia="Times New Roman" w:cs="Times New Roman"/>
                <w:color w:val="000000"/>
                <w:sz w:val="18"/>
                <w:szCs w:val="18"/>
                <w:lang w:eastAsia="en-GB"/>
              </w:rPr>
            </w:pPr>
            <w:r w:rsidRPr="005707BC">
              <w:rPr>
                <w:rFonts w:eastAsia="Times New Roman" w:cs="Times New Roman"/>
                <w:color w:val="000000"/>
                <w:sz w:val="18"/>
                <w:szCs w:val="18"/>
                <w:lang w:eastAsia="en-GB"/>
              </w:rPr>
              <w:t>HLA mismatch (per mismatch)</w:t>
            </w:r>
          </w:p>
        </w:tc>
        <w:tc>
          <w:tcPr>
            <w:tcW w:w="851" w:type="dxa"/>
            <w:noWrap/>
            <w:vAlign w:val="center"/>
            <w:hideMark/>
          </w:tcPr>
          <w:p w14:paraId="60EAACEB" w14:textId="77777777" w:rsidR="00DD53D6" w:rsidRPr="005707BC" w:rsidRDefault="00DD53D6" w:rsidP="00DD53D6">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w:t>
            </w:r>
          </w:p>
        </w:tc>
        <w:tc>
          <w:tcPr>
            <w:tcW w:w="992" w:type="dxa"/>
            <w:noWrap/>
            <w:vAlign w:val="center"/>
            <w:hideMark/>
          </w:tcPr>
          <w:p w14:paraId="25F8A710" w14:textId="77777777" w:rsidR="00DD53D6" w:rsidRPr="005707BC" w:rsidRDefault="00DD53D6" w:rsidP="00DD53D6">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300/3,709</w:t>
            </w:r>
          </w:p>
        </w:tc>
        <w:tc>
          <w:tcPr>
            <w:tcW w:w="992" w:type="dxa"/>
            <w:noWrap/>
            <w:vAlign w:val="center"/>
            <w:hideMark/>
          </w:tcPr>
          <w:p w14:paraId="4F2DD5AC" w14:textId="77777777" w:rsidR="00DD53D6" w:rsidRPr="005707BC" w:rsidRDefault="00DD53D6" w:rsidP="00DD53D6">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w:t>
            </w:r>
          </w:p>
        </w:tc>
        <w:tc>
          <w:tcPr>
            <w:tcW w:w="1418" w:type="dxa"/>
            <w:noWrap/>
            <w:vAlign w:val="center"/>
            <w:hideMark/>
          </w:tcPr>
          <w:p w14:paraId="2C6AFE8D" w14:textId="77777777" w:rsidR="00DD53D6" w:rsidRPr="005707BC" w:rsidRDefault="00DD53D6" w:rsidP="00DD53D6">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1.16 (1.07–1.25)</w:t>
            </w:r>
          </w:p>
        </w:tc>
        <w:tc>
          <w:tcPr>
            <w:tcW w:w="1134" w:type="dxa"/>
            <w:noWrap/>
            <w:vAlign w:val="center"/>
            <w:hideMark/>
          </w:tcPr>
          <w:p w14:paraId="1FB4439D" w14:textId="350D522A" w:rsidR="00DD53D6" w:rsidRPr="005707BC" w:rsidRDefault="00D53FD9" w:rsidP="00DD53D6">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cs="Times New Roman"/>
                <w:sz w:val="18"/>
                <w:szCs w:val="18"/>
              </w:rPr>
              <w:t>3.37 × 10</w:t>
            </w:r>
            <w:r w:rsidRPr="005707BC">
              <w:rPr>
                <w:rFonts w:cs="Times New Roman"/>
                <w:sz w:val="18"/>
                <w:szCs w:val="18"/>
                <w:vertAlign w:val="superscript"/>
              </w:rPr>
              <w:t>-4</w:t>
            </w:r>
          </w:p>
        </w:tc>
        <w:tc>
          <w:tcPr>
            <w:tcW w:w="992" w:type="dxa"/>
            <w:vAlign w:val="center"/>
          </w:tcPr>
          <w:p w14:paraId="61929016" w14:textId="77777777" w:rsidR="00DD53D6" w:rsidRPr="005707BC" w:rsidRDefault="00DD53D6" w:rsidP="00DD53D6">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418" w:type="dxa"/>
            <w:vAlign w:val="center"/>
          </w:tcPr>
          <w:p w14:paraId="4EAE82B8" w14:textId="77777777" w:rsidR="00DD53D6" w:rsidRPr="005707BC" w:rsidRDefault="00DD53D6" w:rsidP="00DD53D6">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cs="Times New Roman"/>
                <w:color w:val="000000"/>
                <w:sz w:val="18"/>
                <w:szCs w:val="18"/>
              </w:rPr>
              <w:t>—</w:t>
            </w:r>
          </w:p>
        </w:tc>
        <w:tc>
          <w:tcPr>
            <w:tcW w:w="1417" w:type="dxa"/>
            <w:noWrap/>
            <w:vAlign w:val="center"/>
            <w:hideMark/>
          </w:tcPr>
          <w:p w14:paraId="17D9A7CF" w14:textId="77777777" w:rsidR="00DD53D6" w:rsidRPr="005707BC" w:rsidRDefault="00DD53D6" w:rsidP="00DD53D6">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1.17 (1.07–1.28)</w:t>
            </w:r>
          </w:p>
        </w:tc>
        <w:tc>
          <w:tcPr>
            <w:tcW w:w="1387" w:type="dxa"/>
            <w:noWrap/>
            <w:vAlign w:val="center"/>
            <w:hideMark/>
          </w:tcPr>
          <w:p w14:paraId="1407774F" w14:textId="745CD9EC" w:rsidR="00DD53D6" w:rsidRPr="005707BC" w:rsidRDefault="00D53FD9" w:rsidP="00DD53D6">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cs="Times New Roman"/>
                <w:color w:val="000000"/>
                <w:sz w:val="18"/>
                <w:szCs w:val="18"/>
              </w:rPr>
              <w:t>6.92 × 10</w:t>
            </w:r>
            <w:r w:rsidRPr="005707BC">
              <w:rPr>
                <w:rFonts w:cs="Times New Roman"/>
                <w:color w:val="000000"/>
                <w:sz w:val="18"/>
                <w:szCs w:val="18"/>
                <w:vertAlign w:val="superscript"/>
              </w:rPr>
              <w:t>-4</w:t>
            </w:r>
          </w:p>
        </w:tc>
      </w:tr>
      <w:tr w:rsidR="00E378EF" w:rsidRPr="005707BC" w14:paraId="3A6F3490" w14:textId="77777777" w:rsidTr="00B20FEC">
        <w:trPr>
          <w:trHeight w:val="300"/>
          <w:jc w:val="center"/>
        </w:trPr>
        <w:tc>
          <w:tcPr>
            <w:cnfStyle w:val="001000000000" w:firstRow="0" w:lastRow="0" w:firstColumn="1" w:lastColumn="0" w:oddVBand="0" w:evenVBand="0" w:oddHBand="0" w:evenHBand="0" w:firstRowFirstColumn="0" w:firstRowLastColumn="0" w:lastRowFirstColumn="0" w:lastRowLastColumn="0"/>
            <w:tcW w:w="2258" w:type="dxa"/>
            <w:noWrap/>
            <w:vAlign w:val="center"/>
            <w:hideMark/>
          </w:tcPr>
          <w:p w14:paraId="1F5BE810" w14:textId="77777777" w:rsidR="00546B65" w:rsidRPr="005707BC" w:rsidRDefault="00546B65" w:rsidP="0025243F">
            <w:pPr>
              <w:spacing w:line="360" w:lineRule="auto"/>
              <w:rPr>
                <w:rFonts w:eastAsia="Times New Roman" w:cs="Times New Roman"/>
                <w:color w:val="000000"/>
                <w:sz w:val="18"/>
                <w:szCs w:val="18"/>
                <w:lang w:eastAsia="en-GB"/>
              </w:rPr>
            </w:pPr>
            <w:r w:rsidRPr="005707BC">
              <w:rPr>
                <w:rFonts w:eastAsia="Times New Roman" w:cs="Times New Roman"/>
                <w:color w:val="000000"/>
                <w:sz w:val="18"/>
                <w:szCs w:val="18"/>
                <w:lang w:eastAsia="en-GB"/>
              </w:rPr>
              <w:t>Recipient age (per 10 years)</w:t>
            </w:r>
          </w:p>
        </w:tc>
        <w:tc>
          <w:tcPr>
            <w:tcW w:w="851" w:type="dxa"/>
            <w:noWrap/>
            <w:vAlign w:val="center"/>
            <w:hideMark/>
          </w:tcPr>
          <w:p w14:paraId="23E26B2E"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w:t>
            </w:r>
          </w:p>
        </w:tc>
        <w:tc>
          <w:tcPr>
            <w:tcW w:w="992" w:type="dxa"/>
            <w:noWrap/>
            <w:vAlign w:val="center"/>
            <w:hideMark/>
          </w:tcPr>
          <w:p w14:paraId="4036947C"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300/3,709</w:t>
            </w:r>
          </w:p>
        </w:tc>
        <w:tc>
          <w:tcPr>
            <w:tcW w:w="992" w:type="dxa"/>
            <w:noWrap/>
            <w:vAlign w:val="center"/>
            <w:hideMark/>
          </w:tcPr>
          <w:p w14:paraId="08EB2B8C"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w:t>
            </w:r>
          </w:p>
        </w:tc>
        <w:tc>
          <w:tcPr>
            <w:tcW w:w="1418" w:type="dxa"/>
            <w:noWrap/>
            <w:vAlign w:val="center"/>
            <w:hideMark/>
          </w:tcPr>
          <w:p w14:paraId="40F24CD0"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1.13 (1.03–1.24)</w:t>
            </w:r>
          </w:p>
        </w:tc>
        <w:tc>
          <w:tcPr>
            <w:tcW w:w="1134" w:type="dxa"/>
            <w:noWrap/>
            <w:vAlign w:val="center"/>
            <w:hideMark/>
          </w:tcPr>
          <w:p w14:paraId="2A798ED2"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0.0078</w:t>
            </w:r>
          </w:p>
        </w:tc>
        <w:tc>
          <w:tcPr>
            <w:tcW w:w="992" w:type="dxa"/>
            <w:vAlign w:val="center"/>
          </w:tcPr>
          <w:p w14:paraId="1468DE2A"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299/3,693</w:t>
            </w:r>
          </w:p>
        </w:tc>
        <w:tc>
          <w:tcPr>
            <w:tcW w:w="1418" w:type="dxa"/>
            <w:vAlign w:val="center"/>
          </w:tcPr>
          <w:p w14:paraId="161FBCDD"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cs="Times New Roman"/>
                <w:color w:val="000000"/>
                <w:sz w:val="18"/>
                <w:szCs w:val="18"/>
              </w:rPr>
              <w:t>—</w:t>
            </w:r>
          </w:p>
        </w:tc>
        <w:tc>
          <w:tcPr>
            <w:tcW w:w="1417" w:type="dxa"/>
            <w:noWrap/>
            <w:vAlign w:val="center"/>
            <w:hideMark/>
          </w:tcPr>
          <w:p w14:paraId="5A9D2853"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1.02 (0.92–1.13)</w:t>
            </w:r>
          </w:p>
        </w:tc>
        <w:tc>
          <w:tcPr>
            <w:tcW w:w="1387" w:type="dxa"/>
            <w:noWrap/>
            <w:vAlign w:val="center"/>
            <w:hideMark/>
          </w:tcPr>
          <w:p w14:paraId="5A20E147"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cs="Times New Roman"/>
                <w:sz w:val="18"/>
                <w:szCs w:val="18"/>
              </w:rPr>
              <w:t>0.71</w:t>
            </w:r>
          </w:p>
        </w:tc>
      </w:tr>
      <w:tr w:rsidR="00E378EF" w:rsidRPr="005707BC" w14:paraId="0A540C00" w14:textId="77777777" w:rsidTr="00B20FEC">
        <w:trPr>
          <w:trHeight w:val="300"/>
          <w:jc w:val="center"/>
        </w:trPr>
        <w:tc>
          <w:tcPr>
            <w:cnfStyle w:val="001000000000" w:firstRow="0" w:lastRow="0" w:firstColumn="1" w:lastColumn="0" w:oddVBand="0" w:evenVBand="0" w:oddHBand="0" w:evenHBand="0" w:firstRowFirstColumn="0" w:firstRowLastColumn="0" w:lastRowFirstColumn="0" w:lastRowLastColumn="0"/>
            <w:tcW w:w="2258" w:type="dxa"/>
            <w:noWrap/>
            <w:vAlign w:val="center"/>
            <w:hideMark/>
          </w:tcPr>
          <w:p w14:paraId="574054FF" w14:textId="77777777" w:rsidR="00546B65" w:rsidRPr="005707BC" w:rsidRDefault="00546B65" w:rsidP="0025243F">
            <w:pPr>
              <w:spacing w:line="360" w:lineRule="auto"/>
              <w:rPr>
                <w:rFonts w:eastAsia="Times New Roman" w:cs="Times New Roman"/>
                <w:color w:val="000000"/>
                <w:sz w:val="18"/>
                <w:szCs w:val="18"/>
                <w:lang w:eastAsia="en-GB"/>
              </w:rPr>
            </w:pPr>
            <w:r w:rsidRPr="005707BC">
              <w:rPr>
                <w:rFonts w:eastAsia="Times New Roman" w:cs="Times New Roman"/>
                <w:color w:val="000000"/>
                <w:sz w:val="18"/>
                <w:szCs w:val="18"/>
                <w:lang w:eastAsia="en-GB"/>
              </w:rPr>
              <w:t>Recipient sex</w:t>
            </w:r>
          </w:p>
        </w:tc>
        <w:tc>
          <w:tcPr>
            <w:tcW w:w="851" w:type="dxa"/>
            <w:noWrap/>
            <w:vAlign w:val="center"/>
            <w:hideMark/>
          </w:tcPr>
          <w:p w14:paraId="5A09AEED"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Male</w:t>
            </w:r>
          </w:p>
        </w:tc>
        <w:tc>
          <w:tcPr>
            <w:tcW w:w="992" w:type="dxa"/>
            <w:noWrap/>
            <w:vAlign w:val="center"/>
            <w:hideMark/>
          </w:tcPr>
          <w:p w14:paraId="40889057"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300/3,709</w:t>
            </w:r>
          </w:p>
        </w:tc>
        <w:tc>
          <w:tcPr>
            <w:tcW w:w="992" w:type="dxa"/>
            <w:noWrap/>
            <w:vAlign w:val="center"/>
            <w:hideMark/>
          </w:tcPr>
          <w:p w14:paraId="52163611"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172/2,400</w:t>
            </w:r>
          </w:p>
        </w:tc>
        <w:tc>
          <w:tcPr>
            <w:tcW w:w="1418" w:type="dxa"/>
            <w:noWrap/>
            <w:vAlign w:val="center"/>
            <w:hideMark/>
          </w:tcPr>
          <w:p w14:paraId="3925098F" w14:textId="6FA47CB8" w:rsidR="00546B65" w:rsidRPr="005707BC" w:rsidRDefault="00D45F56"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Ref.</w:t>
            </w:r>
          </w:p>
        </w:tc>
        <w:tc>
          <w:tcPr>
            <w:tcW w:w="1134" w:type="dxa"/>
            <w:noWrap/>
            <w:vAlign w:val="center"/>
            <w:hideMark/>
          </w:tcPr>
          <w:p w14:paraId="5CEC958E" w14:textId="161691BC" w:rsidR="00546B65" w:rsidRPr="005707BC" w:rsidRDefault="00D45F56"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Ref.</w:t>
            </w:r>
          </w:p>
        </w:tc>
        <w:tc>
          <w:tcPr>
            <w:tcW w:w="992" w:type="dxa"/>
            <w:vAlign w:val="center"/>
          </w:tcPr>
          <w:p w14:paraId="7B3243EC" w14:textId="77777777" w:rsidR="00546B65" w:rsidRPr="005707BC" w:rsidDel="00E22D36"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299/3,693</w:t>
            </w:r>
          </w:p>
        </w:tc>
        <w:tc>
          <w:tcPr>
            <w:tcW w:w="1418" w:type="dxa"/>
            <w:vAlign w:val="center"/>
          </w:tcPr>
          <w:p w14:paraId="52649EAF" w14:textId="77777777" w:rsidR="00546B65" w:rsidRPr="005707BC" w:rsidDel="00E22D36"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cs="Times New Roman"/>
                <w:color w:val="000000"/>
                <w:sz w:val="18"/>
                <w:szCs w:val="18"/>
              </w:rPr>
              <w:t>171/2,391</w:t>
            </w:r>
          </w:p>
        </w:tc>
        <w:tc>
          <w:tcPr>
            <w:tcW w:w="1417" w:type="dxa"/>
            <w:noWrap/>
            <w:vAlign w:val="center"/>
            <w:hideMark/>
          </w:tcPr>
          <w:p w14:paraId="7928736A" w14:textId="3D1B547C" w:rsidR="00546B65" w:rsidRPr="005707BC" w:rsidRDefault="00D45F56"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Ref.</w:t>
            </w:r>
          </w:p>
        </w:tc>
        <w:tc>
          <w:tcPr>
            <w:tcW w:w="1387" w:type="dxa"/>
            <w:noWrap/>
            <w:vAlign w:val="center"/>
            <w:hideMark/>
          </w:tcPr>
          <w:p w14:paraId="1FE0B387" w14:textId="74527587" w:rsidR="00546B65" w:rsidRPr="005707BC" w:rsidRDefault="00D45F56"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cs="Times New Roman"/>
                <w:sz w:val="18"/>
                <w:szCs w:val="18"/>
              </w:rPr>
              <w:t>Ref.</w:t>
            </w:r>
          </w:p>
        </w:tc>
      </w:tr>
      <w:tr w:rsidR="00E378EF" w:rsidRPr="005707BC" w14:paraId="019E29C2" w14:textId="77777777" w:rsidTr="00B20FEC">
        <w:trPr>
          <w:trHeight w:val="300"/>
          <w:jc w:val="center"/>
        </w:trPr>
        <w:tc>
          <w:tcPr>
            <w:cnfStyle w:val="001000000000" w:firstRow="0" w:lastRow="0" w:firstColumn="1" w:lastColumn="0" w:oddVBand="0" w:evenVBand="0" w:oddHBand="0" w:evenHBand="0" w:firstRowFirstColumn="0" w:firstRowLastColumn="0" w:lastRowFirstColumn="0" w:lastRowLastColumn="0"/>
            <w:tcW w:w="2258" w:type="dxa"/>
            <w:noWrap/>
            <w:vAlign w:val="center"/>
            <w:hideMark/>
          </w:tcPr>
          <w:p w14:paraId="555D1A31" w14:textId="77777777" w:rsidR="00546B65" w:rsidRPr="005707BC" w:rsidRDefault="00546B65" w:rsidP="0025243F">
            <w:pPr>
              <w:spacing w:line="360" w:lineRule="auto"/>
              <w:rPr>
                <w:rFonts w:eastAsia="Times New Roman" w:cs="Times New Roman"/>
                <w:color w:val="000000"/>
                <w:sz w:val="18"/>
                <w:szCs w:val="18"/>
                <w:lang w:eastAsia="en-GB"/>
              </w:rPr>
            </w:pPr>
          </w:p>
        </w:tc>
        <w:tc>
          <w:tcPr>
            <w:tcW w:w="851" w:type="dxa"/>
            <w:noWrap/>
            <w:vAlign w:val="center"/>
            <w:hideMark/>
          </w:tcPr>
          <w:p w14:paraId="6FC29A7F"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Female</w:t>
            </w:r>
          </w:p>
        </w:tc>
        <w:tc>
          <w:tcPr>
            <w:tcW w:w="992" w:type="dxa"/>
            <w:noWrap/>
            <w:vAlign w:val="center"/>
          </w:tcPr>
          <w:p w14:paraId="17ADEC08"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992" w:type="dxa"/>
            <w:noWrap/>
            <w:vAlign w:val="center"/>
            <w:hideMark/>
          </w:tcPr>
          <w:p w14:paraId="0644A5FB"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128/1,309</w:t>
            </w:r>
          </w:p>
        </w:tc>
        <w:tc>
          <w:tcPr>
            <w:tcW w:w="1418" w:type="dxa"/>
            <w:noWrap/>
            <w:vAlign w:val="center"/>
            <w:hideMark/>
          </w:tcPr>
          <w:p w14:paraId="12A05512"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1.35 (1.07–1.69)</w:t>
            </w:r>
          </w:p>
        </w:tc>
        <w:tc>
          <w:tcPr>
            <w:tcW w:w="1134" w:type="dxa"/>
            <w:noWrap/>
            <w:vAlign w:val="center"/>
            <w:hideMark/>
          </w:tcPr>
          <w:p w14:paraId="2BEC4093"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0.011</w:t>
            </w:r>
          </w:p>
        </w:tc>
        <w:tc>
          <w:tcPr>
            <w:tcW w:w="992" w:type="dxa"/>
            <w:vAlign w:val="center"/>
          </w:tcPr>
          <w:p w14:paraId="21760140"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418" w:type="dxa"/>
            <w:vAlign w:val="center"/>
          </w:tcPr>
          <w:p w14:paraId="471AB06B"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cs="Times New Roman"/>
                <w:color w:val="000000"/>
                <w:sz w:val="18"/>
                <w:szCs w:val="18"/>
              </w:rPr>
              <w:t>128/1,302</w:t>
            </w:r>
          </w:p>
        </w:tc>
        <w:tc>
          <w:tcPr>
            <w:tcW w:w="1417" w:type="dxa"/>
            <w:noWrap/>
            <w:vAlign w:val="center"/>
            <w:hideMark/>
          </w:tcPr>
          <w:p w14:paraId="65EECD3D"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1.28 (1.02–1.62)</w:t>
            </w:r>
          </w:p>
        </w:tc>
        <w:tc>
          <w:tcPr>
            <w:tcW w:w="1387" w:type="dxa"/>
            <w:noWrap/>
            <w:vAlign w:val="center"/>
            <w:hideMark/>
          </w:tcPr>
          <w:p w14:paraId="15448B3C"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cs="Times New Roman"/>
                <w:sz w:val="18"/>
                <w:szCs w:val="18"/>
              </w:rPr>
              <w:t>0.034</w:t>
            </w:r>
          </w:p>
        </w:tc>
      </w:tr>
      <w:tr w:rsidR="00E378EF" w:rsidRPr="005707BC" w14:paraId="7C83DD4A" w14:textId="77777777" w:rsidTr="00B20FEC">
        <w:trPr>
          <w:trHeight w:val="300"/>
          <w:jc w:val="center"/>
        </w:trPr>
        <w:tc>
          <w:tcPr>
            <w:cnfStyle w:val="001000000000" w:firstRow="0" w:lastRow="0" w:firstColumn="1" w:lastColumn="0" w:oddVBand="0" w:evenVBand="0" w:oddHBand="0" w:evenHBand="0" w:firstRowFirstColumn="0" w:firstRowLastColumn="0" w:lastRowFirstColumn="0" w:lastRowLastColumn="0"/>
            <w:tcW w:w="2258" w:type="dxa"/>
            <w:noWrap/>
            <w:vAlign w:val="center"/>
            <w:hideMark/>
          </w:tcPr>
          <w:p w14:paraId="2BB4AA5B" w14:textId="77777777" w:rsidR="00546B65" w:rsidRPr="005707BC" w:rsidRDefault="00546B65" w:rsidP="0025243F">
            <w:pPr>
              <w:spacing w:line="360" w:lineRule="auto"/>
              <w:rPr>
                <w:rFonts w:eastAsia="Times New Roman" w:cs="Times New Roman"/>
                <w:color w:val="000000"/>
                <w:sz w:val="18"/>
                <w:szCs w:val="18"/>
                <w:lang w:eastAsia="en-GB"/>
              </w:rPr>
            </w:pPr>
            <w:r w:rsidRPr="005707BC">
              <w:rPr>
                <w:rFonts w:eastAsia="Times New Roman" w:cs="Times New Roman"/>
                <w:color w:val="000000"/>
                <w:sz w:val="18"/>
                <w:szCs w:val="18"/>
                <w:lang w:eastAsia="en-GB"/>
              </w:rPr>
              <w:t>Repeat transplantation</w:t>
            </w:r>
          </w:p>
        </w:tc>
        <w:tc>
          <w:tcPr>
            <w:tcW w:w="851" w:type="dxa"/>
            <w:noWrap/>
            <w:vAlign w:val="center"/>
            <w:hideMark/>
          </w:tcPr>
          <w:p w14:paraId="4CF82559"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No</w:t>
            </w:r>
          </w:p>
        </w:tc>
        <w:tc>
          <w:tcPr>
            <w:tcW w:w="992" w:type="dxa"/>
            <w:noWrap/>
            <w:vAlign w:val="center"/>
            <w:hideMark/>
          </w:tcPr>
          <w:p w14:paraId="66BDA6D3"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300/3,709</w:t>
            </w:r>
          </w:p>
        </w:tc>
        <w:tc>
          <w:tcPr>
            <w:tcW w:w="992" w:type="dxa"/>
            <w:noWrap/>
            <w:vAlign w:val="center"/>
            <w:hideMark/>
          </w:tcPr>
          <w:p w14:paraId="14B5ECEF"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264/3,151</w:t>
            </w:r>
          </w:p>
        </w:tc>
        <w:tc>
          <w:tcPr>
            <w:tcW w:w="1418" w:type="dxa"/>
            <w:noWrap/>
            <w:vAlign w:val="center"/>
            <w:hideMark/>
          </w:tcPr>
          <w:p w14:paraId="224F3F1A" w14:textId="661202BC" w:rsidR="00546B65" w:rsidRPr="005707BC" w:rsidRDefault="00D45F56"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Ref.</w:t>
            </w:r>
          </w:p>
        </w:tc>
        <w:tc>
          <w:tcPr>
            <w:tcW w:w="1134" w:type="dxa"/>
            <w:noWrap/>
            <w:vAlign w:val="center"/>
            <w:hideMark/>
          </w:tcPr>
          <w:p w14:paraId="55349DB6" w14:textId="7F215D5F" w:rsidR="00546B65" w:rsidRPr="005707BC" w:rsidRDefault="00D45F56"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Ref.</w:t>
            </w:r>
          </w:p>
        </w:tc>
        <w:tc>
          <w:tcPr>
            <w:tcW w:w="992" w:type="dxa"/>
            <w:vAlign w:val="center"/>
          </w:tcPr>
          <w:p w14:paraId="5E934414" w14:textId="77777777" w:rsidR="00546B65" w:rsidRPr="005707BC" w:rsidDel="00E22D36"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299/3,693</w:t>
            </w:r>
          </w:p>
        </w:tc>
        <w:tc>
          <w:tcPr>
            <w:tcW w:w="1418" w:type="dxa"/>
            <w:vAlign w:val="center"/>
          </w:tcPr>
          <w:p w14:paraId="52A7A1DC" w14:textId="77777777" w:rsidR="00546B65" w:rsidRPr="005707BC" w:rsidDel="00E22D36"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cs="Times New Roman"/>
                <w:color w:val="000000"/>
                <w:sz w:val="18"/>
                <w:szCs w:val="18"/>
              </w:rPr>
              <w:t>263/3,135</w:t>
            </w:r>
          </w:p>
        </w:tc>
        <w:tc>
          <w:tcPr>
            <w:tcW w:w="1417" w:type="dxa"/>
            <w:noWrap/>
            <w:vAlign w:val="center"/>
            <w:hideMark/>
          </w:tcPr>
          <w:p w14:paraId="03F952A9" w14:textId="55F26217" w:rsidR="00546B65" w:rsidRPr="005707BC" w:rsidRDefault="00D45F56"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Ref.</w:t>
            </w:r>
          </w:p>
        </w:tc>
        <w:tc>
          <w:tcPr>
            <w:tcW w:w="1387" w:type="dxa"/>
            <w:noWrap/>
            <w:vAlign w:val="center"/>
            <w:hideMark/>
          </w:tcPr>
          <w:p w14:paraId="0EE4D9CA" w14:textId="67BCF4A7" w:rsidR="00546B65" w:rsidRPr="005707BC" w:rsidRDefault="00D45F56"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cs="Times New Roman"/>
                <w:sz w:val="18"/>
                <w:szCs w:val="18"/>
              </w:rPr>
              <w:t>Ref.</w:t>
            </w:r>
          </w:p>
        </w:tc>
      </w:tr>
      <w:tr w:rsidR="00DD53D6" w:rsidRPr="005707BC" w14:paraId="38569D10" w14:textId="77777777" w:rsidTr="00B20FEC">
        <w:trPr>
          <w:trHeight w:val="300"/>
          <w:jc w:val="center"/>
        </w:trPr>
        <w:tc>
          <w:tcPr>
            <w:cnfStyle w:val="001000000000" w:firstRow="0" w:lastRow="0" w:firstColumn="1" w:lastColumn="0" w:oddVBand="0" w:evenVBand="0" w:oddHBand="0" w:evenHBand="0" w:firstRowFirstColumn="0" w:firstRowLastColumn="0" w:lastRowFirstColumn="0" w:lastRowLastColumn="0"/>
            <w:tcW w:w="2258" w:type="dxa"/>
            <w:noWrap/>
            <w:vAlign w:val="center"/>
            <w:hideMark/>
          </w:tcPr>
          <w:p w14:paraId="69CD67F3" w14:textId="77777777" w:rsidR="00546B65" w:rsidRPr="005707BC" w:rsidRDefault="00546B65" w:rsidP="0025243F">
            <w:pPr>
              <w:spacing w:line="360" w:lineRule="auto"/>
              <w:rPr>
                <w:rFonts w:eastAsia="Times New Roman" w:cs="Times New Roman"/>
                <w:color w:val="000000"/>
                <w:sz w:val="18"/>
                <w:szCs w:val="18"/>
                <w:lang w:eastAsia="en-GB"/>
              </w:rPr>
            </w:pPr>
          </w:p>
        </w:tc>
        <w:tc>
          <w:tcPr>
            <w:tcW w:w="851" w:type="dxa"/>
            <w:noWrap/>
            <w:vAlign w:val="center"/>
            <w:hideMark/>
          </w:tcPr>
          <w:p w14:paraId="0819D017"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Yes</w:t>
            </w:r>
          </w:p>
        </w:tc>
        <w:tc>
          <w:tcPr>
            <w:tcW w:w="992" w:type="dxa"/>
            <w:noWrap/>
            <w:vAlign w:val="center"/>
          </w:tcPr>
          <w:p w14:paraId="6150AAAA"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992" w:type="dxa"/>
            <w:noWrap/>
            <w:vAlign w:val="center"/>
            <w:hideMark/>
          </w:tcPr>
          <w:p w14:paraId="6EB03151"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36/558</w:t>
            </w:r>
          </w:p>
        </w:tc>
        <w:tc>
          <w:tcPr>
            <w:tcW w:w="1418" w:type="dxa"/>
            <w:noWrap/>
            <w:vAlign w:val="center"/>
            <w:hideMark/>
          </w:tcPr>
          <w:p w14:paraId="7860F066"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0.83 (0.59–1.18)</w:t>
            </w:r>
          </w:p>
        </w:tc>
        <w:tc>
          <w:tcPr>
            <w:tcW w:w="1134" w:type="dxa"/>
            <w:noWrap/>
            <w:vAlign w:val="center"/>
            <w:hideMark/>
          </w:tcPr>
          <w:p w14:paraId="39F3828C"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0.29</w:t>
            </w:r>
          </w:p>
        </w:tc>
        <w:tc>
          <w:tcPr>
            <w:tcW w:w="992" w:type="dxa"/>
            <w:vAlign w:val="center"/>
          </w:tcPr>
          <w:p w14:paraId="4DE41AB0"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418" w:type="dxa"/>
            <w:vAlign w:val="center"/>
          </w:tcPr>
          <w:p w14:paraId="42E0A602"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5707BC">
              <w:rPr>
                <w:rFonts w:cs="Times New Roman"/>
                <w:color w:val="000000"/>
                <w:sz w:val="18"/>
                <w:szCs w:val="18"/>
              </w:rPr>
              <w:t>36/558</w:t>
            </w:r>
          </w:p>
        </w:tc>
        <w:tc>
          <w:tcPr>
            <w:tcW w:w="1417" w:type="dxa"/>
            <w:noWrap/>
            <w:vAlign w:val="center"/>
            <w:hideMark/>
          </w:tcPr>
          <w:p w14:paraId="3F4D6CEC"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eastAsia="Times New Roman" w:cs="Times New Roman"/>
                <w:color w:val="000000"/>
                <w:sz w:val="18"/>
                <w:szCs w:val="18"/>
                <w:lang w:eastAsia="en-GB"/>
              </w:rPr>
              <w:t>0.90 (0.63–1.29)</w:t>
            </w:r>
          </w:p>
        </w:tc>
        <w:tc>
          <w:tcPr>
            <w:tcW w:w="1387" w:type="dxa"/>
            <w:noWrap/>
            <w:vAlign w:val="center"/>
            <w:hideMark/>
          </w:tcPr>
          <w:p w14:paraId="18587D8B" w14:textId="77777777" w:rsidR="00546B65" w:rsidRPr="005707BC" w:rsidRDefault="00546B65"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5707BC">
              <w:rPr>
                <w:rFonts w:cs="Times New Roman"/>
                <w:sz w:val="18"/>
                <w:szCs w:val="18"/>
              </w:rPr>
              <w:t>0.57</w:t>
            </w:r>
          </w:p>
        </w:tc>
      </w:tr>
    </w:tbl>
    <w:p w14:paraId="0B444FE0" w14:textId="554B8715" w:rsidR="00A64C90" w:rsidRPr="004B723C" w:rsidRDefault="00A64C90" w:rsidP="00A64C90">
      <w:pPr>
        <w:spacing w:before="240" w:line="360" w:lineRule="auto"/>
      </w:pPr>
      <w:r w:rsidRPr="004B723C">
        <w:t xml:space="preserve">Values are hazard ratios (HRs) with 95% confidence intervals (CIs) from univariable and multivariable Cox proportional-hazards models. Total events and events per subgroup are presented as n/N, where n denotes the number of events and N the number of participants with non-missing data for the respective covariate. Multivariable models were adjusted for recipient age and sex, donor age and type (living, donation after circulatory death, donation after brain death), repeat transplantation, calendar year of transplantation, HLA mismatch, cold </w:t>
      </w:r>
      <w:r w:rsidR="00503B56" w:rsidRPr="004B723C">
        <w:t>ischemia</w:t>
      </w:r>
      <w:r w:rsidRPr="004B723C">
        <w:t xml:space="preserve"> time, and transplant </w:t>
      </w:r>
      <w:r w:rsidR="00503B56" w:rsidRPr="004B723C">
        <w:t>center</w:t>
      </w:r>
      <w:r w:rsidRPr="004B723C">
        <w:t>.</w:t>
      </w:r>
    </w:p>
    <w:p w14:paraId="56B8FFCB" w14:textId="18B608FA" w:rsidR="00A64C90" w:rsidRPr="004B723C" w:rsidRDefault="00A64C90" w:rsidP="00A64C90">
      <w:pPr>
        <w:spacing w:before="240" w:line="360" w:lineRule="auto"/>
      </w:pPr>
      <w:r w:rsidRPr="004B723C">
        <w:t xml:space="preserve">Abbreviations: CMV, cytomegalovirus; D, donor; DSA, donor-specific antibody; HLA, human leukocyte antigen; R, recipient; </w:t>
      </w:r>
      <w:r w:rsidR="00D45F56" w:rsidRPr="004B723C">
        <w:t>Ref.</w:t>
      </w:r>
      <w:r w:rsidRPr="004B723C">
        <w:t>, reference.</w:t>
      </w:r>
    </w:p>
    <w:p w14:paraId="394843C5" w14:textId="77777777" w:rsidR="008060DE" w:rsidRPr="004B723C" w:rsidRDefault="008060DE" w:rsidP="007F3A2D">
      <w:pPr>
        <w:spacing w:line="360" w:lineRule="auto"/>
      </w:pPr>
    </w:p>
    <w:p w14:paraId="5EA5CD03" w14:textId="77777777" w:rsidR="008F2DD5" w:rsidRPr="004B723C" w:rsidRDefault="008F2DD5" w:rsidP="007F3A2D">
      <w:pPr>
        <w:spacing w:line="360" w:lineRule="auto"/>
        <w:sectPr w:rsidR="008F2DD5" w:rsidRPr="004B723C" w:rsidSect="00380509">
          <w:pgSz w:w="16838" w:h="11906" w:orient="landscape"/>
          <w:pgMar w:top="1417" w:right="1417" w:bottom="1417" w:left="1417" w:header="708" w:footer="708" w:gutter="0"/>
          <w:cols w:space="708"/>
          <w:docGrid w:linePitch="360"/>
        </w:sectPr>
      </w:pPr>
    </w:p>
    <w:p w14:paraId="790B9E02" w14:textId="1B3DF7C0" w:rsidR="00CD35CD" w:rsidRPr="004B723C" w:rsidRDefault="00FB268A" w:rsidP="007F3A2D">
      <w:pPr>
        <w:pStyle w:val="Heading2"/>
        <w:spacing w:line="360" w:lineRule="auto"/>
        <w:rPr>
          <w:rFonts w:cs="Times New Roman"/>
          <w:sz w:val="22"/>
          <w:szCs w:val="22"/>
        </w:rPr>
      </w:pPr>
      <w:bookmarkStart w:id="11" w:name="_Toc216645094"/>
      <w:r w:rsidRPr="004B723C">
        <w:rPr>
          <w:rFonts w:cs="Times New Roman"/>
          <w:sz w:val="22"/>
          <w:szCs w:val="22"/>
        </w:rPr>
        <w:lastRenderedPageBreak/>
        <w:t xml:space="preserve">Table </w:t>
      </w:r>
      <w:r w:rsidR="00267FED" w:rsidRPr="004B723C">
        <w:rPr>
          <w:rFonts w:cs="Times New Roman"/>
          <w:sz w:val="22"/>
          <w:szCs w:val="22"/>
        </w:rPr>
        <w:t>S9</w:t>
      </w:r>
      <w:r w:rsidRPr="004B723C">
        <w:rPr>
          <w:rFonts w:cs="Times New Roman"/>
          <w:sz w:val="22"/>
          <w:szCs w:val="22"/>
        </w:rPr>
        <w:t xml:space="preserve">: </w:t>
      </w:r>
      <w:r w:rsidR="00D0311D" w:rsidRPr="004B723C">
        <w:rPr>
          <w:rFonts w:cs="Times New Roman"/>
          <w:sz w:val="22"/>
          <w:szCs w:val="22"/>
        </w:rPr>
        <w:t xml:space="preserve">Cox proportional hazards models for </w:t>
      </w:r>
      <w:r w:rsidR="00663206" w:rsidRPr="004B723C">
        <w:rPr>
          <w:rFonts w:cs="Times New Roman"/>
          <w:sz w:val="22"/>
          <w:szCs w:val="22"/>
        </w:rPr>
        <w:t xml:space="preserve">CMV serostatus and </w:t>
      </w:r>
      <w:r w:rsidR="00D0311D" w:rsidRPr="004B723C">
        <w:rPr>
          <w:rFonts w:cs="Times New Roman"/>
          <w:sz w:val="22"/>
          <w:szCs w:val="22"/>
        </w:rPr>
        <w:t>first antibody-mediated rejection (AMR)</w:t>
      </w:r>
      <w:bookmarkEnd w:id="11"/>
    </w:p>
    <w:tbl>
      <w:tblPr>
        <w:tblStyle w:val="Nature"/>
        <w:tblW w:w="0" w:type="auto"/>
        <w:jc w:val="center"/>
        <w:tblLook w:val="04A0" w:firstRow="1" w:lastRow="0" w:firstColumn="1" w:lastColumn="0" w:noHBand="0" w:noVBand="1"/>
      </w:tblPr>
      <w:tblGrid>
        <w:gridCol w:w="3280"/>
        <w:gridCol w:w="756"/>
        <w:gridCol w:w="1041"/>
        <w:gridCol w:w="1372"/>
        <w:gridCol w:w="1416"/>
        <w:gridCol w:w="1063"/>
        <w:gridCol w:w="1041"/>
        <w:gridCol w:w="1372"/>
        <w:gridCol w:w="1416"/>
        <w:gridCol w:w="1190"/>
      </w:tblGrid>
      <w:tr w:rsidR="00D53FD9" w:rsidRPr="004B723C" w14:paraId="5A7F5B04" w14:textId="77777777" w:rsidTr="0045599F">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E36F16D" w14:textId="6AF73527" w:rsidR="007F18BA" w:rsidRPr="004B723C" w:rsidRDefault="0006015C" w:rsidP="007F3A2D">
            <w:pPr>
              <w:spacing w:line="360" w:lineRule="auto"/>
              <w:jc w:val="center"/>
              <w:rPr>
                <w:rFonts w:eastAsia="Times New Roman" w:cs="Times New Roman"/>
                <w:b/>
                <w:bCs/>
                <w:iCs w:val="0"/>
                <w:color w:val="000000"/>
                <w:sz w:val="18"/>
                <w:szCs w:val="18"/>
                <w:lang w:eastAsia="en-GB"/>
              </w:rPr>
            </w:pPr>
            <w:r>
              <w:rPr>
                <w:rFonts w:eastAsia="Times New Roman" w:cs="Times New Roman"/>
                <w:b/>
                <w:bCs/>
                <w:color w:val="000000"/>
                <w:sz w:val="18"/>
                <w:szCs w:val="18"/>
                <w:lang w:eastAsia="en-GB"/>
              </w:rPr>
              <w:t>Factors</w:t>
            </w:r>
          </w:p>
        </w:tc>
        <w:tc>
          <w:tcPr>
            <w:tcW w:w="0" w:type="auto"/>
            <w:noWrap/>
            <w:vAlign w:val="center"/>
            <w:hideMark/>
          </w:tcPr>
          <w:p w14:paraId="2CD8BFBC" w14:textId="77777777" w:rsidR="007F18BA" w:rsidRPr="004B723C" w:rsidRDefault="007F18BA" w:rsidP="007F3A2D">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iCs w:val="0"/>
                <w:color w:val="000000"/>
                <w:sz w:val="18"/>
                <w:szCs w:val="18"/>
                <w:lang w:eastAsia="en-GB"/>
              </w:rPr>
            </w:pPr>
            <w:r w:rsidRPr="004B723C">
              <w:rPr>
                <w:rFonts w:eastAsia="Times New Roman" w:cs="Times New Roman"/>
                <w:b/>
                <w:bCs/>
                <w:color w:val="000000"/>
                <w:sz w:val="18"/>
                <w:szCs w:val="18"/>
                <w:lang w:eastAsia="en-GB"/>
              </w:rPr>
              <w:t>Level</w:t>
            </w:r>
          </w:p>
        </w:tc>
        <w:tc>
          <w:tcPr>
            <w:tcW w:w="0" w:type="auto"/>
            <w:noWrap/>
            <w:vAlign w:val="center"/>
            <w:hideMark/>
          </w:tcPr>
          <w:p w14:paraId="124060AC" w14:textId="6BFA463F" w:rsidR="007F18BA" w:rsidRPr="004B723C" w:rsidRDefault="007F18BA" w:rsidP="007F3A2D">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iCs w:val="0"/>
                <w:color w:val="000000"/>
                <w:sz w:val="18"/>
                <w:szCs w:val="18"/>
                <w:lang w:eastAsia="en-GB"/>
              </w:rPr>
            </w:pPr>
            <w:r w:rsidRPr="004B723C">
              <w:rPr>
                <w:rFonts w:eastAsia="Times New Roman" w:cs="Times New Roman"/>
                <w:b/>
                <w:bCs/>
                <w:color w:val="000000"/>
                <w:sz w:val="18"/>
                <w:szCs w:val="18"/>
                <w:lang w:eastAsia="en-GB"/>
              </w:rPr>
              <w:t>Events/</w:t>
            </w:r>
            <w:r w:rsidRPr="004B723C">
              <w:rPr>
                <w:rFonts w:eastAsia="Times New Roman" w:cs="Times New Roman"/>
                <w:b/>
                <w:bCs/>
                <w:color w:val="000000"/>
                <w:sz w:val="18"/>
                <w:szCs w:val="18"/>
                <w:lang w:eastAsia="en-GB"/>
              </w:rPr>
              <w:br/>
              <w:t xml:space="preserve">N </w:t>
            </w:r>
            <w:r w:rsidR="00503B56" w:rsidRPr="004B723C">
              <w:rPr>
                <w:rFonts w:eastAsia="Times New Roman" w:cs="Times New Roman"/>
                <w:b/>
                <w:bCs/>
                <w:color w:val="000000"/>
                <w:sz w:val="18"/>
                <w:szCs w:val="18"/>
                <w:lang w:eastAsia="en-GB"/>
              </w:rPr>
              <w:t>analyzed</w:t>
            </w:r>
          </w:p>
        </w:tc>
        <w:tc>
          <w:tcPr>
            <w:tcW w:w="0" w:type="auto"/>
            <w:noWrap/>
            <w:vAlign w:val="center"/>
            <w:hideMark/>
          </w:tcPr>
          <w:p w14:paraId="4AC96400" w14:textId="77777777" w:rsidR="007F18BA" w:rsidRPr="004B723C" w:rsidRDefault="007F18BA" w:rsidP="007F3A2D">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iCs w:val="0"/>
                <w:color w:val="000000"/>
                <w:sz w:val="18"/>
                <w:szCs w:val="18"/>
                <w:lang w:eastAsia="en-GB"/>
              </w:rPr>
            </w:pPr>
            <w:r w:rsidRPr="004B723C">
              <w:rPr>
                <w:rFonts w:eastAsia="Times New Roman" w:cs="Times New Roman"/>
                <w:b/>
                <w:bCs/>
                <w:color w:val="000000"/>
                <w:sz w:val="18"/>
                <w:szCs w:val="18"/>
                <w:lang w:eastAsia="en-GB"/>
              </w:rPr>
              <w:t>Events (group)/</w:t>
            </w:r>
            <w:r w:rsidRPr="004B723C">
              <w:rPr>
                <w:rFonts w:eastAsia="Times New Roman" w:cs="Times New Roman"/>
                <w:b/>
                <w:bCs/>
                <w:color w:val="000000"/>
                <w:sz w:val="18"/>
                <w:szCs w:val="18"/>
                <w:lang w:eastAsia="en-GB"/>
              </w:rPr>
              <w:br/>
              <w:t>N (group)</w:t>
            </w:r>
          </w:p>
        </w:tc>
        <w:tc>
          <w:tcPr>
            <w:tcW w:w="0" w:type="auto"/>
            <w:noWrap/>
            <w:vAlign w:val="center"/>
            <w:hideMark/>
          </w:tcPr>
          <w:p w14:paraId="2B0E32B6" w14:textId="77777777" w:rsidR="007F18BA" w:rsidRPr="004B723C" w:rsidRDefault="007F18BA" w:rsidP="007F3A2D">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iCs w:val="0"/>
                <w:color w:val="000000"/>
                <w:sz w:val="18"/>
                <w:szCs w:val="18"/>
                <w:lang w:eastAsia="en-GB"/>
              </w:rPr>
            </w:pPr>
            <w:r w:rsidRPr="004B723C">
              <w:rPr>
                <w:rFonts w:eastAsia="Times New Roman" w:cs="Times New Roman"/>
                <w:b/>
                <w:bCs/>
                <w:color w:val="000000"/>
                <w:sz w:val="18"/>
                <w:szCs w:val="18"/>
                <w:lang w:eastAsia="en-GB"/>
              </w:rPr>
              <w:t>HR</w:t>
            </w:r>
            <w:r w:rsidRPr="004B723C">
              <w:rPr>
                <w:rFonts w:eastAsia="Times New Roman" w:cs="Times New Roman"/>
                <w:b/>
                <w:bCs/>
                <w:color w:val="000000"/>
                <w:sz w:val="18"/>
                <w:szCs w:val="18"/>
                <w:lang w:eastAsia="en-GB"/>
              </w:rPr>
              <w:br/>
              <w:t>(95% CI)</w:t>
            </w:r>
          </w:p>
        </w:tc>
        <w:tc>
          <w:tcPr>
            <w:tcW w:w="0" w:type="auto"/>
            <w:noWrap/>
            <w:vAlign w:val="center"/>
            <w:hideMark/>
          </w:tcPr>
          <w:p w14:paraId="5ABC3A5F" w14:textId="5731A190" w:rsidR="007F18BA" w:rsidRPr="004B723C" w:rsidRDefault="00BB40D3" w:rsidP="007F3A2D">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iCs w:val="0"/>
                <w:color w:val="000000"/>
                <w:sz w:val="18"/>
                <w:szCs w:val="18"/>
                <w:lang w:eastAsia="en-GB"/>
              </w:rPr>
            </w:pPr>
            <w:r>
              <w:rPr>
                <w:rFonts w:eastAsia="Times New Roman" w:cs="Times New Roman"/>
                <w:b/>
                <w:bCs/>
                <w:color w:val="000000"/>
                <w:sz w:val="18"/>
                <w:szCs w:val="18"/>
                <w:lang w:eastAsia="en-GB"/>
              </w:rPr>
              <w:t>P</w:t>
            </w:r>
            <w:r w:rsidR="007F18BA" w:rsidRPr="004B723C">
              <w:rPr>
                <w:rFonts w:eastAsia="Times New Roman" w:cs="Times New Roman"/>
                <w:b/>
                <w:bCs/>
                <w:color w:val="000000"/>
                <w:sz w:val="18"/>
                <w:szCs w:val="18"/>
                <w:lang w:eastAsia="en-GB"/>
              </w:rPr>
              <w:t xml:space="preserve"> value</w:t>
            </w:r>
          </w:p>
        </w:tc>
        <w:tc>
          <w:tcPr>
            <w:tcW w:w="0" w:type="auto"/>
            <w:vAlign w:val="center"/>
          </w:tcPr>
          <w:p w14:paraId="02182894" w14:textId="7B65E142" w:rsidR="007F18BA" w:rsidRPr="004B723C" w:rsidRDefault="007F18BA" w:rsidP="007F3A2D">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iCs w:val="0"/>
                <w:color w:val="000000"/>
                <w:sz w:val="18"/>
                <w:szCs w:val="18"/>
                <w:lang w:eastAsia="en-GB"/>
              </w:rPr>
            </w:pPr>
            <w:r w:rsidRPr="004B723C">
              <w:rPr>
                <w:rFonts w:eastAsia="Times New Roman" w:cs="Times New Roman"/>
                <w:b/>
                <w:bCs/>
                <w:color w:val="000000"/>
                <w:sz w:val="18"/>
                <w:szCs w:val="18"/>
                <w:lang w:eastAsia="en-GB"/>
              </w:rPr>
              <w:t>Events/</w:t>
            </w:r>
            <w:r w:rsidRPr="004B723C">
              <w:rPr>
                <w:rFonts w:eastAsia="Times New Roman" w:cs="Times New Roman"/>
                <w:b/>
                <w:bCs/>
                <w:color w:val="000000"/>
                <w:sz w:val="18"/>
                <w:szCs w:val="18"/>
                <w:lang w:eastAsia="en-GB"/>
              </w:rPr>
              <w:br/>
              <w:t xml:space="preserve">N </w:t>
            </w:r>
            <w:r w:rsidR="00503B56" w:rsidRPr="004B723C">
              <w:rPr>
                <w:rFonts w:eastAsia="Times New Roman" w:cs="Times New Roman"/>
                <w:b/>
                <w:bCs/>
                <w:color w:val="000000"/>
                <w:sz w:val="18"/>
                <w:szCs w:val="18"/>
                <w:lang w:eastAsia="en-GB"/>
              </w:rPr>
              <w:t>analyzed</w:t>
            </w:r>
          </w:p>
        </w:tc>
        <w:tc>
          <w:tcPr>
            <w:tcW w:w="0" w:type="auto"/>
            <w:vAlign w:val="center"/>
          </w:tcPr>
          <w:p w14:paraId="73D975FA" w14:textId="77777777" w:rsidR="007F18BA" w:rsidRPr="004B723C" w:rsidRDefault="007F18BA" w:rsidP="007F3A2D">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iCs w:val="0"/>
                <w:color w:val="000000"/>
                <w:sz w:val="18"/>
                <w:szCs w:val="18"/>
                <w:lang w:eastAsia="en-GB"/>
              </w:rPr>
            </w:pPr>
            <w:r w:rsidRPr="004B723C">
              <w:rPr>
                <w:rFonts w:eastAsia="Times New Roman" w:cs="Times New Roman"/>
                <w:b/>
                <w:bCs/>
                <w:color w:val="000000"/>
                <w:sz w:val="18"/>
                <w:szCs w:val="18"/>
                <w:lang w:eastAsia="en-GB"/>
              </w:rPr>
              <w:t>Events (group)/</w:t>
            </w:r>
            <w:r w:rsidRPr="004B723C">
              <w:rPr>
                <w:rFonts w:eastAsia="Times New Roman" w:cs="Times New Roman"/>
                <w:b/>
                <w:bCs/>
                <w:color w:val="000000"/>
                <w:sz w:val="18"/>
                <w:szCs w:val="18"/>
                <w:lang w:eastAsia="en-GB"/>
              </w:rPr>
              <w:br/>
              <w:t>N (group)</w:t>
            </w:r>
          </w:p>
        </w:tc>
        <w:tc>
          <w:tcPr>
            <w:tcW w:w="0" w:type="auto"/>
            <w:noWrap/>
            <w:vAlign w:val="center"/>
            <w:hideMark/>
          </w:tcPr>
          <w:p w14:paraId="788FEB36" w14:textId="77777777" w:rsidR="007F18BA" w:rsidRPr="004B723C" w:rsidRDefault="007F18BA" w:rsidP="007F3A2D">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iCs w:val="0"/>
                <w:color w:val="000000"/>
                <w:sz w:val="18"/>
                <w:szCs w:val="18"/>
                <w:lang w:eastAsia="en-GB"/>
              </w:rPr>
            </w:pPr>
            <w:r w:rsidRPr="004B723C">
              <w:rPr>
                <w:rFonts w:eastAsia="Times New Roman" w:cs="Times New Roman"/>
                <w:b/>
                <w:bCs/>
                <w:color w:val="000000"/>
                <w:sz w:val="18"/>
                <w:szCs w:val="18"/>
                <w:lang w:eastAsia="en-GB"/>
              </w:rPr>
              <w:t>Adjusted HR</w:t>
            </w:r>
            <w:r w:rsidRPr="004B723C">
              <w:rPr>
                <w:rFonts w:eastAsia="Times New Roman" w:cs="Times New Roman"/>
                <w:b/>
                <w:bCs/>
                <w:color w:val="000000"/>
                <w:sz w:val="18"/>
                <w:szCs w:val="18"/>
                <w:lang w:eastAsia="en-GB"/>
              </w:rPr>
              <w:br/>
              <w:t>(95% CI)</w:t>
            </w:r>
          </w:p>
        </w:tc>
        <w:tc>
          <w:tcPr>
            <w:tcW w:w="1190" w:type="dxa"/>
            <w:noWrap/>
            <w:vAlign w:val="center"/>
            <w:hideMark/>
          </w:tcPr>
          <w:p w14:paraId="443F5D0B" w14:textId="4BEDE6A4" w:rsidR="007F18BA" w:rsidRPr="004B723C" w:rsidRDefault="00BB40D3" w:rsidP="007F3A2D">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iCs w:val="0"/>
                <w:color w:val="000000"/>
                <w:sz w:val="18"/>
                <w:szCs w:val="18"/>
                <w:lang w:eastAsia="en-GB"/>
              </w:rPr>
            </w:pPr>
            <w:r>
              <w:rPr>
                <w:rFonts w:eastAsia="Times New Roman" w:cs="Times New Roman"/>
                <w:b/>
                <w:bCs/>
                <w:color w:val="000000"/>
                <w:sz w:val="18"/>
                <w:szCs w:val="18"/>
                <w:lang w:eastAsia="en-GB"/>
              </w:rPr>
              <w:t>P</w:t>
            </w:r>
            <w:r w:rsidR="007F18BA" w:rsidRPr="004B723C">
              <w:rPr>
                <w:rFonts w:eastAsia="Times New Roman" w:cs="Times New Roman"/>
                <w:b/>
                <w:bCs/>
                <w:color w:val="000000"/>
                <w:sz w:val="18"/>
                <w:szCs w:val="18"/>
                <w:lang w:eastAsia="en-GB"/>
              </w:rPr>
              <w:t xml:space="preserve"> value</w:t>
            </w:r>
          </w:p>
        </w:tc>
      </w:tr>
      <w:tr w:rsidR="001079C3" w:rsidRPr="004B723C" w14:paraId="4C01A5CE" w14:textId="77777777" w:rsidTr="0045599F">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661775EC" w14:textId="77777777" w:rsidR="0038759D" w:rsidRPr="004B723C" w:rsidRDefault="0038759D" w:rsidP="007F3A2D">
            <w:pPr>
              <w:spacing w:line="360" w:lineRule="auto"/>
              <w:rPr>
                <w:rFonts w:eastAsia="Times New Roman" w:cs="Times New Roman"/>
                <w:color w:val="000000"/>
                <w:sz w:val="18"/>
                <w:szCs w:val="18"/>
                <w:lang w:eastAsia="en-GB"/>
              </w:rPr>
            </w:pPr>
          </w:p>
        </w:tc>
        <w:tc>
          <w:tcPr>
            <w:tcW w:w="0" w:type="auto"/>
            <w:noWrap/>
            <w:vAlign w:val="center"/>
          </w:tcPr>
          <w:p w14:paraId="2D13BDD2" w14:textId="77777777" w:rsidR="0038759D" w:rsidRPr="004B723C" w:rsidRDefault="0038759D"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0" w:type="auto"/>
            <w:gridSpan w:val="4"/>
            <w:noWrap/>
            <w:vAlign w:val="center"/>
          </w:tcPr>
          <w:p w14:paraId="508C078A" w14:textId="7AC6C09A" w:rsidR="0038759D" w:rsidRPr="004B723C" w:rsidRDefault="0038759D"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eastAsia="Times New Roman" w:cs="Times New Roman"/>
                <w:b/>
                <w:bCs/>
                <w:color w:val="000000"/>
                <w:sz w:val="18"/>
                <w:szCs w:val="18"/>
                <w:lang w:eastAsia="en-GB"/>
              </w:rPr>
              <w:t>UNIVARIABLE ANALYSIS</w:t>
            </w:r>
          </w:p>
        </w:tc>
        <w:tc>
          <w:tcPr>
            <w:tcW w:w="4758" w:type="dxa"/>
            <w:gridSpan w:val="4"/>
            <w:vAlign w:val="center"/>
          </w:tcPr>
          <w:p w14:paraId="0CAFB6BA" w14:textId="35D7D9B1" w:rsidR="0038759D" w:rsidRPr="004B723C" w:rsidRDefault="0038759D"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eastAsia="Times New Roman" w:cs="Times New Roman"/>
                <w:b/>
                <w:bCs/>
                <w:color w:val="000000"/>
                <w:sz w:val="18"/>
                <w:szCs w:val="18"/>
                <w:lang w:eastAsia="en-GB"/>
              </w:rPr>
              <w:t>MULTIVARIABLE ANALYSIS</w:t>
            </w:r>
          </w:p>
        </w:tc>
      </w:tr>
      <w:tr w:rsidR="00D53FD9" w:rsidRPr="004B723C" w14:paraId="28306CD6" w14:textId="77777777" w:rsidTr="0045599F">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874773D" w14:textId="77777777" w:rsidR="00F15B4F" w:rsidRPr="004B723C" w:rsidRDefault="00F15B4F" w:rsidP="007F3A2D">
            <w:pPr>
              <w:spacing w:line="360" w:lineRule="auto"/>
              <w:rPr>
                <w:rFonts w:eastAsia="Times New Roman" w:cs="Times New Roman"/>
                <w:color w:val="000000"/>
                <w:sz w:val="18"/>
                <w:szCs w:val="18"/>
                <w:lang w:eastAsia="en-GB"/>
              </w:rPr>
            </w:pPr>
            <w:r w:rsidRPr="004B723C">
              <w:rPr>
                <w:rFonts w:eastAsia="Times New Roman" w:cs="Times New Roman"/>
                <w:color w:val="000000"/>
                <w:sz w:val="18"/>
                <w:szCs w:val="18"/>
                <w:lang w:eastAsia="en-GB"/>
              </w:rPr>
              <w:t>Calendar year of transplantation (per year)</w:t>
            </w:r>
          </w:p>
        </w:tc>
        <w:tc>
          <w:tcPr>
            <w:tcW w:w="0" w:type="auto"/>
            <w:noWrap/>
            <w:vAlign w:val="center"/>
            <w:hideMark/>
          </w:tcPr>
          <w:p w14:paraId="070F41D8" w14:textId="77777777" w:rsidR="00F15B4F" w:rsidRPr="004B723C" w:rsidRDefault="00F15B4F"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w:t>
            </w:r>
          </w:p>
        </w:tc>
        <w:tc>
          <w:tcPr>
            <w:tcW w:w="0" w:type="auto"/>
            <w:noWrap/>
            <w:vAlign w:val="center"/>
            <w:hideMark/>
          </w:tcPr>
          <w:p w14:paraId="6F5DB769" w14:textId="0ED1DB1F" w:rsidR="00F15B4F" w:rsidRPr="004B723C" w:rsidRDefault="00F15B4F"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sz w:val="18"/>
                <w:szCs w:val="18"/>
              </w:rPr>
              <w:t>229/3,709</w:t>
            </w:r>
          </w:p>
        </w:tc>
        <w:tc>
          <w:tcPr>
            <w:tcW w:w="0" w:type="auto"/>
            <w:noWrap/>
            <w:vAlign w:val="center"/>
            <w:hideMark/>
          </w:tcPr>
          <w:p w14:paraId="79521CF8" w14:textId="499A2B54" w:rsidR="00F15B4F" w:rsidRPr="004B723C" w:rsidRDefault="00F15B4F"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w:t>
            </w:r>
          </w:p>
        </w:tc>
        <w:tc>
          <w:tcPr>
            <w:tcW w:w="0" w:type="auto"/>
            <w:noWrap/>
            <w:vAlign w:val="center"/>
            <w:hideMark/>
          </w:tcPr>
          <w:p w14:paraId="5E2E509A" w14:textId="34BE2EB8" w:rsidR="00F15B4F" w:rsidRPr="004B723C" w:rsidRDefault="00F15B4F"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0.97 (0.94–0.99)</w:t>
            </w:r>
          </w:p>
        </w:tc>
        <w:tc>
          <w:tcPr>
            <w:tcW w:w="0" w:type="auto"/>
            <w:noWrap/>
            <w:vAlign w:val="center"/>
            <w:hideMark/>
          </w:tcPr>
          <w:p w14:paraId="31D6FD30" w14:textId="0E7FA348" w:rsidR="00F15B4F" w:rsidRPr="004B723C" w:rsidRDefault="00F15B4F"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w:t>
            </w:r>
            <w:r w:rsidR="009B49E1" w:rsidRPr="004B723C">
              <w:rPr>
                <w:rFonts w:cs="Times New Roman"/>
                <w:color w:val="000000"/>
                <w:sz w:val="18"/>
                <w:szCs w:val="18"/>
              </w:rPr>
              <w:t>.</w:t>
            </w:r>
            <w:r w:rsidRPr="004B723C">
              <w:rPr>
                <w:rFonts w:cs="Times New Roman"/>
                <w:color w:val="000000"/>
                <w:sz w:val="18"/>
                <w:szCs w:val="18"/>
              </w:rPr>
              <w:t>014</w:t>
            </w:r>
          </w:p>
        </w:tc>
        <w:tc>
          <w:tcPr>
            <w:tcW w:w="0" w:type="auto"/>
            <w:vAlign w:val="center"/>
          </w:tcPr>
          <w:p w14:paraId="1FBBDABA" w14:textId="38CE8A43" w:rsidR="00F15B4F" w:rsidRPr="004B723C" w:rsidRDefault="00F15B4F"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227/3,693</w:t>
            </w:r>
          </w:p>
        </w:tc>
        <w:tc>
          <w:tcPr>
            <w:tcW w:w="0" w:type="auto"/>
            <w:vAlign w:val="center"/>
          </w:tcPr>
          <w:p w14:paraId="04C2E592" w14:textId="08B24758" w:rsidR="00F15B4F" w:rsidRPr="004B723C" w:rsidRDefault="00F15B4F"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w:t>
            </w:r>
          </w:p>
        </w:tc>
        <w:tc>
          <w:tcPr>
            <w:tcW w:w="0" w:type="auto"/>
            <w:noWrap/>
            <w:vAlign w:val="center"/>
            <w:hideMark/>
          </w:tcPr>
          <w:p w14:paraId="43EDB6E7" w14:textId="2865C323" w:rsidR="00F15B4F" w:rsidRPr="004B723C" w:rsidRDefault="00F15B4F"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0.91 (0.88–0.95)</w:t>
            </w:r>
          </w:p>
        </w:tc>
        <w:tc>
          <w:tcPr>
            <w:tcW w:w="1190" w:type="dxa"/>
            <w:noWrap/>
            <w:vAlign w:val="center"/>
            <w:hideMark/>
          </w:tcPr>
          <w:p w14:paraId="118EA3D9" w14:textId="20208112" w:rsidR="00F15B4F" w:rsidRPr="004B723C" w:rsidRDefault="00D53FD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7.13 × 10</w:t>
            </w:r>
            <w:r w:rsidRPr="004B723C">
              <w:rPr>
                <w:rFonts w:cs="Times New Roman"/>
                <w:color w:val="000000"/>
                <w:sz w:val="18"/>
                <w:szCs w:val="18"/>
                <w:vertAlign w:val="superscript"/>
              </w:rPr>
              <w:t>-6</w:t>
            </w:r>
          </w:p>
        </w:tc>
      </w:tr>
      <w:tr w:rsidR="00D53FD9" w:rsidRPr="004B723C" w14:paraId="3C509B9C" w14:textId="77777777" w:rsidTr="0045599F">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4CC1FA3" w14:textId="77777777" w:rsidR="00F15B4F" w:rsidRPr="004B723C" w:rsidRDefault="00F15B4F" w:rsidP="007F3A2D">
            <w:pPr>
              <w:spacing w:line="360" w:lineRule="auto"/>
              <w:rPr>
                <w:rFonts w:eastAsia="Times New Roman" w:cs="Times New Roman"/>
                <w:color w:val="000000"/>
                <w:sz w:val="18"/>
                <w:szCs w:val="18"/>
                <w:lang w:eastAsia="en-GB"/>
              </w:rPr>
            </w:pPr>
            <w:r w:rsidRPr="004B723C">
              <w:rPr>
                <w:rFonts w:eastAsia="Times New Roman" w:cs="Times New Roman"/>
                <w:color w:val="000000"/>
                <w:sz w:val="18"/>
                <w:szCs w:val="18"/>
                <w:lang w:eastAsia="en-GB"/>
              </w:rPr>
              <w:t>Centre</w:t>
            </w:r>
          </w:p>
        </w:tc>
        <w:tc>
          <w:tcPr>
            <w:tcW w:w="0" w:type="auto"/>
            <w:noWrap/>
            <w:vAlign w:val="center"/>
            <w:hideMark/>
          </w:tcPr>
          <w:p w14:paraId="05E69E83" w14:textId="77777777" w:rsidR="00F15B4F" w:rsidRPr="004B723C" w:rsidRDefault="00F15B4F"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Basel</w:t>
            </w:r>
          </w:p>
        </w:tc>
        <w:tc>
          <w:tcPr>
            <w:tcW w:w="0" w:type="auto"/>
            <w:noWrap/>
            <w:vAlign w:val="center"/>
            <w:hideMark/>
          </w:tcPr>
          <w:p w14:paraId="7B5BC973" w14:textId="7D4FC8EB" w:rsidR="00F15B4F" w:rsidRPr="004B723C" w:rsidRDefault="00F15B4F"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sz w:val="18"/>
                <w:szCs w:val="18"/>
              </w:rPr>
              <w:t>229/3,709</w:t>
            </w:r>
          </w:p>
        </w:tc>
        <w:tc>
          <w:tcPr>
            <w:tcW w:w="0" w:type="auto"/>
            <w:noWrap/>
            <w:vAlign w:val="center"/>
            <w:hideMark/>
          </w:tcPr>
          <w:p w14:paraId="0B4C3405" w14:textId="69BD537F" w:rsidR="00F15B4F" w:rsidRPr="004B723C" w:rsidRDefault="00F15B4F"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26/460</w:t>
            </w:r>
          </w:p>
        </w:tc>
        <w:tc>
          <w:tcPr>
            <w:tcW w:w="0" w:type="auto"/>
            <w:noWrap/>
            <w:vAlign w:val="center"/>
            <w:hideMark/>
          </w:tcPr>
          <w:p w14:paraId="05746562" w14:textId="1A0445CA" w:rsidR="00F15B4F" w:rsidRPr="004B723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0" w:type="auto"/>
            <w:noWrap/>
            <w:vAlign w:val="center"/>
            <w:hideMark/>
          </w:tcPr>
          <w:p w14:paraId="5D62119A" w14:textId="30F61D57" w:rsidR="00F15B4F" w:rsidRPr="004B723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0" w:type="auto"/>
            <w:vAlign w:val="center"/>
          </w:tcPr>
          <w:p w14:paraId="164A3935" w14:textId="64E15488" w:rsidR="00F15B4F" w:rsidRPr="004B723C" w:rsidDel="00E22D36" w:rsidRDefault="00F15B4F"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227/3,693</w:t>
            </w:r>
          </w:p>
        </w:tc>
        <w:tc>
          <w:tcPr>
            <w:tcW w:w="0" w:type="auto"/>
            <w:vAlign w:val="center"/>
          </w:tcPr>
          <w:p w14:paraId="38816E30" w14:textId="3981BBB8" w:rsidR="00F15B4F" w:rsidRPr="004B723C" w:rsidDel="00E22D36" w:rsidRDefault="00F15B4F"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26/460</w:t>
            </w:r>
          </w:p>
        </w:tc>
        <w:tc>
          <w:tcPr>
            <w:tcW w:w="0" w:type="auto"/>
            <w:noWrap/>
            <w:vAlign w:val="center"/>
            <w:hideMark/>
          </w:tcPr>
          <w:p w14:paraId="586CE94C" w14:textId="6CD06CF7" w:rsidR="00F15B4F" w:rsidRPr="004B723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1190" w:type="dxa"/>
            <w:noWrap/>
            <w:vAlign w:val="center"/>
            <w:hideMark/>
          </w:tcPr>
          <w:p w14:paraId="653EFBD9" w14:textId="12F1422F" w:rsidR="00F15B4F" w:rsidRPr="004B723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r>
      <w:tr w:rsidR="00D53FD9" w:rsidRPr="004B723C" w14:paraId="43B8CC05" w14:textId="77777777" w:rsidTr="0045599F">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7B6E7919" w14:textId="77777777" w:rsidR="00F15B4F" w:rsidRPr="004B723C" w:rsidRDefault="00F15B4F" w:rsidP="007F3A2D">
            <w:pPr>
              <w:spacing w:line="360" w:lineRule="auto"/>
              <w:rPr>
                <w:rFonts w:eastAsia="Times New Roman" w:cs="Times New Roman"/>
                <w:color w:val="000000"/>
                <w:sz w:val="18"/>
                <w:szCs w:val="18"/>
                <w:lang w:eastAsia="en-GB"/>
              </w:rPr>
            </w:pPr>
          </w:p>
        </w:tc>
        <w:tc>
          <w:tcPr>
            <w:tcW w:w="0" w:type="auto"/>
            <w:noWrap/>
            <w:vAlign w:val="center"/>
            <w:hideMark/>
          </w:tcPr>
          <w:p w14:paraId="5828B495" w14:textId="77777777" w:rsidR="00F15B4F" w:rsidRPr="004B723C" w:rsidRDefault="00F15B4F"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Leuven</w:t>
            </w:r>
          </w:p>
        </w:tc>
        <w:tc>
          <w:tcPr>
            <w:tcW w:w="0" w:type="auto"/>
            <w:noWrap/>
            <w:vAlign w:val="center"/>
          </w:tcPr>
          <w:p w14:paraId="2CA4A5C0" w14:textId="28E9BEDA" w:rsidR="00F15B4F" w:rsidRPr="004B723C" w:rsidRDefault="00F15B4F"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0" w:type="auto"/>
            <w:noWrap/>
            <w:vAlign w:val="center"/>
            <w:hideMark/>
          </w:tcPr>
          <w:p w14:paraId="437786A0" w14:textId="6E7E1DEC" w:rsidR="00F15B4F" w:rsidRPr="004B723C" w:rsidRDefault="00F15B4F"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115/1,805</w:t>
            </w:r>
          </w:p>
        </w:tc>
        <w:tc>
          <w:tcPr>
            <w:tcW w:w="0" w:type="auto"/>
            <w:noWrap/>
            <w:vAlign w:val="center"/>
            <w:hideMark/>
          </w:tcPr>
          <w:p w14:paraId="5B7473BA" w14:textId="4BDCE58D" w:rsidR="00F15B4F" w:rsidRPr="004B723C" w:rsidRDefault="00F15B4F"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0.84 (0.55–1.29)</w:t>
            </w:r>
          </w:p>
        </w:tc>
        <w:tc>
          <w:tcPr>
            <w:tcW w:w="0" w:type="auto"/>
            <w:noWrap/>
            <w:vAlign w:val="center"/>
            <w:hideMark/>
          </w:tcPr>
          <w:p w14:paraId="1D888AFA" w14:textId="4C84C1B1" w:rsidR="00F15B4F" w:rsidRPr="004B723C" w:rsidRDefault="00F15B4F"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w:t>
            </w:r>
            <w:r w:rsidR="009B49E1" w:rsidRPr="004B723C">
              <w:rPr>
                <w:rFonts w:cs="Times New Roman"/>
                <w:color w:val="000000"/>
                <w:sz w:val="18"/>
                <w:szCs w:val="18"/>
              </w:rPr>
              <w:t>.</w:t>
            </w:r>
            <w:r w:rsidRPr="004B723C">
              <w:rPr>
                <w:rFonts w:cs="Times New Roman"/>
                <w:color w:val="000000"/>
                <w:sz w:val="18"/>
                <w:szCs w:val="18"/>
              </w:rPr>
              <w:t>42</w:t>
            </w:r>
          </w:p>
        </w:tc>
        <w:tc>
          <w:tcPr>
            <w:tcW w:w="0" w:type="auto"/>
            <w:vAlign w:val="center"/>
          </w:tcPr>
          <w:p w14:paraId="1A485B96" w14:textId="445E363D" w:rsidR="00F15B4F" w:rsidRPr="004B723C" w:rsidRDefault="00F15B4F"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0" w:type="auto"/>
            <w:vAlign w:val="center"/>
          </w:tcPr>
          <w:p w14:paraId="64EE36E6" w14:textId="6D5B8823" w:rsidR="00F15B4F" w:rsidRPr="004B723C" w:rsidRDefault="00F15B4F"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115/1,804</w:t>
            </w:r>
          </w:p>
        </w:tc>
        <w:tc>
          <w:tcPr>
            <w:tcW w:w="0" w:type="auto"/>
            <w:noWrap/>
            <w:vAlign w:val="center"/>
            <w:hideMark/>
          </w:tcPr>
          <w:p w14:paraId="21BCF23E" w14:textId="6FB35D8F" w:rsidR="00F15B4F" w:rsidRPr="004B723C" w:rsidRDefault="00F15B4F"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0.55 (0.32–0.96)</w:t>
            </w:r>
          </w:p>
        </w:tc>
        <w:tc>
          <w:tcPr>
            <w:tcW w:w="1190" w:type="dxa"/>
            <w:noWrap/>
            <w:vAlign w:val="center"/>
            <w:hideMark/>
          </w:tcPr>
          <w:p w14:paraId="68A60272" w14:textId="1C077B1F" w:rsidR="00F15B4F" w:rsidRPr="004B723C" w:rsidRDefault="00F15B4F"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w:t>
            </w:r>
            <w:r w:rsidR="009B49E1" w:rsidRPr="004B723C">
              <w:rPr>
                <w:rFonts w:cs="Times New Roman"/>
                <w:color w:val="000000"/>
                <w:sz w:val="18"/>
                <w:szCs w:val="18"/>
              </w:rPr>
              <w:t>.</w:t>
            </w:r>
            <w:r w:rsidRPr="004B723C">
              <w:rPr>
                <w:rFonts w:cs="Times New Roman"/>
                <w:color w:val="000000"/>
                <w:sz w:val="18"/>
                <w:szCs w:val="18"/>
              </w:rPr>
              <w:t>034</w:t>
            </w:r>
          </w:p>
        </w:tc>
      </w:tr>
      <w:tr w:rsidR="00D53FD9" w:rsidRPr="004B723C" w14:paraId="6246DED9" w14:textId="77777777" w:rsidTr="0045599F">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2377B848" w14:textId="77777777" w:rsidR="00F15B4F" w:rsidRPr="004B723C" w:rsidRDefault="00F15B4F" w:rsidP="007F3A2D">
            <w:pPr>
              <w:spacing w:line="360" w:lineRule="auto"/>
              <w:rPr>
                <w:rFonts w:eastAsia="Times New Roman" w:cs="Times New Roman"/>
                <w:color w:val="000000"/>
                <w:sz w:val="18"/>
                <w:szCs w:val="18"/>
                <w:lang w:eastAsia="en-GB"/>
              </w:rPr>
            </w:pPr>
          </w:p>
        </w:tc>
        <w:tc>
          <w:tcPr>
            <w:tcW w:w="0" w:type="auto"/>
            <w:noWrap/>
            <w:vAlign w:val="center"/>
            <w:hideMark/>
          </w:tcPr>
          <w:p w14:paraId="42E55B2D" w14:textId="77777777" w:rsidR="00F15B4F" w:rsidRPr="004B723C" w:rsidRDefault="00F15B4F"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Prague</w:t>
            </w:r>
          </w:p>
        </w:tc>
        <w:tc>
          <w:tcPr>
            <w:tcW w:w="0" w:type="auto"/>
            <w:noWrap/>
            <w:vAlign w:val="center"/>
          </w:tcPr>
          <w:p w14:paraId="73E7AFF3" w14:textId="2A4B6DAA" w:rsidR="00F15B4F" w:rsidRPr="004B723C" w:rsidRDefault="00F15B4F"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0" w:type="auto"/>
            <w:noWrap/>
            <w:vAlign w:val="center"/>
            <w:hideMark/>
          </w:tcPr>
          <w:p w14:paraId="1A55FEFB" w14:textId="28EA37C4" w:rsidR="00F15B4F" w:rsidRPr="004B723C" w:rsidRDefault="00F15B4F"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27/782</w:t>
            </w:r>
          </w:p>
        </w:tc>
        <w:tc>
          <w:tcPr>
            <w:tcW w:w="0" w:type="auto"/>
            <w:noWrap/>
            <w:vAlign w:val="center"/>
            <w:hideMark/>
          </w:tcPr>
          <w:p w14:paraId="7023A6D7" w14:textId="0371E4BF" w:rsidR="00F15B4F" w:rsidRPr="004B723C" w:rsidRDefault="00F15B4F"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0.91 (0.53–1.57)</w:t>
            </w:r>
          </w:p>
        </w:tc>
        <w:tc>
          <w:tcPr>
            <w:tcW w:w="0" w:type="auto"/>
            <w:noWrap/>
            <w:vAlign w:val="center"/>
            <w:hideMark/>
          </w:tcPr>
          <w:p w14:paraId="22C48722" w14:textId="660B033D" w:rsidR="00F15B4F" w:rsidRPr="004B723C" w:rsidRDefault="00F15B4F"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w:t>
            </w:r>
            <w:r w:rsidR="009B49E1" w:rsidRPr="004B723C">
              <w:rPr>
                <w:rFonts w:cs="Times New Roman"/>
                <w:color w:val="000000"/>
                <w:sz w:val="18"/>
                <w:szCs w:val="18"/>
              </w:rPr>
              <w:t>.</w:t>
            </w:r>
            <w:r w:rsidRPr="004B723C">
              <w:rPr>
                <w:rFonts w:cs="Times New Roman"/>
                <w:color w:val="000000"/>
                <w:sz w:val="18"/>
                <w:szCs w:val="18"/>
              </w:rPr>
              <w:t>74</w:t>
            </w:r>
          </w:p>
        </w:tc>
        <w:tc>
          <w:tcPr>
            <w:tcW w:w="0" w:type="auto"/>
            <w:vAlign w:val="center"/>
          </w:tcPr>
          <w:p w14:paraId="6880F519" w14:textId="6D53A1B1" w:rsidR="00F15B4F" w:rsidRPr="004B723C" w:rsidRDefault="00F15B4F"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0" w:type="auto"/>
            <w:vAlign w:val="center"/>
          </w:tcPr>
          <w:p w14:paraId="3647A071" w14:textId="0DFF9A7C" w:rsidR="00F15B4F" w:rsidRPr="004B723C" w:rsidRDefault="00F15B4F"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27/782</w:t>
            </w:r>
          </w:p>
        </w:tc>
        <w:tc>
          <w:tcPr>
            <w:tcW w:w="0" w:type="auto"/>
            <w:noWrap/>
            <w:vAlign w:val="center"/>
            <w:hideMark/>
          </w:tcPr>
          <w:p w14:paraId="74E2D927" w14:textId="12046BEB" w:rsidR="00F15B4F" w:rsidRPr="004B723C" w:rsidRDefault="00F15B4F"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1.05 (0.59–1.89)</w:t>
            </w:r>
          </w:p>
        </w:tc>
        <w:tc>
          <w:tcPr>
            <w:tcW w:w="1190" w:type="dxa"/>
            <w:noWrap/>
            <w:vAlign w:val="center"/>
            <w:hideMark/>
          </w:tcPr>
          <w:p w14:paraId="3DB19FA9" w14:textId="4F883717" w:rsidR="00F15B4F" w:rsidRPr="004B723C" w:rsidRDefault="00F15B4F"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w:t>
            </w:r>
            <w:r w:rsidR="009B49E1" w:rsidRPr="004B723C">
              <w:rPr>
                <w:rFonts w:cs="Times New Roman"/>
                <w:color w:val="000000"/>
                <w:sz w:val="18"/>
                <w:szCs w:val="18"/>
              </w:rPr>
              <w:t>.</w:t>
            </w:r>
            <w:r w:rsidRPr="004B723C">
              <w:rPr>
                <w:rFonts w:cs="Times New Roman"/>
                <w:color w:val="000000"/>
                <w:sz w:val="18"/>
                <w:szCs w:val="18"/>
              </w:rPr>
              <w:t>87</w:t>
            </w:r>
          </w:p>
        </w:tc>
      </w:tr>
      <w:tr w:rsidR="00D53FD9" w:rsidRPr="004B723C" w14:paraId="3E1FD7FB" w14:textId="77777777" w:rsidTr="0045599F">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53E01D79" w14:textId="77777777" w:rsidR="00F15B4F" w:rsidRPr="004B723C" w:rsidRDefault="00F15B4F" w:rsidP="007F3A2D">
            <w:pPr>
              <w:spacing w:line="360" w:lineRule="auto"/>
              <w:rPr>
                <w:rFonts w:eastAsia="Times New Roman" w:cs="Times New Roman"/>
                <w:color w:val="000000"/>
                <w:sz w:val="18"/>
                <w:szCs w:val="18"/>
                <w:lang w:eastAsia="en-GB"/>
              </w:rPr>
            </w:pPr>
          </w:p>
        </w:tc>
        <w:tc>
          <w:tcPr>
            <w:tcW w:w="0" w:type="auto"/>
            <w:noWrap/>
            <w:vAlign w:val="center"/>
            <w:hideMark/>
          </w:tcPr>
          <w:p w14:paraId="57D78159" w14:textId="77777777" w:rsidR="00F15B4F" w:rsidRPr="004B723C" w:rsidRDefault="00F15B4F"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Vienna</w:t>
            </w:r>
          </w:p>
        </w:tc>
        <w:tc>
          <w:tcPr>
            <w:tcW w:w="0" w:type="auto"/>
            <w:noWrap/>
            <w:vAlign w:val="center"/>
          </w:tcPr>
          <w:p w14:paraId="018A1DBC" w14:textId="2ABADCA4" w:rsidR="00F15B4F" w:rsidRPr="004B723C" w:rsidRDefault="00F15B4F"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0" w:type="auto"/>
            <w:noWrap/>
            <w:vAlign w:val="center"/>
            <w:hideMark/>
          </w:tcPr>
          <w:p w14:paraId="2AA36614" w14:textId="4FDFECBD" w:rsidR="00F15B4F" w:rsidRPr="004B723C" w:rsidRDefault="00F15B4F"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61/662</w:t>
            </w:r>
          </w:p>
        </w:tc>
        <w:tc>
          <w:tcPr>
            <w:tcW w:w="0" w:type="auto"/>
            <w:noWrap/>
            <w:vAlign w:val="center"/>
            <w:hideMark/>
          </w:tcPr>
          <w:p w14:paraId="598FCA42" w14:textId="7FA14F06" w:rsidR="00F15B4F" w:rsidRPr="004B723C" w:rsidRDefault="00F15B4F"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1.77 (1.12–2.81)</w:t>
            </w:r>
          </w:p>
        </w:tc>
        <w:tc>
          <w:tcPr>
            <w:tcW w:w="0" w:type="auto"/>
            <w:noWrap/>
            <w:vAlign w:val="center"/>
            <w:hideMark/>
          </w:tcPr>
          <w:p w14:paraId="7C4F25C5" w14:textId="37B657D4" w:rsidR="00F15B4F" w:rsidRPr="004B723C" w:rsidRDefault="00F15B4F"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w:t>
            </w:r>
            <w:r w:rsidR="009B49E1" w:rsidRPr="004B723C">
              <w:rPr>
                <w:rFonts w:cs="Times New Roman"/>
                <w:color w:val="000000"/>
                <w:sz w:val="18"/>
                <w:szCs w:val="18"/>
              </w:rPr>
              <w:t>.</w:t>
            </w:r>
            <w:r w:rsidRPr="004B723C">
              <w:rPr>
                <w:rFonts w:cs="Times New Roman"/>
                <w:color w:val="000000"/>
                <w:sz w:val="18"/>
                <w:szCs w:val="18"/>
              </w:rPr>
              <w:t>015</w:t>
            </w:r>
          </w:p>
        </w:tc>
        <w:tc>
          <w:tcPr>
            <w:tcW w:w="0" w:type="auto"/>
            <w:vAlign w:val="center"/>
          </w:tcPr>
          <w:p w14:paraId="0368EC5C" w14:textId="3C6EF3D8" w:rsidR="00F15B4F" w:rsidRPr="004B723C" w:rsidRDefault="00F15B4F"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0" w:type="auto"/>
            <w:vAlign w:val="center"/>
          </w:tcPr>
          <w:p w14:paraId="6B402736" w14:textId="325C3AAE" w:rsidR="00F15B4F" w:rsidRPr="004B723C" w:rsidRDefault="00F15B4F"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59/647</w:t>
            </w:r>
          </w:p>
        </w:tc>
        <w:tc>
          <w:tcPr>
            <w:tcW w:w="0" w:type="auto"/>
            <w:noWrap/>
            <w:vAlign w:val="center"/>
            <w:hideMark/>
          </w:tcPr>
          <w:p w14:paraId="172D3FC0" w14:textId="59B94E1C" w:rsidR="00F15B4F" w:rsidRPr="004B723C" w:rsidRDefault="00F15B4F"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1.28 (0.77–2.11)</w:t>
            </w:r>
          </w:p>
        </w:tc>
        <w:tc>
          <w:tcPr>
            <w:tcW w:w="1190" w:type="dxa"/>
            <w:noWrap/>
            <w:vAlign w:val="center"/>
            <w:hideMark/>
          </w:tcPr>
          <w:p w14:paraId="3DF3696A" w14:textId="69543E20" w:rsidR="00F15B4F" w:rsidRPr="004B723C" w:rsidRDefault="00F15B4F"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w:t>
            </w:r>
            <w:r w:rsidR="009B49E1" w:rsidRPr="004B723C">
              <w:rPr>
                <w:rFonts w:cs="Times New Roman"/>
                <w:color w:val="000000"/>
                <w:sz w:val="18"/>
                <w:szCs w:val="18"/>
              </w:rPr>
              <w:t>.</w:t>
            </w:r>
            <w:r w:rsidRPr="004B723C">
              <w:rPr>
                <w:rFonts w:cs="Times New Roman"/>
                <w:color w:val="000000"/>
                <w:sz w:val="18"/>
                <w:szCs w:val="18"/>
              </w:rPr>
              <w:t>34</w:t>
            </w:r>
          </w:p>
        </w:tc>
      </w:tr>
      <w:tr w:rsidR="00D53FD9" w:rsidRPr="004B723C" w14:paraId="276C7B8F" w14:textId="77777777" w:rsidTr="0045599F">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6AD952B" w14:textId="5FE030DB" w:rsidR="00F15B4F" w:rsidRPr="004B723C" w:rsidRDefault="00F15B4F" w:rsidP="007F3A2D">
            <w:pPr>
              <w:spacing w:line="360" w:lineRule="auto"/>
              <w:rPr>
                <w:rFonts w:eastAsia="Times New Roman" w:cs="Times New Roman"/>
                <w:color w:val="000000"/>
                <w:sz w:val="18"/>
                <w:szCs w:val="18"/>
                <w:lang w:eastAsia="en-GB"/>
              </w:rPr>
            </w:pPr>
            <w:r w:rsidRPr="004B723C">
              <w:rPr>
                <w:rFonts w:eastAsia="Times New Roman" w:cs="Times New Roman"/>
                <w:color w:val="000000"/>
                <w:sz w:val="18"/>
                <w:szCs w:val="18"/>
                <w:lang w:eastAsia="en-GB"/>
              </w:rPr>
              <w:t xml:space="preserve">Cold </w:t>
            </w:r>
            <w:r w:rsidR="00503B56" w:rsidRPr="004B723C">
              <w:rPr>
                <w:rFonts w:eastAsia="Times New Roman" w:cs="Times New Roman"/>
                <w:color w:val="000000"/>
                <w:sz w:val="18"/>
                <w:szCs w:val="18"/>
                <w:lang w:eastAsia="en-GB"/>
              </w:rPr>
              <w:t>ischemia</w:t>
            </w:r>
            <w:r w:rsidRPr="004B723C">
              <w:rPr>
                <w:rFonts w:eastAsia="Times New Roman" w:cs="Times New Roman"/>
                <w:color w:val="000000"/>
                <w:sz w:val="18"/>
                <w:szCs w:val="18"/>
                <w:lang w:eastAsia="en-GB"/>
              </w:rPr>
              <w:t xml:space="preserve"> time (per 5 hours)</w:t>
            </w:r>
          </w:p>
        </w:tc>
        <w:tc>
          <w:tcPr>
            <w:tcW w:w="0" w:type="auto"/>
            <w:noWrap/>
            <w:vAlign w:val="center"/>
            <w:hideMark/>
          </w:tcPr>
          <w:p w14:paraId="2C407C6C" w14:textId="77777777" w:rsidR="00F15B4F" w:rsidRPr="004B723C" w:rsidRDefault="00F15B4F"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w:t>
            </w:r>
          </w:p>
        </w:tc>
        <w:tc>
          <w:tcPr>
            <w:tcW w:w="0" w:type="auto"/>
            <w:noWrap/>
            <w:vAlign w:val="center"/>
          </w:tcPr>
          <w:p w14:paraId="40F200FE" w14:textId="588D31DF" w:rsidR="00F15B4F" w:rsidRPr="004B723C" w:rsidRDefault="00F15B4F"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sz w:val="18"/>
                <w:szCs w:val="18"/>
              </w:rPr>
              <w:t>227/3,693</w:t>
            </w:r>
          </w:p>
        </w:tc>
        <w:tc>
          <w:tcPr>
            <w:tcW w:w="0" w:type="auto"/>
            <w:noWrap/>
            <w:vAlign w:val="center"/>
            <w:hideMark/>
          </w:tcPr>
          <w:p w14:paraId="1F1CEE3C" w14:textId="32A07D0D" w:rsidR="00F15B4F" w:rsidRPr="004B723C" w:rsidRDefault="00F15B4F"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w:t>
            </w:r>
          </w:p>
        </w:tc>
        <w:tc>
          <w:tcPr>
            <w:tcW w:w="0" w:type="auto"/>
            <w:noWrap/>
            <w:vAlign w:val="center"/>
            <w:hideMark/>
          </w:tcPr>
          <w:p w14:paraId="33EC4518" w14:textId="3E3D4B3A" w:rsidR="00F15B4F" w:rsidRPr="004B723C" w:rsidRDefault="00F15B4F"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1.18 (1.06–1.31)</w:t>
            </w:r>
          </w:p>
        </w:tc>
        <w:tc>
          <w:tcPr>
            <w:tcW w:w="0" w:type="auto"/>
            <w:noWrap/>
            <w:vAlign w:val="center"/>
            <w:hideMark/>
          </w:tcPr>
          <w:p w14:paraId="0A2386A2" w14:textId="36BF3C97" w:rsidR="00F15B4F" w:rsidRPr="004B723C" w:rsidRDefault="00F15B4F"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w:t>
            </w:r>
            <w:r w:rsidR="009B49E1" w:rsidRPr="004B723C">
              <w:rPr>
                <w:rFonts w:cs="Times New Roman"/>
                <w:color w:val="000000"/>
                <w:sz w:val="18"/>
                <w:szCs w:val="18"/>
              </w:rPr>
              <w:t>.</w:t>
            </w:r>
            <w:r w:rsidRPr="004B723C">
              <w:rPr>
                <w:rFonts w:cs="Times New Roman"/>
                <w:color w:val="000000"/>
                <w:sz w:val="18"/>
                <w:szCs w:val="18"/>
              </w:rPr>
              <w:t>0022</w:t>
            </w:r>
          </w:p>
        </w:tc>
        <w:tc>
          <w:tcPr>
            <w:tcW w:w="0" w:type="auto"/>
            <w:vAlign w:val="center"/>
          </w:tcPr>
          <w:p w14:paraId="0FF0B152" w14:textId="51D00733" w:rsidR="00F15B4F" w:rsidRPr="004B723C" w:rsidRDefault="00F15B4F"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227/3,693</w:t>
            </w:r>
          </w:p>
        </w:tc>
        <w:tc>
          <w:tcPr>
            <w:tcW w:w="0" w:type="auto"/>
            <w:vAlign w:val="center"/>
          </w:tcPr>
          <w:p w14:paraId="1FCF60AC" w14:textId="26296C92" w:rsidR="00F15B4F" w:rsidRPr="004B723C" w:rsidRDefault="00F15B4F"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w:t>
            </w:r>
          </w:p>
        </w:tc>
        <w:tc>
          <w:tcPr>
            <w:tcW w:w="0" w:type="auto"/>
            <w:noWrap/>
            <w:vAlign w:val="center"/>
            <w:hideMark/>
          </w:tcPr>
          <w:p w14:paraId="71BC5DB4" w14:textId="6CBBAC02" w:rsidR="00F15B4F" w:rsidRPr="004B723C" w:rsidRDefault="00F15B4F"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1.22 (1.05–1.40)</w:t>
            </w:r>
          </w:p>
        </w:tc>
        <w:tc>
          <w:tcPr>
            <w:tcW w:w="1190" w:type="dxa"/>
            <w:noWrap/>
            <w:vAlign w:val="center"/>
            <w:hideMark/>
          </w:tcPr>
          <w:p w14:paraId="6263BD92" w14:textId="6184506F" w:rsidR="00F15B4F" w:rsidRPr="004B723C" w:rsidRDefault="00F15B4F"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w:t>
            </w:r>
            <w:r w:rsidR="009B49E1" w:rsidRPr="004B723C">
              <w:rPr>
                <w:rFonts w:cs="Times New Roman"/>
                <w:color w:val="000000"/>
                <w:sz w:val="18"/>
                <w:szCs w:val="18"/>
              </w:rPr>
              <w:t>.</w:t>
            </w:r>
            <w:r w:rsidRPr="004B723C">
              <w:rPr>
                <w:rFonts w:cs="Times New Roman"/>
                <w:color w:val="000000"/>
                <w:sz w:val="18"/>
                <w:szCs w:val="18"/>
              </w:rPr>
              <w:t>0073</w:t>
            </w:r>
          </w:p>
        </w:tc>
      </w:tr>
      <w:tr w:rsidR="00D53FD9" w:rsidRPr="004B723C" w14:paraId="31424621" w14:textId="77777777" w:rsidTr="0045599F">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7CCD78C" w14:textId="77777777" w:rsidR="00A73795" w:rsidRPr="004B723C" w:rsidRDefault="00A73795" w:rsidP="007F3A2D">
            <w:pPr>
              <w:spacing w:line="360" w:lineRule="auto"/>
              <w:rPr>
                <w:rFonts w:eastAsia="Times New Roman" w:cs="Times New Roman"/>
                <w:color w:val="000000"/>
                <w:sz w:val="18"/>
                <w:szCs w:val="18"/>
                <w:lang w:eastAsia="en-GB"/>
              </w:rPr>
            </w:pPr>
            <w:r w:rsidRPr="004B723C">
              <w:rPr>
                <w:rFonts w:eastAsia="Times New Roman" w:cs="Times New Roman"/>
                <w:color w:val="000000"/>
                <w:sz w:val="18"/>
                <w:szCs w:val="18"/>
                <w:lang w:eastAsia="en-GB"/>
              </w:rPr>
              <w:t>Donor age (per 10 years)</w:t>
            </w:r>
          </w:p>
        </w:tc>
        <w:tc>
          <w:tcPr>
            <w:tcW w:w="0" w:type="auto"/>
            <w:noWrap/>
            <w:vAlign w:val="center"/>
            <w:hideMark/>
          </w:tcPr>
          <w:p w14:paraId="5875CAFB" w14:textId="77777777" w:rsidR="00A73795" w:rsidRPr="004B723C" w:rsidRDefault="00A7379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w:t>
            </w:r>
          </w:p>
        </w:tc>
        <w:tc>
          <w:tcPr>
            <w:tcW w:w="0" w:type="auto"/>
            <w:noWrap/>
            <w:vAlign w:val="center"/>
            <w:hideMark/>
          </w:tcPr>
          <w:p w14:paraId="39F8F712" w14:textId="2E3BF16D" w:rsidR="00A73795" w:rsidRPr="004B723C" w:rsidRDefault="00A7379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sz w:val="18"/>
                <w:szCs w:val="18"/>
              </w:rPr>
              <w:t>229/3,709</w:t>
            </w:r>
          </w:p>
        </w:tc>
        <w:tc>
          <w:tcPr>
            <w:tcW w:w="0" w:type="auto"/>
            <w:noWrap/>
            <w:vAlign w:val="center"/>
            <w:hideMark/>
          </w:tcPr>
          <w:p w14:paraId="1F2B38FF" w14:textId="1FA5B78A" w:rsidR="00A73795" w:rsidRPr="004B723C" w:rsidRDefault="00A7379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w:t>
            </w:r>
          </w:p>
        </w:tc>
        <w:tc>
          <w:tcPr>
            <w:tcW w:w="0" w:type="auto"/>
            <w:noWrap/>
            <w:vAlign w:val="center"/>
            <w:hideMark/>
          </w:tcPr>
          <w:p w14:paraId="58363EBD" w14:textId="379925D8" w:rsidR="00A73795" w:rsidRPr="004B723C" w:rsidRDefault="00A7379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0.98 (0.90–1.07)</w:t>
            </w:r>
          </w:p>
        </w:tc>
        <w:tc>
          <w:tcPr>
            <w:tcW w:w="0" w:type="auto"/>
            <w:noWrap/>
            <w:vAlign w:val="center"/>
            <w:hideMark/>
          </w:tcPr>
          <w:p w14:paraId="3411CA07" w14:textId="2C0E9B86" w:rsidR="00A73795" w:rsidRPr="004B723C" w:rsidRDefault="00A7379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w:t>
            </w:r>
            <w:r w:rsidR="009B49E1" w:rsidRPr="004B723C">
              <w:rPr>
                <w:rFonts w:cs="Times New Roman"/>
                <w:color w:val="000000"/>
                <w:sz w:val="18"/>
                <w:szCs w:val="18"/>
              </w:rPr>
              <w:t>.</w:t>
            </w:r>
            <w:r w:rsidRPr="004B723C">
              <w:rPr>
                <w:rFonts w:cs="Times New Roman"/>
                <w:color w:val="000000"/>
                <w:sz w:val="18"/>
                <w:szCs w:val="18"/>
              </w:rPr>
              <w:t>65</w:t>
            </w:r>
          </w:p>
        </w:tc>
        <w:tc>
          <w:tcPr>
            <w:tcW w:w="0" w:type="auto"/>
            <w:vAlign w:val="center"/>
          </w:tcPr>
          <w:p w14:paraId="29804191" w14:textId="42973856" w:rsidR="00A73795" w:rsidRPr="004B723C" w:rsidRDefault="00A7379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227/3,693</w:t>
            </w:r>
          </w:p>
        </w:tc>
        <w:tc>
          <w:tcPr>
            <w:tcW w:w="0" w:type="auto"/>
            <w:vAlign w:val="center"/>
          </w:tcPr>
          <w:p w14:paraId="3860150B" w14:textId="398DD6BE" w:rsidR="00A73795" w:rsidRPr="004B723C" w:rsidRDefault="00A7379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w:t>
            </w:r>
          </w:p>
        </w:tc>
        <w:tc>
          <w:tcPr>
            <w:tcW w:w="0" w:type="auto"/>
            <w:noWrap/>
            <w:vAlign w:val="center"/>
            <w:hideMark/>
          </w:tcPr>
          <w:p w14:paraId="591417C5" w14:textId="2641EB36" w:rsidR="00A73795" w:rsidRPr="004B723C" w:rsidRDefault="00A7379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1.01 (0.92–1.10)</w:t>
            </w:r>
          </w:p>
        </w:tc>
        <w:tc>
          <w:tcPr>
            <w:tcW w:w="1190" w:type="dxa"/>
            <w:noWrap/>
            <w:vAlign w:val="center"/>
            <w:hideMark/>
          </w:tcPr>
          <w:p w14:paraId="72E0B30F" w14:textId="47713E6B" w:rsidR="00A73795" w:rsidRPr="004B723C" w:rsidRDefault="00A7379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w:t>
            </w:r>
            <w:r w:rsidR="009B49E1" w:rsidRPr="004B723C">
              <w:rPr>
                <w:rFonts w:cs="Times New Roman"/>
                <w:color w:val="000000"/>
                <w:sz w:val="18"/>
                <w:szCs w:val="18"/>
              </w:rPr>
              <w:t>.</w:t>
            </w:r>
            <w:r w:rsidRPr="004B723C">
              <w:rPr>
                <w:rFonts w:cs="Times New Roman"/>
                <w:color w:val="000000"/>
                <w:sz w:val="18"/>
                <w:szCs w:val="18"/>
              </w:rPr>
              <w:t>91</w:t>
            </w:r>
          </w:p>
        </w:tc>
      </w:tr>
      <w:tr w:rsidR="00D53FD9" w:rsidRPr="004B723C" w14:paraId="04F4E524" w14:textId="77777777" w:rsidTr="0045599F">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689273E" w14:textId="77777777" w:rsidR="00A73795" w:rsidRPr="004B723C" w:rsidRDefault="00A73795" w:rsidP="007F3A2D">
            <w:pPr>
              <w:spacing w:line="360" w:lineRule="auto"/>
              <w:rPr>
                <w:rFonts w:eastAsia="Times New Roman" w:cs="Times New Roman"/>
                <w:color w:val="000000"/>
                <w:sz w:val="18"/>
                <w:szCs w:val="18"/>
                <w:lang w:eastAsia="en-GB"/>
              </w:rPr>
            </w:pPr>
            <w:r w:rsidRPr="004B723C">
              <w:rPr>
                <w:rFonts w:eastAsia="Times New Roman" w:cs="Times New Roman"/>
                <w:color w:val="000000"/>
                <w:sz w:val="18"/>
                <w:szCs w:val="18"/>
                <w:lang w:eastAsia="en-GB"/>
              </w:rPr>
              <w:t>Donor type</w:t>
            </w:r>
          </w:p>
        </w:tc>
        <w:tc>
          <w:tcPr>
            <w:tcW w:w="0" w:type="auto"/>
            <w:noWrap/>
            <w:vAlign w:val="center"/>
            <w:hideMark/>
          </w:tcPr>
          <w:p w14:paraId="66B36BC2" w14:textId="77777777" w:rsidR="00A73795" w:rsidRPr="004B723C" w:rsidRDefault="00A7379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Living</w:t>
            </w:r>
          </w:p>
        </w:tc>
        <w:tc>
          <w:tcPr>
            <w:tcW w:w="0" w:type="auto"/>
            <w:noWrap/>
            <w:vAlign w:val="center"/>
            <w:hideMark/>
          </w:tcPr>
          <w:p w14:paraId="0C39E372" w14:textId="24E01B2F" w:rsidR="00A73795" w:rsidRPr="004B723C" w:rsidRDefault="00A7379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sz w:val="18"/>
                <w:szCs w:val="18"/>
              </w:rPr>
              <w:t>229/3,709</w:t>
            </w:r>
          </w:p>
        </w:tc>
        <w:tc>
          <w:tcPr>
            <w:tcW w:w="0" w:type="auto"/>
            <w:noWrap/>
            <w:vAlign w:val="center"/>
            <w:hideMark/>
          </w:tcPr>
          <w:p w14:paraId="23D74A75" w14:textId="2920AD76" w:rsidR="00A73795" w:rsidRPr="004B723C" w:rsidRDefault="00A7379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31/521</w:t>
            </w:r>
          </w:p>
        </w:tc>
        <w:tc>
          <w:tcPr>
            <w:tcW w:w="0" w:type="auto"/>
            <w:noWrap/>
            <w:vAlign w:val="center"/>
            <w:hideMark/>
          </w:tcPr>
          <w:p w14:paraId="15502D45" w14:textId="5E74676F" w:rsidR="00A73795" w:rsidRPr="004B723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0" w:type="auto"/>
            <w:noWrap/>
            <w:vAlign w:val="center"/>
            <w:hideMark/>
          </w:tcPr>
          <w:p w14:paraId="3FE55D79" w14:textId="32B101FD" w:rsidR="00A73795" w:rsidRPr="004B723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0" w:type="auto"/>
            <w:vAlign w:val="center"/>
          </w:tcPr>
          <w:p w14:paraId="5D3FC7A4" w14:textId="6900F7DF" w:rsidR="00A73795" w:rsidRPr="004B723C" w:rsidDel="00E22D36" w:rsidRDefault="00A7379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227/3,693</w:t>
            </w:r>
          </w:p>
        </w:tc>
        <w:tc>
          <w:tcPr>
            <w:tcW w:w="0" w:type="auto"/>
            <w:vAlign w:val="center"/>
          </w:tcPr>
          <w:p w14:paraId="72DAD2DD" w14:textId="2E782BC9" w:rsidR="00A73795" w:rsidRPr="004B723C" w:rsidDel="00E22D36" w:rsidRDefault="00A7379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29/511</w:t>
            </w:r>
          </w:p>
        </w:tc>
        <w:tc>
          <w:tcPr>
            <w:tcW w:w="0" w:type="auto"/>
            <w:noWrap/>
            <w:vAlign w:val="center"/>
            <w:hideMark/>
          </w:tcPr>
          <w:p w14:paraId="4FD864E4" w14:textId="4BA619A1" w:rsidR="00A73795" w:rsidRPr="004B723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1190" w:type="dxa"/>
            <w:noWrap/>
            <w:vAlign w:val="center"/>
            <w:hideMark/>
          </w:tcPr>
          <w:p w14:paraId="3BA35B5D" w14:textId="3E3223B5" w:rsidR="00A73795" w:rsidRPr="004B723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r>
      <w:tr w:rsidR="00D53FD9" w:rsidRPr="004B723C" w14:paraId="02A79EFA" w14:textId="77777777" w:rsidTr="0045599F">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42074E33" w14:textId="77777777" w:rsidR="00A73795" w:rsidRPr="004B723C" w:rsidRDefault="00A73795" w:rsidP="007F3A2D">
            <w:pPr>
              <w:spacing w:line="360" w:lineRule="auto"/>
              <w:rPr>
                <w:rFonts w:eastAsia="Times New Roman" w:cs="Times New Roman"/>
                <w:color w:val="000000"/>
                <w:sz w:val="18"/>
                <w:szCs w:val="18"/>
                <w:lang w:eastAsia="en-GB"/>
              </w:rPr>
            </w:pPr>
          </w:p>
        </w:tc>
        <w:tc>
          <w:tcPr>
            <w:tcW w:w="0" w:type="auto"/>
            <w:noWrap/>
            <w:vAlign w:val="center"/>
            <w:hideMark/>
          </w:tcPr>
          <w:p w14:paraId="2D4FD63E" w14:textId="77777777" w:rsidR="00A73795" w:rsidRPr="004B723C" w:rsidRDefault="00A7379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DBD</w:t>
            </w:r>
          </w:p>
        </w:tc>
        <w:tc>
          <w:tcPr>
            <w:tcW w:w="0" w:type="auto"/>
            <w:noWrap/>
            <w:vAlign w:val="center"/>
          </w:tcPr>
          <w:p w14:paraId="6ADAC896" w14:textId="43FE142E" w:rsidR="00A73795" w:rsidRPr="004B723C" w:rsidRDefault="00A7379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0" w:type="auto"/>
            <w:noWrap/>
            <w:vAlign w:val="center"/>
            <w:hideMark/>
          </w:tcPr>
          <w:p w14:paraId="664E07F1" w14:textId="7743D74A" w:rsidR="00A73795" w:rsidRPr="004B723C" w:rsidRDefault="00A7379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174/2,631</w:t>
            </w:r>
          </w:p>
        </w:tc>
        <w:tc>
          <w:tcPr>
            <w:tcW w:w="0" w:type="auto"/>
            <w:noWrap/>
            <w:vAlign w:val="center"/>
            <w:hideMark/>
          </w:tcPr>
          <w:p w14:paraId="5A93A6A7" w14:textId="5A2DE198" w:rsidR="00A73795" w:rsidRPr="004B723C" w:rsidRDefault="00A7379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1.08 (0.73–1.58)</w:t>
            </w:r>
          </w:p>
        </w:tc>
        <w:tc>
          <w:tcPr>
            <w:tcW w:w="0" w:type="auto"/>
            <w:noWrap/>
            <w:vAlign w:val="center"/>
            <w:hideMark/>
          </w:tcPr>
          <w:p w14:paraId="6D6D4967" w14:textId="2490B803" w:rsidR="00A73795" w:rsidRPr="004B723C" w:rsidRDefault="00A7379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w:t>
            </w:r>
            <w:r w:rsidR="009B49E1" w:rsidRPr="004B723C">
              <w:rPr>
                <w:rFonts w:cs="Times New Roman"/>
                <w:color w:val="000000"/>
                <w:sz w:val="18"/>
                <w:szCs w:val="18"/>
              </w:rPr>
              <w:t>.</w:t>
            </w:r>
            <w:r w:rsidRPr="004B723C">
              <w:rPr>
                <w:rFonts w:cs="Times New Roman"/>
                <w:color w:val="000000"/>
                <w:sz w:val="18"/>
                <w:szCs w:val="18"/>
              </w:rPr>
              <w:t>71</w:t>
            </w:r>
          </w:p>
        </w:tc>
        <w:tc>
          <w:tcPr>
            <w:tcW w:w="0" w:type="auto"/>
            <w:vAlign w:val="center"/>
          </w:tcPr>
          <w:p w14:paraId="14A5F479" w14:textId="5A92274C" w:rsidR="00A73795" w:rsidRPr="004B723C" w:rsidRDefault="00A7379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0" w:type="auto"/>
            <w:vAlign w:val="center"/>
          </w:tcPr>
          <w:p w14:paraId="3DA089C5" w14:textId="1F46178D" w:rsidR="00A73795" w:rsidRPr="004B723C" w:rsidRDefault="00A7379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174/2,626</w:t>
            </w:r>
          </w:p>
        </w:tc>
        <w:tc>
          <w:tcPr>
            <w:tcW w:w="0" w:type="auto"/>
            <w:noWrap/>
            <w:vAlign w:val="center"/>
            <w:hideMark/>
          </w:tcPr>
          <w:p w14:paraId="52D20CCD" w14:textId="4B541571" w:rsidR="00A73795" w:rsidRPr="004B723C" w:rsidRDefault="00A7379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0.65 (0.37–1.13)</w:t>
            </w:r>
          </w:p>
        </w:tc>
        <w:tc>
          <w:tcPr>
            <w:tcW w:w="1190" w:type="dxa"/>
            <w:noWrap/>
            <w:vAlign w:val="center"/>
            <w:hideMark/>
          </w:tcPr>
          <w:p w14:paraId="5F420430" w14:textId="5EF01C16" w:rsidR="00A73795" w:rsidRPr="004B723C" w:rsidRDefault="00A7379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w:t>
            </w:r>
            <w:r w:rsidR="009B49E1" w:rsidRPr="004B723C">
              <w:rPr>
                <w:rFonts w:cs="Times New Roman"/>
                <w:color w:val="000000"/>
                <w:sz w:val="18"/>
                <w:szCs w:val="18"/>
              </w:rPr>
              <w:t>.</w:t>
            </w:r>
            <w:r w:rsidRPr="004B723C">
              <w:rPr>
                <w:rFonts w:cs="Times New Roman"/>
                <w:color w:val="000000"/>
                <w:sz w:val="18"/>
                <w:szCs w:val="18"/>
              </w:rPr>
              <w:t>12</w:t>
            </w:r>
          </w:p>
        </w:tc>
      </w:tr>
      <w:tr w:rsidR="00D53FD9" w:rsidRPr="004B723C" w14:paraId="599524DB" w14:textId="77777777" w:rsidTr="0045599F">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738A81C2" w14:textId="77777777" w:rsidR="00A73795" w:rsidRPr="004B723C" w:rsidRDefault="00A73795" w:rsidP="007F3A2D">
            <w:pPr>
              <w:spacing w:line="360" w:lineRule="auto"/>
              <w:rPr>
                <w:rFonts w:eastAsia="Times New Roman" w:cs="Times New Roman"/>
                <w:color w:val="000000"/>
                <w:sz w:val="18"/>
                <w:szCs w:val="18"/>
                <w:lang w:eastAsia="en-GB"/>
              </w:rPr>
            </w:pPr>
          </w:p>
        </w:tc>
        <w:tc>
          <w:tcPr>
            <w:tcW w:w="0" w:type="auto"/>
            <w:noWrap/>
            <w:vAlign w:val="center"/>
            <w:hideMark/>
          </w:tcPr>
          <w:p w14:paraId="23A0DE60" w14:textId="77777777" w:rsidR="00A73795" w:rsidRPr="004B723C" w:rsidRDefault="00A7379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DCD</w:t>
            </w:r>
          </w:p>
        </w:tc>
        <w:tc>
          <w:tcPr>
            <w:tcW w:w="0" w:type="auto"/>
            <w:noWrap/>
            <w:vAlign w:val="center"/>
          </w:tcPr>
          <w:p w14:paraId="6D7FCCD5" w14:textId="0558F4D8" w:rsidR="00A73795" w:rsidRPr="004B723C" w:rsidRDefault="00A7379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0" w:type="auto"/>
            <w:noWrap/>
            <w:vAlign w:val="center"/>
            <w:hideMark/>
          </w:tcPr>
          <w:p w14:paraId="5AE1FDEA" w14:textId="28D78C23" w:rsidR="00A73795" w:rsidRPr="004B723C" w:rsidRDefault="00A7379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24/557</w:t>
            </w:r>
          </w:p>
        </w:tc>
        <w:tc>
          <w:tcPr>
            <w:tcW w:w="0" w:type="auto"/>
            <w:noWrap/>
            <w:vAlign w:val="center"/>
            <w:hideMark/>
          </w:tcPr>
          <w:p w14:paraId="2AD6E1A3" w14:textId="50FFE978" w:rsidR="00A73795" w:rsidRPr="004B723C" w:rsidRDefault="00A7379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0.66 (0.39–1.13)</w:t>
            </w:r>
          </w:p>
        </w:tc>
        <w:tc>
          <w:tcPr>
            <w:tcW w:w="0" w:type="auto"/>
            <w:noWrap/>
            <w:vAlign w:val="center"/>
            <w:hideMark/>
          </w:tcPr>
          <w:p w14:paraId="109AE5B6" w14:textId="3C725F65" w:rsidR="00A73795" w:rsidRPr="004B723C" w:rsidRDefault="00A7379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w:t>
            </w:r>
            <w:r w:rsidR="009B49E1" w:rsidRPr="004B723C">
              <w:rPr>
                <w:rFonts w:cs="Times New Roman"/>
                <w:color w:val="000000"/>
                <w:sz w:val="18"/>
                <w:szCs w:val="18"/>
              </w:rPr>
              <w:t>.</w:t>
            </w:r>
            <w:r w:rsidRPr="004B723C">
              <w:rPr>
                <w:rFonts w:cs="Times New Roman"/>
                <w:color w:val="000000"/>
                <w:sz w:val="18"/>
                <w:szCs w:val="18"/>
              </w:rPr>
              <w:t>13</w:t>
            </w:r>
          </w:p>
        </w:tc>
        <w:tc>
          <w:tcPr>
            <w:tcW w:w="0" w:type="auto"/>
            <w:vAlign w:val="center"/>
          </w:tcPr>
          <w:p w14:paraId="216B3323" w14:textId="33FA7A5B" w:rsidR="00A73795" w:rsidRPr="004B723C" w:rsidRDefault="00A7379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0" w:type="auto"/>
            <w:vAlign w:val="center"/>
          </w:tcPr>
          <w:p w14:paraId="28958C26" w14:textId="73B8A301" w:rsidR="00A73795" w:rsidRPr="004B723C" w:rsidRDefault="00A7379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24/556</w:t>
            </w:r>
          </w:p>
        </w:tc>
        <w:tc>
          <w:tcPr>
            <w:tcW w:w="0" w:type="auto"/>
            <w:noWrap/>
            <w:vAlign w:val="center"/>
            <w:hideMark/>
          </w:tcPr>
          <w:p w14:paraId="0C2E5DC2" w14:textId="460DA34B" w:rsidR="00A73795" w:rsidRPr="004B723C" w:rsidRDefault="00A7379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0.55 (0.28–1.06)</w:t>
            </w:r>
          </w:p>
        </w:tc>
        <w:tc>
          <w:tcPr>
            <w:tcW w:w="1190" w:type="dxa"/>
            <w:noWrap/>
            <w:vAlign w:val="center"/>
            <w:hideMark/>
          </w:tcPr>
          <w:p w14:paraId="69CF87AF" w14:textId="0AC272A5" w:rsidR="00A73795" w:rsidRPr="004B723C" w:rsidRDefault="00A7379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w:t>
            </w:r>
            <w:r w:rsidR="009B49E1" w:rsidRPr="004B723C">
              <w:rPr>
                <w:rFonts w:cs="Times New Roman"/>
                <w:color w:val="000000"/>
                <w:sz w:val="18"/>
                <w:szCs w:val="18"/>
              </w:rPr>
              <w:t>.</w:t>
            </w:r>
            <w:r w:rsidRPr="004B723C">
              <w:rPr>
                <w:rFonts w:cs="Times New Roman"/>
                <w:color w:val="000000"/>
                <w:sz w:val="18"/>
                <w:szCs w:val="18"/>
              </w:rPr>
              <w:t>074</w:t>
            </w:r>
          </w:p>
        </w:tc>
      </w:tr>
      <w:tr w:rsidR="00D53FD9" w:rsidRPr="004B723C" w14:paraId="458647F5" w14:textId="77777777" w:rsidTr="0045599F">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9B3CF0F" w14:textId="77777777" w:rsidR="00A73795" w:rsidRPr="004B723C" w:rsidRDefault="00A73795" w:rsidP="007F3A2D">
            <w:pPr>
              <w:spacing w:line="360" w:lineRule="auto"/>
              <w:rPr>
                <w:rFonts w:eastAsia="Times New Roman" w:cs="Times New Roman"/>
                <w:color w:val="000000"/>
                <w:sz w:val="18"/>
                <w:szCs w:val="18"/>
                <w:lang w:eastAsia="en-GB"/>
              </w:rPr>
            </w:pPr>
            <w:r w:rsidRPr="004B723C">
              <w:rPr>
                <w:rFonts w:eastAsia="Times New Roman" w:cs="Times New Roman"/>
                <w:color w:val="000000"/>
                <w:sz w:val="18"/>
                <w:szCs w:val="18"/>
                <w:lang w:eastAsia="en-GB"/>
              </w:rPr>
              <w:t>Donor–recipient CMV serostatus</w:t>
            </w:r>
          </w:p>
        </w:tc>
        <w:tc>
          <w:tcPr>
            <w:tcW w:w="0" w:type="auto"/>
            <w:noWrap/>
            <w:vAlign w:val="center"/>
            <w:hideMark/>
          </w:tcPr>
          <w:p w14:paraId="121B42B3" w14:textId="77777777" w:rsidR="00A73795" w:rsidRPr="004B723C" w:rsidRDefault="00A7379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D−/R−</w:t>
            </w:r>
          </w:p>
        </w:tc>
        <w:tc>
          <w:tcPr>
            <w:tcW w:w="0" w:type="auto"/>
            <w:noWrap/>
            <w:vAlign w:val="center"/>
            <w:hideMark/>
          </w:tcPr>
          <w:p w14:paraId="3ADA951C" w14:textId="78B194E7" w:rsidR="00A73795" w:rsidRPr="004B723C" w:rsidRDefault="00A7379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sz w:val="18"/>
                <w:szCs w:val="18"/>
              </w:rPr>
              <w:t>229/3,709</w:t>
            </w:r>
          </w:p>
        </w:tc>
        <w:tc>
          <w:tcPr>
            <w:tcW w:w="0" w:type="auto"/>
            <w:noWrap/>
            <w:vAlign w:val="center"/>
            <w:hideMark/>
          </w:tcPr>
          <w:p w14:paraId="6E9722F8" w14:textId="46D83487" w:rsidR="00A73795" w:rsidRPr="004B723C" w:rsidRDefault="00A7379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33/742</w:t>
            </w:r>
          </w:p>
        </w:tc>
        <w:tc>
          <w:tcPr>
            <w:tcW w:w="0" w:type="auto"/>
            <w:noWrap/>
            <w:vAlign w:val="center"/>
            <w:hideMark/>
          </w:tcPr>
          <w:p w14:paraId="37256F18" w14:textId="60B4EC52" w:rsidR="00A73795" w:rsidRPr="004B723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0" w:type="auto"/>
            <w:noWrap/>
            <w:vAlign w:val="center"/>
            <w:hideMark/>
          </w:tcPr>
          <w:p w14:paraId="3223ADE2" w14:textId="17DAF177" w:rsidR="00A73795" w:rsidRPr="004B723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0" w:type="auto"/>
            <w:vAlign w:val="center"/>
          </w:tcPr>
          <w:p w14:paraId="1DD2797E" w14:textId="6AD2B3F8" w:rsidR="00A73795" w:rsidRPr="004B723C" w:rsidDel="00E22D36" w:rsidRDefault="00A7379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227/3,693</w:t>
            </w:r>
          </w:p>
        </w:tc>
        <w:tc>
          <w:tcPr>
            <w:tcW w:w="0" w:type="auto"/>
            <w:vAlign w:val="center"/>
          </w:tcPr>
          <w:p w14:paraId="2E8B87B4" w14:textId="2AB7229E" w:rsidR="00A73795" w:rsidRPr="004B723C" w:rsidDel="00E22D36" w:rsidRDefault="00A7379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33/739</w:t>
            </w:r>
          </w:p>
        </w:tc>
        <w:tc>
          <w:tcPr>
            <w:tcW w:w="0" w:type="auto"/>
            <w:noWrap/>
            <w:vAlign w:val="center"/>
            <w:hideMark/>
          </w:tcPr>
          <w:p w14:paraId="39E1CF52" w14:textId="456E1661" w:rsidR="00A73795" w:rsidRPr="004B723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1190" w:type="dxa"/>
            <w:noWrap/>
            <w:vAlign w:val="center"/>
            <w:hideMark/>
          </w:tcPr>
          <w:p w14:paraId="26DB48D8" w14:textId="2B5D7143" w:rsidR="00A73795" w:rsidRPr="004B723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r>
      <w:tr w:rsidR="00D53FD9" w:rsidRPr="004B723C" w14:paraId="2AAC2FA8" w14:textId="77777777" w:rsidTr="0045599F">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4B835267" w14:textId="77777777" w:rsidR="00A73795" w:rsidRPr="004B723C" w:rsidRDefault="00A73795" w:rsidP="007F3A2D">
            <w:pPr>
              <w:spacing w:line="360" w:lineRule="auto"/>
              <w:rPr>
                <w:rFonts w:eastAsia="Times New Roman" w:cs="Times New Roman"/>
                <w:color w:val="000000"/>
                <w:sz w:val="18"/>
                <w:szCs w:val="18"/>
                <w:lang w:eastAsia="en-GB"/>
              </w:rPr>
            </w:pPr>
          </w:p>
        </w:tc>
        <w:tc>
          <w:tcPr>
            <w:tcW w:w="0" w:type="auto"/>
            <w:noWrap/>
            <w:vAlign w:val="center"/>
            <w:hideMark/>
          </w:tcPr>
          <w:p w14:paraId="07FD0F70" w14:textId="77777777" w:rsidR="00A73795" w:rsidRPr="004B723C" w:rsidRDefault="00A7379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D+/R+</w:t>
            </w:r>
          </w:p>
        </w:tc>
        <w:tc>
          <w:tcPr>
            <w:tcW w:w="0" w:type="auto"/>
            <w:noWrap/>
            <w:vAlign w:val="center"/>
          </w:tcPr>
          <w:p w14:paraId="1246033F" w14:textId="5245228D" w:rsidR="00A73795" w:rsidRPr="004B723C" w:rsidRDefault="00A7379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0" w:type="auto"/>
            <w:noWrap/>
            <w:vAlign w:val="center"/>
            <w:hideMark/>
          </w:tcPr>
          <w:p w14:paraId="22F74D46" w14:textId="6A2A3DF1" w:rsidR="00A73795" w:rsidRPr="004B723C" w:rsidRDefault="00A7379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92/1,370</w:t>
            </w:r>
          </w:p>
        </w:tc>
        <w:tc>
          <w:tcPr>
            <w:tcW w:w="0" w:type="auto"/>
            <w:noWrap/>
            <w:vAlign w:val="center"/>
            <w:hideMark/>
          </w:tcPr>
          <w:p w14:paraId="045C318D" w14:textId="3E1E4EDE" w:rsidR="00A73795" w:rsidRPr="004B723C" w:rsidRDefault="00A7379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2.03 (1.36–3.03)</w:t>
            </w:r>
          </w:p>
        </w:tc>
        <w:tc>
          <w:tcPr>
            <w:tcW w:w="0" w:type="auto"/>
            <w:noWrap/>
            <w:vAlign w:val="center"/>
            <w:hideMark/>
          </w:tcPr>
          <w:p w14:paraId="5FE5ADC3" w14:textId="5EB76CC9" w:rsidR="00A73795" w:rsidRPr="004B723C" w:rsidRDefault="00D53FD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4.96 × 10</w:t>
            </w:r>
            <w:r w:rsidRPr="004B723C">
              <w:rPr>
                <w:rFonts w:cs="Times New Roman"/>
                <w:color w:val="000000"/>
                <w:sz w:val="18"/>
                <w:szCs w:val="18"/>
                <w:vertAlign w:val="superscript"/>
              </w:rPr>
              <w:t>-4</w:t>
            </w:r>
          </w:p>
        </w:tc>
        <w:tc>
          <w:tcPr>
            <w:tcW w:w="0" w:type="auto"/>
            <w:vAlign w:val="center"/>
          </w:tcPr>
          <w:p w14:paraId="0947ECE2" w14:textId="4F542B4D" w:rsidR="00A73795" w:rsidRPr="004B723C" w:rsidRDefault="00A7379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0" w:type="auto"/>
            <w:vAlign w:val="center"/>
          </w:tcPr>
          <w:p w14:paraId="275741D1" w14:textId="7A43CCA3" w:rsidR="00A73795" w:rsidRPr="004B723C" w:rsidRDefault="00A7379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91/1,363</w:t>
            </w:r>
          </w:p>
        </w:tc>
        <w:tc>
          <w:tcPr>
            <w:tcW w:w="0" w:type="auto"/>
            <w:noWrap/>
            <w:vAlign w:val="center"/>
            <w:hideMark/>
          </w:tcPr>
          <w:p w14:paraId="5984ACBE" w14:textId="3365E039" w:rsidR="00A73795" w:rsidRPr="004B723C" w:rsidRDefault="00A7379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1.77 (1.17–2.68)</w:t>
            </w:r>
          </w:p>
        </w:tc>
        <w:tc>
          <w:tcPr>
            <w:tcW w:w="1190" w:type="dxa"/>
            <w:noWrap/>
            <w:vAlign w:val="center"/>
            <w:hideMark/>
          </w:tcPr>
          <w:p w14:paraId="51E3C93E" w14:textId="3DD553BB" w:rsidR="00A73795" w:rsidRPr="004B723C" w:rsidRDefault="00A7379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w:t>
            </w:r>
            <w:r w:rsidR="009B49E1" w:rsidRPr="004B723C">
              <w:rPr>
                <w:rFonts w:cs="Times New Roman"/>
                <w:color w:val="000000"/>
                <w:sz w:val="18"/>
                <w:szCs w:val="18"/>
              </w:rPr>
              <w:t>.</w:t>
            </w:r>
            <w:r w:rsidRPr="004B723C">
              <w:rPr>
                <w:rFonts w:cs="Times New Roman"/>
                <w:color w:val="000000"/>
                <w:sz w:val="18"/>
                <w:szCs w:val="18"/>
              </w:rPr>
              <w:t>0067</w:t>
            </w:r>
          </w:p>
        </w:tc>
      </w:tr>
      <w:tr w:rsidR="00D53FD9" w:rsidRPr="004B723C" w14:paraId="09031942" w14:textId="77777777" w:rsidTr="0045599F">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2AAD1B98" w14:textId="77777777" w:rsidR="00A73795" w:rsidRPr="004B723C" w:rsidRDefault="00A73795" w:rsidP="007F3A2D">
            <w:pPr>
              <w:spacing w:line="360" w:lineRule="auto"/>
              <w:rPr>
                <w:rFonts w:eastAsia="Times New Roman" w:cs="Times New Roman"/>
                <w:color w:val="000000"/>
                <w:sz w:val="18"/>
                <w:szCs w:val="18"/>
                <w:lang w:eastAsia="en-GB"/>
              </w:rPr>
            </w:pPr>
          </w:p>
        </w:tc>
        <w:tc>
          <w:tcPr>
            <w:tcW w:w="0" w:type="auto"/>
            <w:noWrap/>
            <w:vAlign w:val="center"/>
            <w:hideMark/>
          </w:tcPr>
          <w:p w14:paraId="4E086EB5" w14:textId="77777777" w:rsidR="00A73795" w:rsidRPr="004B723C" w:rsidRDefault="00A7379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D+/R−</w:t>
            </w:r>
          </w:p>
        </w:tc>
        <w:tc>
          <w:tcPr>
            <w:tcW w:w="0" w:type="auto"/>
            <w:noWrap/>
            <w:vAlign w:val="center"/>
          </w:tcPr>
          <w:p w14:paraId="348C0373" w14:textId="414B5A75" w:rsidR="00A73795" w:rsidRPr="004B723C" w:rsidRDefault="00A7379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0" w:type="auto"/>
            <w:noWrap/>
            <w:vAlign w:val="center"/>
            <w:hideMark/>
          </w:tcPr>
          <w:p w14:paraId="7A6D299E" w14:textId="5285372A" w:rsidR="00A73795" w:rsidRPr="004B723C" w:rsidRDefault="00A7379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40/724</w:t>
            </w:r>
          </w:p>
        </w:tc>
        <w:tc>
          <w:tcPr>
            <w:tcW w:w="0" w:type="auto"/>
            <w:noWrap/>
            <w:vAlign w:val="center"/>
            <w:hideMark/>
          </w:tcPr>
          <w:p w14:paraId="48E2803E" w14:textId="2762D75D" w:rsidR="00A73795" w:rsidRPr="004B723C" w:rsidRDefault="00A7379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1.44 (0.91–2.28)</w:t>
            </w:r>
          </w:p>
        </w:tc>
        <w:tc>
          <w:tcPr>
            <w:tcW w:w="0" w:type="auto"/>
            <w:noWrap/>
            <w:vAlign w:val="center"/>
            <w:hideMark/>
          </w:tcPr>
          <w:p w14:paraId="345EAF74" w14:textId="3BF9F850" w:rsidR="00A73795" w:rsidRPr="004B723C" w:rsidRDefault="00A7379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w:t>
            </w:r>
            <w:r w:rsidR="009B49E1" w:rsidRPr="004B723C">
              <w:rPr>
                <w:rFonts w:cs="Times New Roman"/>
                <w:color w:val="000000"/>
                <w:sz w:val="18"/>
                <w:szCs w:val="18"/>
              </w:rPr>
              <w:t>.</w:t>
            </w:r>
            <w:r w:rsidRPr="004B723C">
              <w:rPr>
                <w:rFonts w:cs="Times New Roman"/>
                <w:color w:val="000000"/>
                <w:sz w:val="18"/>
                <w:szCs w:val="18"/>
              </w:rPr>
              <w:t>12</w:t>
            </w:r>
          </w:p>
        </w:tc>
        <w:tc>
          <w:tcPr>
            <w:tcW w:w="0" w:type="auto"/>
            <w:vAlign w:val="center"/>
          </w:tcPr>
          <w:p w14:paraId="2F7DC251" w14:textId="6B0E01C3" w:rsidR="00A73795" w:rsidRPr="004B723C" w:rsidRDefault="00A7379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0" w:type="auto"/>
            <w:vAlign w:val="center"/>
          </w:tcPr>
          <w:p w14:paraId="06947AB7" w14:textId="46C33F4E" w:rsidR="00A73795" w:rsidRPr="004B723C" w:rsidRDefault="00A7379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40/721</w:t>
            </w:r>
          </w:p>
        </w:tc>
        <w:tc>
          <w:tcPr>
            <w:tcW w:w="0" w:type="auto"/>
            <w:noWrap/>
            <w:vAlign w:val="center"/>
            <w:hideMark/>
          </w:tcPr>
          <w:p w14:paraId="0934776E" w14:textId="514CB2D2" w:rsidR="00A73795" w:rsidRPr="004B723C" w:rsidRDefault="00A7379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1.45 (0.91–2.30)</w:t>
            </w:r>
          </w:p>
        </w:tc>
        <w:tc>
          <w:tcPr>
            <w:tcW w:w="1190" w:type="dxa"/>
            <w:noWrap/>
            <w:vAlign w:val="center"/>
            <w:hideMark/>
          </w:tcPr>
          <w:p w14:paraId="3CD66C3C" w14:textId="7FB7E48F" w:rsidR="00A73795" w:rsidRPr="004B723C" w:rsidRDefault="00A7379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w:t>
            </w:r>
            <w:r w:rsidR="009B49E1" w:rsidRPr="004B723C">
              <w:rPr>
                <w:rFonts w:cs="Times New Roman"/>
                <w:color w:val="000000"/>
                <w:sz w:val="18"/>
                <w:szCs w:val="18"/>
              </w:rPr>
              <w:t>.</w:t>
            </w:r>
            <w:r w:rsidRPr="004B723C">
              <w:rPr>
                <w:rFonts w:cs="Times New Roman"/>
                <w:color w:val="000000"/>
                <w:sz w:val="18"/>
                <w:szCs w:val="18"/>
              </w:rPr>
              <w:t>12</w:t>
            </w:r>
          </w:p>
        </w:tc>
      </w:tr>
      <w:tr w:rsidR="00D53FD9" w:rsidRPr="004B723C" w14:paraId="00F3F97D" w14:textId="77777777" w:rsidTr="0045599F">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56ECBC30" w14:textId="77777777" w:rsidR="00A73795" w:rsidRPr="004B723C" w:rsidRDefault="00A73795" w:rsidP="007F3A2D">
            <w:pPr>
              <w:spacing w:line="360" w:lineRule="auto"/>
              <w:rPr>
                <w:rFonts w:eastAsia="Times New Roman" w:cs="Times New Roman"/>
                <w:color w:val="000000"/>
                <w:sz w:val="18"/>
                <w:szCs w:val="18"/>
                <w:lang w:eastAsia="en-GB"/>
              </w:rPr>
            </w:pPr>
          </w:p>
        </w:tc>
        <w:tc>
          <w:tcPr>
            <w:tcW w:w="0" w:type="auto"/>
            <w:noWrap/>
            <w:vAlign w:val="center"/>
            <w:hideMark/>
          </w:tcPr>
          <w:p w14:paraId="52FC54A7" w14:textId="77777777" w:rsidR="00A73795" w:rsidRPr="004B723C" w:rsidRDefault="00A7379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D−/R+</w:t>
            </w:r>
          </w:p>
        </w:tc>
        <w:tc>
          <w:tcPr>
            <w:tcW w:w="0" w:type="auto"/>
            <w:noWrap/>
            <w:vAlign w:val="center"/>
          </w:tcPr>
          <w:p w14:paraId="354874FE" w14:textId="02DA0F2D" w:rsidR="00A73795" w:rsidRPr="004B723C" w:rsidRDefault="00A7379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0" w:type="auto"/>
            <w:noWrap/>
            <w:vAlign w:val="center"/>
            <w:hideMark/>
          </w:tcPr>
          <w:p w14:paraId="37BD0473" w14:textId="78459344" w:rsidR="00A73795" w:rsidRPr="004B723C" w:rsidRDefault="00A7379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64/873</w:t>
            </w:r>
          </w:p>
        </w:tc>
        <w:tc>
          <w:tcPr>
            <w:tcW w:w="0" w:type="auto"/>
            <w:noWrap/>
            <w:vAlign w:val="center"/>
            <w:hideMark/>
          </w:tcPr>
          <w:p w14:paraId="696070E3" w14:textId="3ACF6E06" w:rsidR="00A73795" w:rsidRPr="004B723C" w:rsidRDefault="00A7379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1.89 (1.24–2.88)</w:t>
            </w:r>
          </w:p>
        </w:tc>
        <w:tc>
          <w:tcPr>
            <w:tcW w:w="0" w:type="auto"/>
            <w:noWrap/>
            <w:vAlign w:val="center"/>
            <w:hideMark/>
          </w:tcPr>
          <w:p w14:paraId="33D7AEC0" w14:textId="4CC83770" w:rsidR="00A73795" w:rsidRPr="004B723C" w:rsidRDefault="00A7379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w:t>
            </w:r>
            <w:r w:rsidR="009B49E1" w:rsidRPr="004B723C">
              <w:rPr>
                <w:rFonts w:cs="Times New Roman"/>
                <w:color w:val="000000"/>
                <w:sz w:val="18"/>
                <w:szCs w:val="18"/>
              </w:rPr>
              <w:t>.</w:t>
            </w:r>
            <w:r w:rsidRPr="004B723C">
              <w:rPr>
                <w:rFonts w:cs="Times New Roman"/>
                <w:color w:val="000000"/>
                <w:sz w:val="18"/>
                <w:szCs w:val="18"/>
              </w:rPr>
              <w:t>003</w:t>
            </w:r>
          </w:p>
        </w:tc>
        <w:tc>
          <w:tcPr>
            <w:tcW w:w="0" w:type="auto"/>
            <w:vAlign w:val="center"/>
          </w:tcPr>
          <w:p w14:paraId="7457C002" w14:textId="13668483" w:rsidR="00A73795" w:rsidRPr="004B723C" w:rsidRDefault="00A7379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0" w:type="auto"/>
            <w:vAlign w:val="center"/>
          </w:tcPr>
          <w:p w14:paraId="656DF8C5" w14:textId="4D744714" w:rsidR="00A73795" w:rsidRPr="004B723C" w:rsidRDefault="00A7379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63/870</w:t>
            </w:r>
          </w:p>
        </w:tc>
        <w:tc>
          <w:tcPr>
            <w:tcW w:w="0" w:type="auto"/>
            <w:noWrap/>
            <w:vAlign w:val="center"/>
            <w:hideMark/>
          </w:tcPr>
          <w:p w14:paraId="46ED9B12" w14:textId="546EA7D4" w:rsidR="00A73795" w:rsidRPr="004B723C" w:rsidRDefault="00A7379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1.66 (1.08–2.54)</w:t>
            </w:r>
          </w:p>
        </w:tc>
        <w:tc>
          <w:tcPr>
            <w:tcW w:w="1190" w:type="dxa"/>
            <w:noWrap/>
            <w:vAlign w:val="center"/>
            <w:hideMark/>
          </w:tcPr>
          <w:p w14:paraId="2462E4E5" w14:textId="38039656" w:rsidR="00A73795" w:rsidRPr="004B723C" w:rsidRDefault="00A7379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w:t>
            </w:r>
            <w:r w:rsidR="009B49E1" w:rsidRPr="004B723C">
              <w:rPr>
                <w:rFonts w:cs="Times New Roman"/>
                <w:color w:val="000000"/>
                <w:sz w:val="18"/>
                <w:szCs w:val="18"/>
              </w:rPr>
              <w:t>.</w:t>
            </w:r>
            <w:r w:rsidRPr="004B723C">
              <w:rPr>
                <w:rFonts w:cs="Times New Roman"/>
                <w:color w:val="000000"/>
                <w:sz w:val="18"/>
                <w:szCs w:val="18"/>
              </w:rPr>
              <w:t>021</w:t>
            </w:r>
          </w:p>
        </w:tc>
      </w:tr>
      <w:tr w:rsidR="00D53FD9" w:rsidRPr="004B723C" w14:paraId="6DAD6845" w14:textId="77777777" w:rsidTr="0045599F">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AB6F126" w14:textId="77777777" w:rsidR="00A73795" w:rsidRPr="004B723C" w:rsidRDefault="00A73795" w:rsidP="007F3A2D">
            <w:pPr>
              <w:spacing w:line="360" w:lineRule="auto"/>
              <w:rPr>
                <w:rFonts w:eastAsia="Times New Roman" w:cs="Times New Roman"/>
                <w:color w:val="000000"/>
                <w:sz w:val="18"/>
                <w:szCs w:val="18"/>
                <w:lang w:eastAsia="en-GB"/>
              </w:rPr>
            </w:pPr>
            <w:r w:rsidRPr="004B723C">
              <w:rPr>
                <w:rFonts w:eastAsia="Times New Roman" w:cs="Times New Roman"/>
                <w:color w:val="000000"/>
                <w:sz w:val="18"/>
                <w:szCs w:val="18"/>
                <w:lang w:eastAsia="en-GB"/>
              </w:rPr>
              <w:t>HLA mismatch (per mismatch)</w:t>
            </w:r>
          </w:p>
        </w:tc>
        <w:tc>
          <w:tcPr>
            <w:tcW w:w="0" w:type="auto"/>
            <w:noWrap/>
            <w:vAlign w:val="center"/>
            <w:hideMark/>
          </w:tcPr>
          <w:p w14:paraId="474E163F" w14:textId="77777777" w:rsidR="00A73795" w:rsidRPr="004B723C" w:rsidRDefault="00A7379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w:t>
            </w:r>
          </w:p>
        </w:tc>
        <w:tc>
          <w:tcPr>
            <w:tcW w:w="0" w:type="auto"/>
            <w:noWrap/>
            <w:vAlign w:val="center"/>
            <w:hideMark/>
          </w:tcPr>
          <w:p w14:paraId="19B85341" w14:textId="4EBA1101" w:rsidR="00A73795" w:rsidRPr="004B723C" w:rsidRDefault="00A7379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sz w:val="18"/>
                <w:szCs w:val="18"/>
              </w:rPr>
              <w:t>229/3,709</w:t>
            </w:r>
          </w:p>
        </w:tc>
        <w:tc>
          <w:tcPr>
            <w:tcW w:w="0" w:type="auto"/>
            <w:noWrap/>
            <w:vAlign w:val="center"/>
            <w:hideMark/>
          </w:tcPr>
          <w:p w14:paraId="4F5EB709" w14:textId="59FDD265" w:rsidR="00A73795" w:rsidRPr="004B723C" w:rsidRDefault="00A7379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w:t>
            </w:r>
          </w:p>
        </w:tc>
        <w:tc>
          <w:tcPr>
            <w:tcW w:w="0" w:type="auto"/>
            <w:noWrap/>
            <w:vAlign w:val="center"/>
            <w:hideMark/>
          </w:tcPr>
          <w:p w14:paraId="7FA0A69D" w14:textId="5B803C6B" w:rsidR="00A73795" w:rsidRPr="004B723C" w:rsidRDefault="00A7379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1.13 (1.03–1.23)</w:t>
            </w:r>
          </w:p>
        </w:tc>
        <w:tc>
          <w:tcPr>
            <w:tcW w:w="0" w:type="auto"/>
            <w:noWrap/>
            <w:vAlign w:val="center"/>
            <w:hideMark/>
          </w:tcPr>
          <w:p w14:paraId="5124C6C7" w14:textId="7CAB2220" w:rsidR="00A73795" w:rsidRPr="004B723C" w:rsidRDefault="00A7379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w:t>
            </w:r>
            <w:r w:rsidR="009B49E1" w:rsidRPr="004B723C">
              <w:rPr>
                <w:rFonts w:cs="Times New Roman"/>
                <w:color w:val="000000"/>
                <w:sz w:val="18"/>
                <w:szCs w:val="18"/>
              </w:rPr>
              <w:t>.</w:t>
            </w:r>
            <w:r w:rsidRPr="004B723C">
              <w:rPr>
                <w:rFonts w:cs="Times New Roman"/>
                <w:color w:val="000000"/>
                <w:sz w:val="18"/>
                <w:szCs w:val="18"/>
              </w:rPr>
              <w:t>01</w:t>
            </w:r>
          </w:p>
        </w:tc>
        <w:tc>
          <w:tcPr>
            <w:tcW w:w="0" w:type="auto"/>
            <w:vAlign w:val="center"/>
          </w:tcPr>
          <w:p w14:paraId="0AEA8FF2" w14:textId="15A95CE4" w:rsidR="00A73795" w:rsidRPr="004B723C" w:rsidRDefault="00A7379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227/3,693</w:t>
            </w:r>
          </w:p>
        </w:tc>
        <w:tc>
          <w:tcPr>
            <w:tcW w:w="0" w:type="auto"/>
            <w:vAlign w:val="center"/>
          </w:tcPr>
          <w:p w14:paraId="63A0ED9C" w14:textId="6DEA3885" w:rsidR="00A73795" w:rsidRPr="004B723C" w:rsidRDefault="00A7379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w:t>
            </w:r>
          </w:p>
        </w:tc>
        <w:tc>
          <w:tcPr>
            <w:tcW w:w="0" w:type="auto"/>
            <w:noWrap/>
            <w:vAlign w:val="center"/>
            <w:hideMark/>
          </w:tcPr>
          <w:p w14:paraId="2FC86A71" w14:textId="2E736EB3" w:rsidR="00A73795" w:rsidRPr="004B723C" w:rsidRDefault="00A7379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1.20 (1.09–1.33)</w:t>
            </w:r>
          </w:p>
        </w:tc>
        <w:tc>
          <w:tcPr>
            <w:tcW w:w="1190" w:type="dxa"/>
            <w:noWrap/>
            <w:vAlign w:val="center"/>
            <w:hideMark/>
          </w:tcPr>
          <w:p w14:paraId="36A832B0" w14:textId="6FBB575B" w:rsidR="00A73795" w:rsidRPr="004B723C" w:rsidRDefault="00D53FD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3.50 × 10</w:t>
            </w:r>
            <w:r w:rsidRPr="004B723C">
              <w:rPr>
                <w:rFonts w:cs="Times New Roman"/>
                <w:color w:val="000000"/>
                <w:sz w:val="18"/>
                <w:szCs w:val="18"/>
                <w:vertAlign w:val="superscript"/>
              </w:rPr>
              <w:t>-4</w:t>
            </w:r>
          </w:p>
        </w:tc>
      </w:tr>
      <w:tr w:rsidR="00D53FD9" w:rsidRPr="004B723C" w14:paraId="17B93C1A" w14:textId="77777777" w:rsidTr="0045599F">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0861335" w14:textId="77777777" w:rsidR="00A73795" w:rsidRPr="004B723C" w:rsidRDefault="00A73795" w:rsidP="007F3A2D">
            <w:pPr>
              <w:spacing w:line="360" w:lineRule="auto"/>
              <w:rPr>
                <w:rFonts w:eastAsia="Times New Roman" w:cs="Times New Roman"/>
                <w:color w:val="000000"/>
                <w:sz w:val="18"/>
                <w:szCs w:val="18"/>
                <w:lang w:eastAsia="en-GB"/>
              </w:rPr>
            </w:pPr>
            <w:r w:rsidRPr="004B723C">
              <w:rPr>
                <w:rFonts w:eastAsia="Times New Roman" w:cs="Times New Roman"/>
                <w:color w:val="000000"/>
                <w:sz w:val="18"/>
                <w:szCs w:val="18"/>
                <w:lang w:eastAsia="en-GB"/>
              </w:rPr>
              <w:t>Recipient age (per 10 years)</w:t>
            </w:r>
          </w:p>
        </w:tc>
        <w:tc>
          <w:tcPr>
            <w:tcW w:w="0" w:type="auto"/>
            <w:noWrap/>
            <w:vAlign w:val="center"/>
            <w:hideMark/>
          </w:tcPr>
          <w:p w14:paraId="229BA0B6" w14:textId="77777777" w:rsidR="00A73795" w:rsidRPr="004B723C" w:rsidRDefault="00A7379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w:t>
            </w:r>
          </w:p>
        </w:tc>
        <w:tc>
          <w:tcPr>
            <w:tcW w:w="0" w:type="auto"/>
            <w:noWrap/>
            <w:vAlign w:val="center"/>
            <w:hideMark/>
          </w:tcPr>
          <w:p w14:paraId="47713265" w14:textId="3A0A7A38" w:rsidR="00A73795" w:rsidRPr="004B723C" w:rsidRDefault="00A7379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sz w:val="18"/>
                <w:szCs w:val="18"/>
              </w:rPr>
              <w:t>229/3,709</w:t>
            </w:r>
          </w:p>
        </w:tc>
        <w:tc>
          <w:tcPr>
            <w:tcW w:w="0" w:type="auto"/>
            <w:noWrap/>
            <w:vAlign w:val="center"/>
            <w:hideMark/>
          </w:tcPr>
          <w:p w14:paraId="5CA72315" w14:textId="555E08B5" w:rsidR="00A73795" w:rsidRPr="004B723C" w:rsidRDefault="00A7379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w:t>
            </w:r>
          </w:p>
        </w:tc>
        <w:tc>
          <w:tcPr>
            <w:tcW w:w="0" w:type="auto"/>
            <w:noWrap/>
            <w:vAlign w:val="center"/>
            <w:hideMark/>
          </w:tcPr>
          <w:p w14:paraId="12F9C708" w14:textId="0A605D6D" w:rsidR="00A73795" w:rsidRPr="004B723C" w:rsidRDefault="00A7379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0.93 (0.85–1.03)</w:t>
            </w:r>
          </w:p>
        </w:tc>
        <w:tc>
          <w:tcPr>
            <w:tcW w:w="0" w:type="auto"/>
            <w:noWrap/>
            <w:vAlign w:val="center"/>
            <w:hideMark/>
          </w:tcPr>
          <w:p w14:paraId="13552EB0" w14:textId="011341DD" w:rsidR="00A73795" w:rsidRPr="004B723C" w:rsidRDefault="00A7379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w:t>
            </w:r>
            <w:r w:rsidR="009B49E1" w:rsidRPr="004B723C">
              <w:rPr>
                <w:rFonts w:cs="Times New Roman"/>
                <w:color w:val="000000"/>
                <w:sz w:val="18"/>
                <w:szCs w:val="18"/>
              </w:rPr>
              <w:t>.</w:t>
            </w:r>
            <w:r w:rsidRPr="004B723C">
              <w:rPr>
                <w:rFonts w:cs="Times New Roman"/>
                <w:color w:val="000000"/>
                <w:sz w:val="18"/>
                <w:szCs w:val="18"/>
              </w:rPr>
              <w:t>15</w:t>
            </w:r>
          </w:p>
        </w:tc>
        <w:tc>
          <w:tcPr>
            <w:tcW w:w="0" w:type="auto"/>
            <w:vAlign w:val="center"/>
          </w:tcPr>
          <w:p w14:paraId="45ECD2EE" w14:textId="218D8644" w:rsidR="00A73795" w:rsidRPr="004B723C" w:rsidRDefault="00A7379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227/3,693</w:t>
            </w:r>
          </w:p>
        </w:tc>
        <w:tc>
          <w:tcPr>
            <w:tcW w:w="0" w:type="auto"/>
            <w:vAlign w:val="center"/>
          </w:tcPr>
          <w:p w14:paraId="2964C8C2" w14:textId="55620ACD" w:rsidR="00A73795" w:rsidRPr="004B723C" w:rsidRDefault="00A7379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w:t>
            </w:r>
          </w:p>
        </w:tc>
        <w:tc>
          <w:tcPr>
            <w:tcW w:w="0" w:type="auto"/>
            <w:noWrap/>
            <w:vAlign w:val="center"/>
            <w:hideMark/>
          </w:tcPr>
          <w:p w14:paraId="1A767B38" w14:textId="1B481ABE" w:rsidR="00A73795" w:rsidRPr="004B723C" w:rsidRDefault="00A7379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0.95 (0.85–1.06)</w:t>
            </w:r>
          </w:p>
        </w:tc>
        <w:tc>
          <w:tcPr>
            <w:tcW w:w="1190" w:type="dxa"/>
            <w:noWrap/>
            <w:vAlign w:val="center"/>
            <w:hideMark/>
          </w:tcPr>
          <w:p w14:paraId="4E61C46C" w14:textId="5AD25BE1" w:rsidR="00A73795" w:rsidRPr="004B723C" w:rsidRDefault="00A7379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w:t>
            </w:r>
            <w:r w:rsidR="009B49E1" w:rsidRPr="004B723C">
              <w:rPr>
                <w:rFonts w:cs="Times New Roman"/>
                <w:color w:val="000000"/>
                <w:sz w:val="18"/>
                <w:szCs w:val="18"/>
              </w:rPr>
              <w:t>.</w:t>
            </w:r>
            <w:r w:rsidRPr="004B723C">
              <w:rPr>
                <w:rFonts w:cs="Times New Roman"/>
                <w:color w:val="000000"/>
                <w:sz w:val="18"/>
                <w:szCs w:val="18"/>
              </w:rPr>
              <w:t>34</w:t>
            </w:r>
          </w:p>
        </w:tc>
      </w:tr>
      <w:tr w:rsidR="00D53FD9" w:rsidRPr="004B723C" w14:paraId="6AF05ED7" w14:textId="77777777" w:rsidTr="0045599F">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8437542" w14:textId="77777777" w:rsidR="00A73795" w:rsidRPr="004B723C" w:rsidRDefault="00A73795" w:rsidP="007F3A2D">
            <w:pPr>
              <w:spacing w:line="360" w:lineRule="auto"/>
              <w:rPr>
                <w:rFonts w:eastAsia="Times New Roman" w:cs="Times New Roman"/>
                <w:color w:val="000000"/>
                <w:sz w:val="18"/>
                <w:szCs w:val="18"/>
                <w:lang w:eastAsia="en-GB"/>
              </w:rPr>
            </w:pPr>
            <w:r w:rsidRPr="004B723C">
              <w:rPr>
                <w:rFonts w:eastAsia="Times New Roman" w:cs="Times New Roman"/>
                <w:color w:val="000000"/>
                <w:sz w:val="18"/>
                <w:szCs w:val="18"/>
                <w:lang w:eastAsia="en-GB"/>
              </w:rPr>
              <w:t>Recipient sex</w:t>
            </w:r>
          </w:p>
        </w:tc>
        <w:tc>
          <w:tcPr>
            <w:tcW w:w="0" w:type="auto"/>
            <w:noWrap/>
            <w:vAlign w:val="center"/>
            <w:hideMark/>
          </w:tcPr>
          <w:p w14:paraId="0EF62737" w14:textId="77777777" w:rsidR="00A73795" w:rsidRPr="004B723C" w:rsidRDefault="00A7379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Male</w:t>
            </w:r>
          </w:p>
        </w:tc>
        <w:tc>
          <w:tcPr>
            <w:tcW w:w="0" w:type="auto"/>
            <w:noWrap/>
            <w:vAlign w:val="center"/>
            <w:hideMark/>
          </w:tcPr>
          <w:p w14:paraId="144B3257" w14:textId="6C767650" w:rsidR="00A73795" w:rsidRPr="004B723C" w:rsidRDefault="00A7379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sz w:val="18"/>
                <w:szCs w:val="18"/>
              </w:rPr>
              <w:t>229/3,709</w:t>
            </w:r>
          </w:p>
        </w:tc>
        <w:tc>
          <w:tcPr>
            <w:tcW w:w="0" w:type="auto"/>
            <w:noWrap/>
            <w:vAlign w:val="center"/>
            <w:hideMark/>
          </w:tcPr>
          <w:p w14:paraId="23D6E06A" w14:textId="543E402A" w:rsidR="00A73795" w:rsidRPr="004B723C" w:rsidRDefault="00A7379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112/2,400</w:t>
            </w:r>
          </w:p>
        </w:tc>
        <w:tc>
          <w:tcPr>
            <w:tcW w:w="0" w:type="auto"/>
            <w:noWrap/>
            <w:vAlign w:val="center"/>
            <w:hideMark/>
          </w:tcPr>
          <w:p w14:paraId="056C0DD1" w14:textId="531BA11A" w:rsidR="00A73795" w:rsidRPr="004B723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0" w:type="auto"/>
            <w:noWrap/>
            <w:vAlign w:val="center"/>
            <w:hideMark/>
          </w:tcPr>
          <w:p w14:paraId="1D5AAD18" w14:textId="660049FF" w:rsidR="00A73795" w:rsidRPr="004B723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0" w:type="auto"/>
            <w:vAlign w:val="center"/>
          </w:tcPr>
          <w:p w14:paraId="3AAF44F7" w14:textId="27E6ADC3" w:rsidR="00A73795" w:rsidRPr="004B723C" w:rsidDel="00E22D36" w:rsidRDefault="00A7379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227/3,693</w:t>
            </w:r>
          </w:p>
        </w:tc>
        <w:tc>
          <w:tcPr>
            <w:tcW w:w="0" w:type="auto"/>
            <w:vAlign w:val="center"/>
          </w:tcPr>
          <w:p w14:paraId="70F58A00" w14:textId="5250DA1B" w:rsidR="00A73795" w:rsidRPr="004B723C" w:rsidDel="00E22D36" w:rsidRDefault="00A7379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111/2,391</w:t>
            </w:r>
          </w:p>
        </w:tc>
        <w:tc>
          <w:tcPr>
            <w:tcW w:w="0" w:type="auto"/>
            <w:noWrap/>
            <w:vAlign w:val="center"/>
            <w:hideMark/>
          </w:tcPr>
          <w:p w14:paraId="16BC0CC7" w14:textId="34239687" w:rsidR="00A73795" w:rsidRPr="004B723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1190" w:type="dxa"/>
            <w:noWrap/>
            <w:vAlign w:val="center"/>
            <w:hideMark/>
          </w:tcPr>
          <w:p w14:paraId="4742DBA0" w14:textId="5452792E" w:rsidR="00A73795" w:rsidRPr="004B723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r>
      <w:tr w:rsidR="00D53FD9" w:rsidRPr="004B723C" w14:paraId="311AD63A" w14:textId="77777777" w:rsidTr="0045599F">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2735684" w14:textId="77777777" w:rsidR="0045599F" w:rsidRPr="004B723C" w:rsidRDefault="0045599F" w:rsidP="007F3A2D">
            <w:pPr>
              <w:spacing w:line="360" w:lineRule="auto"/>
              <w:rPr>
                <w:rFonts w:eastAsia="Times New Roman" w:cs="Times New Roman"/>
                <w:color w:val="000000"/>
                <w:sz w:val="18"/>
                <w:szCs w:val="18"/>
                <w:lang w:eastAsia="en-GB"/>
              </w:rPr>
            </w:pPr>
          </w:p>
        </w:tc>
        <w:tc>
          <w:tcPr>
            <w:tcW w:w="0" w:type="auto"/>
            <w:noWrap/>
            <w:vAlign w:val="center"/>
            <w:hideMark/>
          </w:tcPr>
          <w:p w14:paraId="3DCADBE5" w14:textId="77777777" w:rsidR="0045599F" w:rsidRPr="004B723C" w:rsidRDefault="0045599F"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Female</w:t>
            </w:r>
          </w:p>
        </w:tc>
        <w:tc>
          <w:tcPr>
            <w:tcW w:w="0" w:type="auto"/>
            <w:noWrap/>
            <w:vAlign w:val="center"/>
          </w:tcPr>
          <w:p w14:paraId="2A62C725" w14:textId="1AA09C72" w:rsidR="0045599F" w:rsidRPr="004B723C" w:rsidRDefault="0045599F"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0" w:type="auto"/>
            <w:noWrap/>
            <w:vAlign w:val="center"/>
            <w:hideMark/>
          </w:tcPr>
          <w:p w14:paraId="2A7E9FF3" w14:textId="224D05A3" w:rsidR="0045599F" w:rsidRPr="004B723C" w:rsidRDefault="0045599F"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117/1,309</w:t>
            </w:r>
          </w:p>
        </w:tc>
        <w:tc>
          <w:tcPr>
            <w:tcW w:w="0" w:type="auto"/>
            <w:noWrap/>
            <w:vAlign w:val="center"/>
            <w:hideMark/>
          </w:tcPr>
          <w:p w14:paraId="56CAE805" w14:textId="0CF71A96" w:rsidR="0045599F" w:rsidRPr="004B723C" w:rsidRDefault="0045599F"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1.88 (1.45–2.44)</w:t>
            </w:r>
          </w:p>
        </w:tc>
        <w:tc>
          <w:tcPr>
            <w:tcW w:w="0" w:type="auto"/>
            <w:noWrap/>
            <w:vAlign w:val="center"/>
            <w:hideMark/>
          </w:tcPr>
          <w:p w14:paraId="4133F13E" w14:textId="4C9C5762" w:rsidR="0045599F" w:rsidRPr="004B723C" w:rsidRDefault="00D53FD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1.74 × 10</w:t>
            </w:r>
            <w:r w:rsidRPr="004B723C">
              <w:rPr>
                <w:rFonts w:cs="Times New Roman"/>
                <w:color w:val="000000"/>
                <w:sz w:val="18"/>
                <w:szCs w:val="18"/>
                <w:vertAlign w:val="superscript"/>
              </w:rPr>
              <w:t>-6</w:t>
            </w:r>
          </w:p>
        </w:tc>
        <w:tc>
          <w:tcPr>
            <w:tcW w:w="0" w:type="auto"/>
            <w:vAlign w:val="center"/>
          </w:tcPr>
          <w:p w14:paraId="00BAA0CF" w14:textId="64FC8CC4" w:rsidR="0045599F" w:rsidRPr="004B723C" w:rsidRDefault="0045599F"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0" w:type="auto"/>
            <w:vAlign w:val="center"/>
          </w:tcPr>
          <w:p w14:paraId="12B7CB0B" w14:textId="6B57E59A" w:rsidR="0045599F" w:rsidRPr="004B723C" w:rsidRDefault="0045599F"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116/1,302</w:t>
            </w:r>
          </w:p>
        </w:tc>
        <w:tc>
          <w:tcPr>
            <w:tcW w:w="0" w:type="auto"/>
            <w:noWrap/>
            <w:vAlign w:val="center"/>
            <w:hideMark/>
          </w:tcPr>
          <w:p w14:paraId="2FF50E0F" w14:textId="368E0B37" w:rsidR="0045599F" w:rsidRPr="004B723C" w:rsidRDefault="0045599F"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1.69 (1.30–2.20)</w:t>
            </w:r>
          </w:p>
        </w:tc>
        <w:tc>
          <w:tcPr>
            <w:tcW w:w="1190" w:type="dxa"/>
            <w:noWrap/>
            <w:vAlign w:val="center"/>
            <w:hideMark/>
          </w:tcPr>
          <w:p w14:paraId="6729291B" w14:textId="7CCE75B6" w:rsidR="0045599F" w:rsidRPr="004B723C" w:rsidRDefault="00D53FD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sz w:val="18"/>
                <w:szCs w:val="18"/>
              </w:rPr>
              <w:t>8.92 × 10</w:t>
            </w:r>
            <w:r w:rsidRPr="004B723C">
              <w:rPr>
                <w:rFonts w:cs="Times New Roman"/>
                <w:sz w:val="18"/>
                <w:szCs w:val="18"/>
                <w:vertAlign w:val="superscript"/>
              </w:rPr>
              <w:t>-5</w:t>
            </w:r>
          </w:p>
        </w:tc>
      </w:tr>
      <w:tr w:rsidR="00D53FD9" w:rsidRPr="004B723C" w14:paraId="16FAA674" w14:textId="77777777" w:rsidTr="0045599F">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D992FF5" w14:textId="77777777" w:rsidR="0045599F" w:rsidRPr="004B723C" w:rsidRDefault="0045599F" w:rsidP="007F3A2D">
            <w:pPr>
              <w:spacing w:line="360" w:lineRule="auto"/>
              <w:rPr>
                <w:rFonts w:eastAsia="Times New Roman" w:cs="Times New Roman"/>
                <w:color w:val="000000"/>
                <w:sz w:val="18"/>
                <w:szCs w:val="18"/>
                <w:lang w:eastAsia="en-GB"/>
              </w:rPr>
            </w:pPr>
            <w:r w:rsidRPr="004B723C">
              <w:rPr>
                <w:rFonts w:eastAsia="Times New Roman" w:cs="Times New Roman"/>
                <w:color w:val="000000"/>
                <w:sz w:val="18"/>
                <w:szCs w:val="18"/>
                <w:lang w:eastAsia="en-GB"/>
              </w:rPr>
              <w:t>Repeat transplantation</w:t>
            </w:r>
          </w:p>
        </w:tc>
        <w:tc>
          <w:tcPr>
            <w:tcW w:w="0" w:type="auto"/>
            <w:noWrap/>
            <w:vAlign w:val="center"/>
            <w:hideMark/>
          </w:tcPr>
          <w:p w14:paraId="28D1AF62" w14:textId="77777777" w:rsidR="0045599F" w:rsidRPr="004B723C" w:rsidRDefault="0045599F"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No</w:t>
            </w:r>
          </w:p>
        </w:tc>
        <w:tc>
          <w:tcPr>
            <w:tcW w:w="0" w:type="auto"/>
            <w:noWrap/>
            <w:vAlign w:val="center"/>
            <w:hideMark/>
          </w:tcPr>
          <w:p w14:paraId="0F42134D" w14:textId="7CE08CA1" w:rsidR="0045599F" w:rsidRPr="004B723C" w:rsidRDefault="0045599F"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sz w:val="18"/>
                <w:szCs w:val="18"/>
              </w:rPr>
              <w:t>229/3,709</w:t>
            </w:r>
          </w:p>
        </w:tc>
        <w:tc>
          <w:tcPr>
            <w:tcW w:w="0" w:type="auto"/>
            <w:noWrap/>
            <w:vAlign w:val="center"/>
            <w:hideMark/>
          </w:tcPr>
          <w:p w14:paraId="74EB3C7F" w14:textId="01C45702" w:rsidR="0045599F" w:rsidRPr="004B723C" w:rsidRDefault="0045599F"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141/3,151</w:t>
            </w:r>
          </w:p>
        </w:tc>
        <w:tc>
          <w:tcPr>
            <w:tcW w:w="0" w:type="auto"/>
            <w:noWrap/>
            <w:vAlign w:val="center"/>
            <w:hideMark/>
          </w:tcPr>
          <w:p w14:paraId="7F7CD7EF" w14:textId="1786C646" w:rsidR="0045599F" w:rsidRPr="004B723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0" w:type="auto"/>
            <w:noWrap/>
            <w:vAlign w:val="center"/>
            <w:hideMark/>
          </w:tcPr>
          <w:p w14:paraId="7374D924" w14:textId="78373740" w:rsidR="0045599F" w:rsidRPr="004B723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0" w:type="auto"/>
            <w:vAlign w:val="center"/>
          </w:tcPr>
          <w:p w14:paraId="64BB3AE1" w14:textId="2D794D64" w:rsidR="0045599F" w:rsidRPr="004B723C" w:rsidDel="00E22D36" w:rsidRDefault="0045599F"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227/3,693</w:t>
            </w:r>
          </w:p>
        </w:tc>
        <w:tc>
          <w:tcPr>
            <w:tcW w:w="0" w:type="auto"/>
            <w:vAlign w:val="center"/>
          </w:tcPr>
          <w:p w14:paraId="7DCEACDD" w14:textId="5873547A" w:rsidR="0045599F" w:rsidRPr="004B723C" w:rsidDel="00E22D36" w:rsidRDefault="0045599F"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139/3,135</w:t>
            </w:r>
          </w:p>
        </w:tc>
        <w:tc>
          <w:tcPr>
            <w:tcW w:w="0" w:type="auto"/>
            <w:noWrap/>
            <w:vAlign w:val="center"/>
            <w:hideMark/>
          </w:tcPr>
          <w:p w14:paraId="7CCAA666" w14:textId="794F8FAD" w:rsidR="0045599F" w:rsidRPr="004B723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1190" w:type="dxa"/>
            <w:noWrap/>
            <w:vAlign w:val="center"/>
            <w:hideMark/>
          </w:tcPr>
          <w:p w14:paraId="055E8AAC" w14:textId="6749D417" w:rsidR="0045599F" w:rsidRPr="004B723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r>
      <w:tr w:rsidR="00D53FD9" w:rsidRPr="004B723C" w14:paraId="7AD37879" w14:textId="77777777" w:rsidTr="0045599F">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8D06BEF" w14:textId="77777777" w:rsidR="0045599F" w:rsidRPr="004B723C" w:rsidRDefault="0045599F" w:rsidP="007F3A2D">
            <w:pPr>
              <w:spacing w:line="360" w:lineRule="auto"/>
              <w:rPr>
                <w:rFonts w:eastAsia="Times New Roman" w:cs="Times New Roman"/>
                <w:color w:val="000000"/>
                <w:sz w:val="18"/>
                <w:szCs w:val="18"/>
                <w:lang w:eastAsia="en-GB"/>
              </w:rPr>
            </w:pPr>
          </w:p>
        </w:tc>
        <w:tc>
          <w:tcPr>
            <w:tcW w:w="0" w:type="auto"/>
            <w:noWrap/>
            <w:vAlign w:val="center"/>
            <w:hideMark/>
          </w:tcPr>
          <w:p w14:paraId="5EC987B7" w14:textId="77777777" w:rsidR="0045599F" w:rsidRPr="004B723C" w:rsidRDefault="0045599F"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Yes</w:t>
            </w:r>
          </w:p>
        </w:tc>
        <w:tc>
          <w:tcPr>
            <w:tcW w:w="0" w:type="auto"/>
            <w:noWrap/>
            <w:vAlign w:val="center"/>
          </w:tcPr>
          <w:p w14:paraId="746853CA" w14:textId="37441159" w:rsidR="0045599F" w:rsidRPr="004B723C" w:rsidRDefault="0045599F"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0" w:type="auto"/>
            <w:noWrap/>
            <w:vAlign w:val="center"/>
            <w:hideMark/>
          </w:tcPr>
          <w:p w14:paraId="61636431" w14:textId="1F6FD1B4" w:rsidR="0045599F" w:rsidRPr="004B723C" w:rsidRDefault="0045599F"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88/558</w:t>
            </w:r>
          </w:p>
        </w:tc>
        <w:tc>
          <w:tcPr>
            <w:tcW w:w="0" w:type="auto"/>
            <w:noWrap/>
            <w:vAlign w:val="center"/>
            <w:hideMark/>
          </w:tcPr>
          <w:p w14:paraId="3D0796B9" w14:textId="2BBD94EB" w:rsidR="0045599F" w:rsidRPr="004B723C" w:rsidRDefault="0045599F"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3.88 (2.97–5.06)</w:t>
            </w:r>
          </w:p>
        </w:tc>
        <w:tc>
          <w:tcPr>
            <w:tcW w:w="0" w:type="auto"/>
            <w:noWrap/>
            <w:vAlign w:val="center"/>
            <w:hideMark/>
          </w:tcPr>
          <w:p w14:paraId="672E18C3" w14:textId="18E1E98E" w:rsidR="0045599F" w:rsidRPr="004B723C" w:rsidRDefault="00D53FD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2.19 × 10</w:t>
            </w:r>
            <w:r w:rsidRPr="004B723C">
              <w:rPr>
                <w:rFonts w:cs="Times New Roman"/>
                <w:color w:val="000000"/>
                <w:sz w:val="18"/>
                <w:szCs w:val="18"/>
                <w:vertAlign w:val="superscript"/>
              </w:rPr>
              <w:t>-23</w:t>
            </w:r>
          </w:p>
        </w:tc>
        <w:tc>
          <w:tcPr>
            <w:tcW w:w="0" w:type="auto"/>
            <w:vAlign w:val="center"/>
          </w:tcPr>
          <w:p w14:paraId="6E78DDB5" w14:textId="4886AED1" w:rsidR="0045599F" w:rsidRPr="004B723C" w:rsidRDefault="0045599F"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0" w:type="auto"/>
            <w:vAlign w:val="center"/>
          </w:tcPr>
          <w:p w14:paraId="2DDE6609" w14:textId="59FC0DAD" w:rsidR="0045599F" w:rsidRPr="004B723C" w:rsidRDefault="0045599F"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88/558</w:t>
            </w:r>
          </w:p>
        </w:tc>
        <w:tc>
          <w:tcPr>
            <w:tcW w:w="0" w:type="auto"/>
            <w:noWrap/>
            <w:vAlign w:val="center"/>
            <w:hideMark/>
          </w:tcPr>
          <w:p w14:paraId="47FD35B8" w14:textId="7E4FC624" w:rsidR="0045599F" w:rsidRPr="004B723C" w:rsidRDefault="0045599F"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3.61 (2.73–4.76)</w:t>
            </w:r>
          </w:p>
        </w:tc>
        <w:tc>
          <w:tcPr>
            <w:tcW w:w="1190" w:type="dxa"/>
            <w:noWrap/>
            <w:vAlign w:val="center"/>
            <w:hideMark/>
          </w:tcPr>
          <w:p w14:paraId="5802B480" w14:textId="6D036A95" w:rsidR="0045599F" w:rsidRPr="004B723C" w:rsidRDefault="00D53FD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sz w:val="18"/>
                <w:szCs w:val="18"/>
              </w:rPr>
              <w:t>1.72 × 10</w:t>
            </w:r>
            <w:r w:rsidRPr="004B723C">
              <w:rPr>
                <w:rFonts w:cs="Times New Roman"/>
                <w:sz w:val="18"/>
                <w:szCs w:val="18"/>
                <w:vertAlign w:val="superscript"/>
              </w:rPr>
              <w:t>-19</w:t>
            </w:r>
          </w:p>
        </w:tc>
      </w:tr>
    </w:tbl>
    <w:p w14:paraId="79CA0EEC" w14:textId="0A655B0F" w:rsidR="005E11CB" w:rsidRPr="004B723C" w:rsidRDefault="005E11CB" w:rsidP="005E11CB">
      <w:pPr>
        <w:spacing w:before="240" w:line="360" w:lineRule="auto"/>
      </w:pPr>
      <w:r w:rsidRPr="004B723C">
        <w:lastRenderedPageBreak/>
        <w:t xml:space="preserve">Values are hazard ratios (HRs) with 95% confidence intervals (CIs) from univariable and multivariable Cox proportional-hazards models. Total events and events per subgroup are presented as n/N, where n denotes the number of events and N the number of participants with non-missing data for the respective covariate. Multivariable models were adjusted for recipient age and sex, donor age and type (living, donation after circulatory death, donation after brain death), repeat transplantation, calendar year of transplantation, HLA mismatch, cold </w:t>
      </w:r>
      <w:r w:rsidR="00503B56" w:rsidRPr="004B723C">
        <w:t>ischemia</w:t>
      </w:r>
      <w:r w:rsidRPr="004B723C">
        <w:t xml:space="preserve"> time, and transplant </w:t>
      </w:r>
      <w:r w:rsidR="00503B56" w:rsidRPr="004B723C">
        <w:t>center</w:t>
      </w:r>
      <w:r w:rsidRPr="004B723C">
        <w:t>.</w:t>
      </w:r>
    </w:p>
    <w:p w14:paraId="00477E29" w14:textId="0B32FD3B" w:rsidR="00EE70A8" w:rsidRPr="004B723C" w:rsidRDefault="005E11CB" w:rsidP="007F3A2D">
      <w:pPr>
        <w:spacing w:line="360" w:lineRule="auto"/>
      </w:pPr>
      <w:r w:rsidRPr="004B723C">
        <w:t xml:space="preserve">Abbreviations: CMV, cytomegalovirus; D, donor; DSA, donor-specific antibody; HLA, human leukocyte antigen; R, recipient; </w:t>
      </w:r>
      <w:r w:rsidR="00D45F56" w:rsidRPr="004B723C">
        <w:t>Ref.</w:t>
      </w:r>
      <w:r w:rsidRPr="004B723C">
        <w:t>, reference.</w:t>
      </w:r>
    </w:p>
    <w:p w14:paraId="3442518F" w14:textId="77777777" w:rsidR="008F2DD5" w:rsidRPr="004B723C" w:rsidRDefault="008F2DD5" w:rsidP="007F3A2D">
      <w:pPr>
        <w:spacing w:line="360" w:lineRule="auto"/>
        <w:sectPr w:rsidR="008F2DD5" w:rsidRPr="004B723C" w:rsidSect="00380509">
          <w:pgSz w:w="16838" w:h="11906" w:orient="landscape"/>
          <w:pgMar w:top="1417" w:right="1417" w:bottom="1417" w:left="1417" w:header="708" w:footer="708" w:gutter="0"/>
          <w:cols w:space="708"/>
          <w:docGrid w:linePitch="360"/>
        </w:sectPr>
      </w:pPr>
    </w:p>
    <w:p w14:paraId="0CE49C41" w14:textId="061F2B0A" w:rsidR="00BA43D3" w:rsidRPr="004B723C" w:rsidRDefault="00BA43D3" w:rsidP="007F3A2D">
      <w:pPr>
        <w:pStyle w:val="Heading2"/>
        <w:spacing w:line="360" w:lineRule="auto"/>
        <w:rPr>
          <w:rFonts w:cs="Times New Roman"/>
          <w:sz w:val="22"/>
          <w:szCs w:val="22"/>
        </w:rPr>
      </w:pPr>
      <w:bookmarkStart w:id="12" w:name="_Toc216645095"/>
      <w:bookmarkStart w:id="13" w:name="_Hlk212393772"/>
      <w:r w:rsidRPr="004B723C">
        <w:rPr>
          <w:rFonts w:cs="Times New Roman"/>
          <w:sz w:val="22"/>
          <w:szCs w:val="22"/>
        </w:rPr>
        <w:lastRenderedPageBreak/>
        <w:t xml:space="preserve">Table </w:t>
      </w:r>
      <w:r w:rsidR="00267FED" w:rsidRPr="004B723C">
        <w:rPr>
          <w:rFonts w:cs="Times New Roman"/>
          <w:sz w:val="22"/>
          <w:szCs w:val="22"/>
        </w:rPr>
        <w:t>S10</w:t>
      </w:r>
      <w:r w:rsidRPr="004B723C">
        <w:rPr>
          <w:rFonts w:cs="Times New Roman"/>
          <w:sz w:val="22"/>
          <w:szCs w:val="22"/>
        </w:rPr>
        <w:t xml:space="preserve">: </w:t>
      </w:r>
      <w:r w:rsidR="00C5667F" w:rsidRPr="004B723C">
        <w:rPr>
          <w:rFonts w:cs="Times New Roman"/>
          <w:sz w:val="22"/>
          <w:szCs w:val="22"/>
        </w:rPr>
        <w:t>Cox proportional hazards models for</w:t>
      </w:r>
      <w:r w:rsidR="00663206" w:rsidRPr="004B723C">
        <w:rPr>
          <w:rFonts w:cs="Times New Roman"/>
          <w:sz w:val="22"/>
          <w:szCs w:val="22"/>
        </w:rPr>
        <w:t xml:space="preserve"> CMV serostatus</w:t>
      </w:r>
      <w:r w:rsidR="00C5667F" w:rsidRPr="004B723C">
        <w:rPr>
          <w:rFonts w:cs="Times New Roman"/>
          <w:sz w:val="22"/>
          <w:szCs w:val="22"/>
        </w:rPr>
        <w:t xml:space="preserve"> graft failure</w:t>
      </w:r>
      <w:bookmarkEnd w:id="12"/>
    </w:p>
    <w:tbl>
      <w:tblPr>
        <w:tblStyle w:val="Nature"/>
        <w:tblW w:w="0" w:type="auto"/>
        <w:jc w:val="center"/>
        <w:tblLayout w:type="fixed"/>
        <w:tblLook w:val="04A0" w:firstRow="1" w:lastRow="0" w:firstColumn="1" w:lastColumn="0" w:noHBand="0" w:noVBand="1"/>
      </w:tblPr>
      <w:tblGrid>
        <w:gridCol w:w="2825"/>
        <w:gridCol w:w="993"/>
        <w:gridCol w:w="1134"/>
        <w:gridCol w:w="1417"/>
        <w:gridCol w:w="1418"/>
        <w:gridCol w:w="1251"/>
        <w:gridCol w:w="1041"/>
        <w:gridCol w:w="1372"/>
        <w:gridCol w:w="1416"/>
        <w:gridCol w:w="1003"/>
      </w:tblGrid>
      <w:tr w:rsidR="00D53FD9" w:rsidRPr="0006015C" w14:paraId="26B0D49D" w14:textId="77777777" w:rsidTr="002F2BD1">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825" w:type="dxa"/>
            <w:noWrap/>
            <w:vAlign w:val="center"/>
            <w:hideMark/>
          </w:tcPr>
          <w:p w14:paraId="31EE4CD1" w14:textId="1BDC6496" w:rsidR="00557409" w:rsidRPr="0006015C" w:rsidRDefault="0006015C" w:rsidP="007F3A2D">
            <w:pPr>
              <w:spacing w:line="360" w:lineRule="auto"/>
              <w:jc w:val="center"/>
              <w:rPr>
                <w:rFonts w:eastAsia="Times New Roman" w:cs="Times New Roman"/>
                <w:b/>
                <w:bCs/>
                <w:i w:val="0"/>
                <w:iCs w:val="0"/>
                <w:color w:val="000000"/>
                <w:sz w:val="18"/>
                <w:szCs w:val="18"/>
                <w:lang w:eastAsia="en-GB"/>
              </w:rPr>
            </w:pPr>
            <w:r w:rsidRPr="0006015C">
              <w:rPr>
                <w:rFonts w:eastAsia="Times New Roman" w:cs="Times New Roman"/>
                <w:b/>
                <w:bCs/>
                <w:color w:val="000000"/>
                <w:sz w:val="18"/>
                <w:szCs w:val="18"/>
                <w:lang w:eastAsia="en-GB"/>
              </w:rPr>
              <w:t>Factors</w:t>
            </w:r>
          </w:p>
        </w:tc>
        <w:tc>
          <w:tcPr>
            <w:tcW w:w="993" w:type="dxa"/>
            <w:noWrap/>
            <w:vAlign w:val="center"/>
            <w:hideMark/>
          </w:tcPr>
          <w:p w14:paraId="1E05A9B9" w14:textId="77777777" w:rsidR="00557409" w:rsidRPr="0006015C" w:rsidRDefault="00557409" w:rsidP="007F3A2D">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i w:val="0"/>
                <w:iCs w:val="0"/>
                <w:color w:val="000000"/>
                <w:sz w:val="18"/>
                <w:szCs w:val="18"/>
                <w:lang w:eastAsia="en-GB"/>
              </w:rPr>
            </w:pPr>
            <w:r w:rsidRPr="0006015C">
              <w:rPr>
                <w:rFonts w:eastAsia="Times New Roman" w:cs="Times New Roman"/>
                <w:b/>
                <w:bCs/>
                <w:color w:val="000000"/>
                <w:sz w:val="18"/>
                <w:szCs w:val="18"/>
                <w:lang w:eastAsia="en-GB"/>
              </w:rPr>
              <w:t>Level</w:t>
            </w:r>
          </w:p>
        </w:tc>
        <w:tc>
          <w:tcPr>
            <w:tcW w:w="1134" w:type="dxa"/>
            <w:noWrap/>
            <w:vAlign w:val="center"/>
            <w:hideMark/>
          </w:tcPr>
          <w:p w14:paraId="5A4CCFBC" w14:textId="4DB124E2" w:rsidR="00557409" w:rsidRPr="0006015C" w:rsidRDefault="00557409" w:rsidP="007F3A2D">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i w:val="0"/>
                <w:iCs w:val="0"/>
                <w:color w:val="000000"/>
                <w:sz w:val="18"/>
                <w:szCs w:val="18"/>
                <w:lang w:eastAsia="en-GB"/>
              </w:rPr>
            </w:pPr>
            <w:r w:rsidRPr="0006015C">
              <w:rPr>
                <w:rFonts w:eastAsia="Times New Roman" w:cs="Times New Roman"/>
                <w:b/>
                <w:bCs/>
                <w:color w:val="000000"/>
                <w:sz w:val="18"/>
                <w:szCs w:val="18"/>
                <w:lang w:eastAsia="en-GB"/>
              </w:rPr>
              <w:t>Events/</w:t>
            </w:r>
            <w:r w:rsidR="00B46A3E" w:rsidRPr="0006015C">
              <w:rPr>
                <w:rFonts w:eastAsia="Times New Roman" w:cs="Times New Roman"/>
                <w:b/>
                <w:bCs/>
                <w:color w:val="000000"/>
                <w:sz w:val="18"/>
                <w:szCs w:val="18"/>
                <w:lang w:eastAsia="en-GB"/>
              </w:rPr>
              <w:br/>
            </w:r>
            <w:r w:rsidRPr="0006015C">
              <w:rPr>
                <w:rFonts w:eastAsia="Times New Roman" w:cs="Times New Roman"/>
                <w:b/>
                <w:bCs/>
                <w:color w:val="000000"/>
                <w:sz w:val="18"/>
                <w:szCs w:val="18"/>
                <w:lang w:eastAsia="en-GB"/>
              </w:rPr>
              <w:t xml:space="preserve">N </w:t>
            </w:r>
            <w:r w:rsidR="00370E45" w:rsidRPr="0006015C">
              <w:rPr>
                <w:rFonts w:eastAsia="Times New Roman" w:cs="Times New Roman"/>
                <w:b/>
                <w:bCs/>
                <w:color w:val="000000"/>
                <w:sz w:val="18"/>
                <w:szCs w:val="18"/>
                <w:lang w:eastAsia="en-GB"/>
              </w:rPr>
              <w:t>analyzed</w:t>
            </w:r>
          </w:p>
        </w:tc>
        <w:tc>
          <w:tcPr>
            <w:tcW w:w="1417" w:type="dxa"/>
            <w:noWrap/>
            <w:vAlign w:val="center"/>
            <w:hideMark/>
          </w:tcPr>
          <w:p w14:paraId="4FCA3B9C" w14:textId="1D22CF95" w:rsidR="00557409" w:rsidRPr="0006015C" w:rsidRDefault="00557409" w:rsidP="007F3A2D">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i w:val="0"/>
                <w:iCs w:val="0"/>
                <w:color w:val="000000"/>
                <w:sz w:val="18"/>
                <w:szCs w:val="18"/>
                <w:lang w:eastAsia="en-GB"/>
              </w:rPr>
            </w:pPr>
            <w:r w:rsidRPr="0006015C">
              <w:rPr>
                <w:rFonts w:eastAsia="Times New Roman" w:cs="Times New Roman"/>
                <w:b/>
                <w:bCs/>
                <w:color w:val="000000"/>
                <w:sz w:val="18"/>
                <w:szCs w:val="18"/>
                <w:lang w:eastAsia="en-GB"/>
              </w:rPr>
              <w:t>Events (group)/</w:t>
            </w:r>
            <w:r w:rsidR="00B46A3E" w:rsidRPr="0006015C">
              <w:rPr>
                <w:rFonts w:eastAsia="Times New Roman" w:cs="Times New Roman"/>
                <w:b/>
                <w:bCs/>
                <w:color w:val="000000"/>
                <w:sz w:val="18"/>
                <w:szCs w:val="18"/>
                <w:lang w:eastAsia="en-GB"/>
              </w:rPr>
              <w:br/>
            </w:r>
            <w:r w:rsidRPr="0006015C">
              <w:rPr>
                <w:rFonts w:eastAsia="Times New Roman" w:cs="Times New Roman"/>
                <w:b/>
                <w:bCs/>
                <w:color w:val="000000"/>
                <w:sz w:val="18"/>
                <w:szCs w:val="18"/>
                <w:lang w:eastAsia="en-GB"/>
              </w:rPr>
              <w:t>N (group)</w:t>
            </w:r>
          </w:p>
        </w:tc>
        <w:tc>
          <w:tcPr>
            <w:tcW w:w="1418" w:type="dxa"/>
            <w:noWrap/>
            <w:vAlign w:val="center"/>
            <w:hideMark/>
          </w:tcPr>
          <w:p w14:paraId="1C5DA11F" w14:textId="7D70A029" w:rsidR="00557409" w:rsidRPr="0006015C" w:rsidRDefault="00557409" w:rsidP="007F3A2D">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i w:val="0"/>
                <w:iCs w:val="0"/>
                <w:color w:val="000000"/>
                <w:sz w:val="18"/>
                <w:szCs w:val="18"/>
                <w:lang w:eastAsia="en-GB"/>
              </w:rPr>
            </w:pPr>
            <w:r w:rsidRPr="0006015C">
              <w:rPr>
                <w:rFonts w:eastAsia="Times New Roman" w:cs="Times New Roman"/>
                <w:b/>
                <w:bCs/>
                <w:color w:val="000000"/>
                <w:sz w:val="18"/>
                <w:szCs w:val="18"/>
                <w:lang w:eastAsia="en-GB"/>
              </w:rPr>
              <w:t>HR</w:t>
            </w:r>
            <w:r w:rsidR="00B46A3E" w:rsidRPr="0006015C">
              <w:rPr>
                <w:rFonts w:eastAsia="Times New Roman" w:cs="Times New Roman"/>
                <w:b/>
                <w:bCs/>
                <w:color w:val="000000"/>
                <w:sz w:val="18"/>
                <w:szCs w:val="18"/>
                <w:lang w:eastAsia="en-GB"/>
              </w:rPr>
              <w:br/>
            </w:r>
            <w:r w:rsidRPr="0006015C">
              <w:rPr>
                <w:rFonts w:eastAsia="Times New Roman" w:cs="Times New Roman"/>
                <w:b/>
                <w:bCs/>
                <w:color w:val="000000"/>
                <w:sz w:val="18"/>
                <w:szCs w:val="18"/>
                <w:lang w:eastAsia="en-GB"/>
              </w:rPr>
              <w:t>(95% CI)</w:t>
            </w:r>
          </w:p>
        </w:tc>
        <w:tc>
          <w:tcPr>
            <w:tcW w:w="1251" w:type="dxa"/>
            <w:noWrap/>
            <w:vAlign w:val="center"/>
            <w:hideMark/>
          </w:tcPr>
          <w:p w14:paraId="4EFAE6BF" w14:textId="045F176F" w:rsidR="00557409" w:rsidRPr="0006015C" w:rsidRDefault="00FF21AF" w:rsidP="007F3A2D">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i w:val="0"/>
                <w:iCs w:val="0"/>
                <w:color w:val="000000"/>
                <w:sz w:val="18"/>
                <w:szCs w:val="18"/>
                <w:lang w:eastAsia="en-GB"/>
              </w:rPr>
            </w:pPr>
            <w:r>
              <w:rPr>
                <w:rFonts w:eastAsia="Times New Roman" w:cs="Times New Roman"/>
                <w:b/>
                <w:bCs/>
                <w:color w:val="000000"/>
                <w:sz w:val="18"/>
                <w:szCs w:val="18"/>
                <w:lang w:eastAsia="en-GB"/>
              </w:rPr>
              <w:t>P</w:t>
            </w:r>
            <w:r w:rsidR="00557409" w:rsidRPr="0006015C">
              <w:rPr>
                <w:rFonts w:eastAsia="Times New Roman" w:cs="Times New Roman"/>
                <w:b/>
                <w:bCs/>
                <w:color w:val="000000"/>
                <w:sz w:val="18"/>
                <w:szCs w:val="18"/>
                <w:lang w:eastAsia="en-GB"/>
              </w:rPr>
              <w:t xml:space="preserve"> value</w:t>
            </w:r>
          </w:p>
        </w:tc>
        <w:tc>
          <w:tcPr>
            <w:tcW w:w="1041" w:type="dxa"/>
            <w:noWrap/>
            <w:vAlign w:val="center"/>
            <w:hideMark/>
          </w:tcPr>
          <w:p w14:paraId="0A7307FB" w14:textId="1FE0CFB0" w:rsidR="00557409" w:rsidRPr="0006015C" w:rsidRDefault="00557409" w:rsidP="007F3A2D">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i w:val="0"/>
                <w:iCs w:val="0"/>
                <w:color w:val="000000"/>
                <w:sz w:val="18"/>
                <w:szCs w:val="18"/>
                <w:lang w:eastAsia="en-GB"/>
              </w:rPr>
            </w:pPr>
            <w:r w:rsidRPr="0006015C">
              <w:rPr>
                <w:rFonts w:eastAsia="Times New Roman" w:cs="Times New Roman"/>
                <w:b/>
                <w:bCs/>
                <w:color w:val="000000"/>
                <w:sz w:val="18"/>
                <w:szCs w:val="18"/>
                <w:lang w:eastAsia="en-GB"/>
              </w:rPr>
              <w:t>Events/</w:t>
            </w:r>
            <w:r w:rsidR="00B46A3E" w:rsidRPr="0006015C">
              <w:rPr>
                <w:rFonts w:eastAsia="Times New Roman" w:cs="Times New Roman"/>
                <w:b/>
                <w:bCs/>
                <w:color w:val="000000"/>
                <w:sz w:val="18"/>
                <w:szCs w:val="18"/>
                <w:lang w:eastAsia="en-GB"/>
              </w:rPr>
              <w:br/>
            </w:r>
            <w:r w:rsidRPr="0006015C">
              <w:rPr>
                <w:rFonts w:eastAsia="Times New Roman" w:cs="Times New Roman"/>
                <w:b/>
                <w:bCs/>
                <w:color w:val="000000"/>
                <w:sz w:val="18"/>
                <w:szCs w:val="18"/>
                <w:lang w:eastAsia="en-GB"/>
              </w:rPr>
              <w:t xml:space="preserve">N </w:t>
            </w:r>
            <w:r w:rsidR="00370E45" w:rsidRPr="0006015C">
              <w:rPr>
                <w:rFonts w:eastAsia="Times New Roman" w:cs="Times New Roman"/>
                <w:b/>
                <w:bCs/>
                <w:color w:val="000000"/>
                <w:sz w:val="18"/>
                <w:szCs w:val="18"/>
                <w:lang w:eastAsia="en-GB"/>
              </w:rPr>
              <w:t>analyzed</w:t>
            </w:r>
          </w:p>
        </w:tc>
        <w:tc>
          <w:tcPr>
            <w:tcW w:w="1372" w:type="dxa"/>
            <w:noWrap/>
            <w:vAlign w:val="center"/>
            <w:hideMark/>
          </w:tcPr>
          <w:p w14:paraId="7A05CC72" w14:textId="4DB72EE4" w:rsidR="00557409" w:rsidRPr="0006015C" w:rsidRDefault="00557409" w:rsidP="007F3A2D">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i w:val="0"/>
                <w:iCs w:val="0"/>
                <w:color w:val="000000"/>
                <w:sz w:val="18"/>
                <w:szCs w:val="18"/>
                <w:lang w:eastAsia="en-GB"/>
              </w:rPr>
            </w:pPr>
            <w:r w:rsidRPr="0006015C">
              <w:rPr>
                <w:rFonts w:eastAsia="Times New Roman" w:cs="Times New Roman"/>
                <w:b/>
                <w:bCs/>
                <w:color w:val="000000"/>
                <w:sz w:val="18"/>
                <w:szCs w:val="18"/>
                <w:lang w:eastAsia="en-GB"/>
              </w:rPr>
              <w:t>Events (group)/</w:t>
            </w:r>
            <w:r w:rsidR="00B46A3E" w:rsidRPr="0006015C">
              <w:rPr>
                <w:rFonts w:eastAsia="Times New Roman" w:cs="Times New Roman"/>
                <w:b/>
                <w:bCs/>
                <w:color w:val="000000"/>
                <w:sz w:val="18"/>
                <w:szCs w:val="18"/>
                <w:lang w:eastAsia="en-GB"/>
              </w:rPr>
              <w:br/>
            </w:r>
            <w:r w:rsidRPr="0006015C">
              <w:rPr>
                <w:rFonts w:eastAsia="Times New Roman" w:cs="Times New Roman"/>
                <w:b/>
                <w:bCs/>
                <w:color w:val="000000"/>
                <w:sz w:val="18"/>
                <w:szCs w:val="18"/>
                <w:lang w:eastAsia="en-GB"/>
              </w:rPr>
              <w:t>N (group)</w:t>
            </w:r>
          </w:p>
        </w:tc>
        <w:tc>
          <w:tcPr>
            <w:tcW w:w="1416" w:type="dxa"/>
            <w:noWrap/>
            <w:vAlign w:val="center"/>
            <w:hideMark/>
          </w:tcPr>
          <w:p w14:paraId="4B812E52" w14:textId="0CD4FEAE" w:rsidR="00557409" w:rsidRPr="0006015C" w:rsidRDefault="00557409" w:rsidP="007F3A2D">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i w:val="0"/>
                <w:iCs w:val="0"/>
                <w:color w:val="000000"/>
                <w:sz w:val="18"/>
                <w:szCs w:val="18"/>
                <w:lang w:eastAsia="en-GB"/>
              </w:rPr>
            </w:pPr>
            <w:r w:rsidRPr="0006015C">
              <w:rPr>
                <w:rFonts w:eastAsia="Times New Roman" w:cs="Times New Roman"/>
                <w:b/>
                <w:bCs/>
                <w:color w:val="000000"/>
                <w:sz w:val="18"/>
                <w:szCs w:val="18"/>
                <w:lang w:eastAsia="en-GB"/>
              </w:rPr>
              <w:t>Adjusted HR</w:t>
            </w:r>
            <w:r w:rsidR="00B46A3E" w:rsidRPr="0006015C">
              <w:rPr>
                <w:rFonts w:eastAsia="Times New Roman" w:cs="Times New Roman"/>
                <w:b/>
                <w:bCs/>
                <w:color w:val="000000"/>
                <w:sz w:val="18"/>
                <w:szCs w:val="18"/>
                <w:lang w:eastAsia="en-GB"/>
              </w:rPr>
              <w:br/>
            </w:r>
            <w:r w:rsidRPr="0006015C">
              <w:rPr>
                <w:rFonts w:eastAsia="Times New Roman" w:cs="Times New Roman"/>
                <w:b/>
                <w:bCs/>
                <w:color w:val="000000"/>
                <w:sz w:val="18"/>
                <w:szCs w:val="18"/>
                <w:lang w:eastAsia="en-GB"/>
              </w:rPr>
              <w:t>(95% CI)</w:t>
            </w:r>
          </w:p>
        </w:tc>
        <w:tc>
          <w:tcPr>
            <w:tcW w:w="1003" w:type="dxa"/>
            <w:noWrap/>
            <w:vAlign w:val="center"/>
            <w:hideMark/>
          </w:tcPr>
          <w:p w14:paraId="35DAD1D6" w14:textId="1C856998" w:rsidR="00557409" w:rsidRPr="0006015C" w:rsidRDefault="00FF21AF" w:rsidP="007F3A2D">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i w:val="0"/>
                <w:iCs w:val="0"/>
                <w:color w:val="000000"/>
                <w:sz w:val="18"/>
                <w:szCs w:val="18"/>
                <w:lang w:eastAsia="en-GB"/>
              </w:rPr>
            </w:pPr>
            <w:r>
              <w:rPr>
                <w:rFonts w:eastAsia="Times New Roman" w:cs="Times New Roman"/>
                <w:b/>
                <w:bCs/>
                <w:color w:val="000000"/>
                <w:sz w:val="18"/>
                <w:szCs w:val="18"/>
                <w:lang w:eastAsia="en-GB"/>
              </w:rPr>
              <w:t>P</w:t>
            </w:r>
            <w:r w:rsidR="00557409" w:rsidRPr="0006015C">
              <w:rPr>
                <w:rFonts w:eastAsia="Times New Roman" w:cs="Times New Roman"/>
                <w:b/>
                <w:bCs/>
                <w:color w:val="000000"/>
                <w:sz w:val="18"/>
                <w:szCs w:val="18"/>
                <w:lang w:eastAsia="en-GB"/>
              </w:rPr>
              <w:t xml:space="preserve"> value</w:t>
            </w:r>
          </w:p>
        </w:tc>
      </w:tr>
      <w:tr w:rsidR="00557409" w:rsidRPr="0006015C" w14:paraId="135FC2F8" w14:textId="77777777" w:rsidTr="002F2BD1">
        <w:trPr>
          <w:trHeight w:val="300"/>
          <w:jc w:val="center"/>
        </w:trPr>
        <w:tc>
          <w:tcPr>
            <w:cnfStyle w:val="001000000000" w:firstRow="0" w:lastRow="0" w:firstColumn="1" w:lastColumn="0" w:oddVBand="0" w:evenVBand="0" w:oddHBand="0" w:evenHBand="0" w:firstRowFirstColumn="0" w:firstRowLastColumn="0" w:lastRowFirstColumn="0" w:lastRowLastColumn="0"/>
            <w:tcW w:w="2825" w:type="dxa"/>
            <w:noWrap/>
            <w:vAlign w:val="center"/>
          </w:tcPr>
          <w:p w14:paraId="73FF8EA0" w14:textId="77777777" w:rsidR="00557409" w:rsidRPr="0006015C" w:rsidRDefault="00557409" w:rsidP="007F3A2D">
            <w:pPr>
              <w:spacing w:line="360" w:lineRule="auto"/>
              <w:jc w:val="center"/>
              <w:rPr>
                <w:rFonts w:eastAsia="Times New Roman" w:cs="Times New Roman"/>
                <w:b/>
                <w:bCs/>
                <w:color w:val="000000"/>
                <w:sz w:val="18"/>
                <w:szCs w:val="18"/>
                <w:lang w:eastAsia="en-GB"/>
              </w:rPr>
            </w:pPr>
          </w:p>
        </w:tc>
        <w:tc>
          <w:tcPr>
            <w:tcW w:w="993" w:type="dxa"/>
            <w:noWrap/>
            <w:vAlign w:val="center"/>
          </w:tcPr>
          <w:p w14:paraId="2E0F798D" w14:textId="77777777"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eastAsia="en-GB"/>
              </w:rPr>
            </w:pPr>
          </w:p>
        </w:tc>
        <w:tc>
          <w:tcPr>
            <w:tcW w:w="5220" w:type="dxa"/>
            <w:gridSpan w:val="4"/>
            <w:noWrap/>
            <w:vAlign w:val="center"/>
          </w:tcPr>
          <w:p w14:paraId="36E77F4E" w14:textId="318E3BF1"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eastAsia="en-GB"/>
              </w:rPr>
            </w:pPr>
            <w:r w:rsidRPr="0006015C">
              <w:rPr>
                <w:rFonts w:eastAsia="Times New Roman" w:cs="Times New Roman"/>
                <w:b/>
                <w:bCs/>
                <w:color w:val="000000"/>
                <w:sz w:val="18"/>
                <w:szCs w:val="18"/>
                <w:lang w:eastAsia="en-GB"/>
              </w:rPr>
              <w:t>UNIVARIABLE ANALYSIS</w:t>
            </w:r>
          </w:p>
        </w:tc>
        <w:tc>
          <w:tcPr>
            <w:tcW w:w="4832" w:type="dxa"/>
            <w:gridSpan w:val="4"/>
            <w:noWrap/>
            <w:vAlign w:val="center"/>
          </w:tcPr>
          <w:p w14:paraId="3D8E33A3" w14:textId="7ECC776E"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eastAsia="en-GB"/>
              </w:rPr>
            </w:pPr>
            <w:r w:rsidRPr="0006015C">
              <w:rPr>
                <w:rFonts w:eastAsia="Times New Roman" w:cs="Times New Roman"/>
                <w:b/>
                <w:bCs/>
                <w:color w:val="000000"/>
                <w:sz w:val="18"/>
                <w:szCs w:val="18"/>
                <w:lang w:eastAsia="en-GB"/>
              </w:rPr>
              <w:t>MULTIVARIABLE ANALYSIS</w:t>
            </w:r>
          </w:p>
        </w:tc>
      </w:tr>
      <w:tr w:rsidR="00D53FD9" w:rsidRPr="0006015C" w14:paraId="305E76FF" w14:textId="77777777" w:rsidTr="002F2BD1">
        <w:trPr>
          <w:trHeight w:val="300"/>
          <w:jc w:val="center"/>
        </w:trPr>
        <w:tc>
          <w:tcPr>
            <w:cnfStyle w:val="001000000000" w:firstRow="0" w:lastRow="0" w:firstColumn="1" w:lastColumn="0" w:oddVBand="0" w:evenVBand="0" w:oddHBand="0" w:evenHBand="0" w:firstRowFirstColumn="0" w:firstRowLastColumn="0" w:lastRowFirstColumn="0" w:lastRowLastColumn="0"/>
            <w:tcW w:w="2825" w:type="dxa"/>
            <w:noWrap/>
            <w:vAlign w:val="center"/>
            <w:hideMark/>
          </w:tcPr>
          <w:p w14:paraId="68D944A7" w14:textId="77777777" w:rsidR="00557409" w:rsidRPr="0006015C" w:rsidRDefault="00557409" w:rsidP="007F3A2D">
            <w:pPr>
              <w:spacing w:line="360" w:lineRule="auto"/>
              <w:rPr>
                <w:rFonts w:eastAsia="Times New Roman" w:cs="Times New Roman"/>
                <w:color w:val="000000"/>
                <w:sz w:val="18"/>
                <w:szCs w:val="18"/>
                <w:lang w:eastAsia="en-GB"/>
              </w:rPr>
            </w:pPr>
            <w:r w:rsidRPr="0006015C">
              <w:rPr>
                <w:rFonts w:eastAsia="Times New Roman" w:cs="Times New Roman"/>
                <w:color w:val="000000"/>
                <w:sz w:val="18"/>
                <w:szCs w:val="18"/>
                <w:lang w:eastAsia="en-GB"/>
              </w:rPr>
              <w:t>Calendar year of transplantation (per year)</w:t>
            </w:r>
          </w:p>
        </w:tc>
        <w:tc>
          <w:tcPr>
            <w:tcW w:w="993" w:type="dxa"/>
            <w:noWrap/>
            <w:vAlign w:val="center"/>
            <w:hideMark/>
          </w:tcPr>
          <w:p w14:paraId="722BAEA7" w14:textId="77777777"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w:t>
            </w:r>
          </w:p>
        </w:tc>
        <w:tc>
          <w:tcPr>
            <w:tcW w:w="1134" w:type="dxa"/>
            <w:noWrap/>
            <w:vAlign w:val="center"/>
            <w:hideMark/>
          </w:tcPr>
          <w:p w14:paraId="10D843C4" w14:textId="77777777"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480/4,411</w:t>
            </w:r>
          </w:p>
        </w:tc>
        <w:tc>
          <w:tcPr>
            <w:tcW w:w="1417" w:type="dxa"/>
            <w:noWrap/>
            <w:vAlign w:val="center"/>
            <w:hideMark/>
          </w:tcPr>
          <w:p w14:paraId="53AC7CDC" w14:textId="77777777"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w:t>
            </w:r>
          </w:p>
        </w:tc>
        <w:tc>
          <w:tcPr>
            <w:tcW w:w="1418" w:type="dxa"/>
            <w:noWrap/>
            <w:vAlign w:val="center"/>
            <w:hideMark/>
          </w:tcPr>
          <w:p w14:paraId="1B3EE8C7" w14:textId="1D702973"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0</w:t>
            </w:r>
            <w:r w:rsidR="009B49E1" w:rsidRPr="0006015C">
              <w:rPr>
                <w:rFonts w:eastAsia="Times New Roman" w:cs="Times New Roman"/>
                <w:color w:val="000000"/>
                <w:sz w:val="18"/>
                <w:szCs w:val="18"/>
                <w:lang w:eastAsia="en-GB"/>
              </w:rPr>
              <w:t>.</w:t>
            </w:r>
            <w:r w:rsidRPr="0006015C">
              <w:rPr>
                <w:rFonts w:eastAsia="Times New Roman" w:cs="Times New Roman"/>
                <w:color w:val="000000"/>
                <w:sz w:val="18"/>
                <w:szCs w:val="18"/>
                <w:lang w:eastAsia="en-GB"/>
              </w:rPr>
              <w:t>97 (0</w:t>
            </w:r>
            <w:r w:rsidR="009B49E1" w:rsidRPr="0006015C">
              <w:rPr>
                <w:rFonts w:eastAsia="Times New Roman" w:cs="Times New Roman"/>
                <w:color w:val="000000"/>
                <w:sz w:val="18"/>
                <w:szCs w:val="18"/>
                <w:lang w:eastAsia="en-GB"/>
              </w:rPr>
              <w:t>.</w:t>
            </w:r>
            <w:r w:rsidRPr="0006015C">
              <w:rPr>
                <w:rFonts w:eastAsia="Times New Roman" w:cs="Times New Roman"/>
                <w:color w:val="000000"/>
                <w:sz w:val="18"/>
                <w:szCs w:val="18"/>
                <w:lang w:eastAsia="en-GB"/>
              </w:rPr>
              <w:t>95–0</w:t>
            </w:r>
            <w:r w:rsidR="009B49E1" w:rsidRPr="0006015C">
              <w:rPr>
                <w:rFonts w:eastAsia="Times New Roman" w:cs="Times New Roman"/>
                <w:color w:val="000000"/>
                <w:sz w:val="18"/>
                <w:szCs w:val="18"/>
                <w:lang w:eastAsia="en-GB"/>
              </w:rPr>
              <w:t>.</w:t>
            </w:r>
            <w:r w:rsidRPr="0006015C">
              <w:rPr>
                <w:rFonts w:eastAsia="Times New Roman" w:cs="Times New Roman"/>
                <w:color w:val="000000"/>
                <w:sz w:val="18"/>
                <w:szCs w:val="18"/>
                <w:lang w:eastAsia="en-GB"/>
              </w:rPr>
              <w:t>99)</w:t>
            </w:r>
          </w:p>
        </w:tc>
        <w:tc>
          <w:tcPr>
            <w:tcW w:w="1251" w:type="dxa"/>
            <w:noWrap/>
            <w:vAlign w:val="center"/>
            <w:hideMark/>
          </w:tcPr>
          <w:p w14:paraId="5774E080" w14:textId="72F2D5E6"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0</w:t>
            </w:r>
            <w:r w:rsidR="009B49E1" w:rsidRPr="0006015C">
              <w:rPr>
                <w:rFonts w:eastAsia="Times New Roman" w:cs="Times New Roman"/>
                <w:color w:val="000000"/>
                <w:sz w:val="18"/>
                <w:szCs w:val="18"/>
                <w:lang w:eastAsia="en-GB"/>
              </w:rPr>
              <w:t>.</w:t>
            </w:r>
            <w:r w:rsidRPr="0006015C">
              <w:rPr>
                <w:rFonts w:eastAsia="Times New Roman" w:cs="Times New Roman"/>
                <w:color w:val="000000"/>
                <w:sz w:val="18"/>
                <w:szCs w:val="18"/>
                <w:lang w:eastAsia="en-GB"/>
              </w:rPr>
              <w:t>0067</w:t>
            </w:r>
          </w:p>
        </w:tc>
        <w:tc>
          <w:tcPr>
            <w:tcW w:w="1041" w:type="dxa"/>
            <w:noWrap/>
            <w:vAlign w:val="center"/>
            <w:hideMark/>
          </w:tcPr>
          <w:p w14:paraId="39D56FE8" w14:textId="77777777"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479/4,388</w:t>
            </w:r>
          </w:p>
        </w:tc>
        <w:tc>
          <w:tcPr>
            <w:tcW w:w="1372" w:type="dxa"/>
            <w:noWrap/>
            <w:vAlign w:val="center"/>
            <w:hideMark/>
          </w:tcPr>
          <w:p w14:paraId="4C32F637" w14:textId="77777777"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w:t>
            </w:r>
          </w:p>
        </w:tc>
        <w:tc>
          <w:tcPr>
            <w:tcW w:w="1416" w:type="dxa"/>
            <w:noWrap/>
            <w:vAlign w:val="center"/>
            <w:hideMark/>
          </w:tcPr>
          <w:p w14:paraId="5A1C7B23" w14:textId="10E00D55"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0</w:t>
            </w:r>
            <w:r w:rsidR="009B49E1" w:rsidRPr="0006015C">
              <w:rPr>
                <w:rFonts w:eastAsia="Times New Roman" w:cs="Times New Roman"/>
                <w:color w:val="000000"/>
                <w:sz w:val="18"/>
                <w:szCs w:val="18"/>
                <w:lang w:eastAsia="en-GB"/>
              </w:rPr>
              <w:t>.</w:t>
            </w:r>
            <w:r w:rsidRPr="0006015C">
              <w:rPr>
                <w:rFonts w:eastAsia="Times New Roman" w:cs="Times New Roman"/>
                <w:color w:val="000000"/>
                <w:sz w:val="18"/>
                <w:szCs w:val="18"/>
                <w:lang w:eastAsia="en-GB"/>
              </w:rPr>
              <w:t>99 (0</w:t>
            </w:r>
            <w:r w:rsidR="009B49E1" w:rsidRPr="0006015C">
              <w:rPr>
                <w:rFonts w:eastAsia="Times New Roman" w:cs="Times New Roman"/>
                <w:color w:val="000000"/>
                <w:sz w:val="18"/>
                <w:szCs w:val="18"/>
                <w:lang w:eastAsia="en-GB"/>
              </w:rPr>
              <w:t>.</w:t>
            </w:r>
            <w:r w:rsidRPr="0006015C">
              <w:rPr>
                <w:rFonts w:eastAsia="Times New Roman" w:cs="Times New Roman"/>
                <w:color w:val="000000"/>
                <w:sz w:val="18"/>
                <w:szCs w:val="18"/>
                <w:lang w:eastAsia="en-GB"/>
              </w:rPr>
              <w:t>96–1</w:t>
            </w:r>
            <w:r w:rsidR="009B49E1" w:rsidRPr="0006015C">
              <w:rPr>
                <w:rFonts w:eastAsia="Times New Roman" w:cs="Times New Roman"/>
                <w:color w:val="000000"/>
                <w:sz w:val="18"/>
                <w:szCs w:val="18"/>
                <w:lang w:eastAsia="en-GB"/>
              </w:rPr>
              <w:t>.</w:t>
            </w:r>
            <w:r w:rsidRPr="0006015C">
              <w:rPr>
                <w:rFonts w:eastAsia="Times New Roman" w:cs="Times New Roman"/>
                <w:color w:val="000000"/>
                <w:sz w:val="18"/>
                <w:szCs w:val="18"/>
                <w:lang w:eastAsia="en-GB"/>
              </w:rPr>
              <w:t>02)</w:t>
            </w:r>
          </w:p>
        </w:tc>
        <w:tc>
          <w:tcPr>
            <w:tcW w:w="1003" w:type="dxa"/>
            <w:noWrap/>
            <w:vAlign w:val="center"/>
            <w:hideMark/>
          </w:tcPr>
          <w:p w14:paraId="11ACE1C8" w14:textId="7E6C4107"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0</w:t>
            </w:r>
            <w:r w:rsidR="009B49E1" w:rsidRPr="0006015C">
              <w:rPr>
                <w:rFonts w:eastAsia="Times New Roman" w:cs="Times New Roman"/>
                <w:color w:val="000000"/>
                <w:sz w:val="18"/>
                <w:szCs w:val="18"/>
                <w:lang w:eastAsia="en-GB"/>
              </w:rPr>
              <w:t>.</w:t>
            </w:r>
            <w:r w:rsidRPr="0006015C">
              <w:rPr>
                <w:rFonts w:eastAsia="Times New Roman" w:cs="Times New Roman"/>
                <w:color w:val="000000"/>
                <w:sz w:val="18"/>
                <w:szCs w:val="18"/>
                <w:lang w:eastAsia="en-GB"/>
              </w:rPr>
              <w:t>38</w:t>
            </w:r>
          </w:p>
        </w:tc>
      </w:tr>
      <w:tr w:rsidR="00D53FD9" w:rsidRPr="0006015C" w14:paraId="5A1D6EF5" w14:textId="77777777" w:rsidTr="002F2BD1">
        <w:trPr>
          <w:trHeight w:val="300"/>
          <w:jc w:val="center"/>
        </w:trPr>
        <w:tc>
          <w:tcPr>
            <w:cnfStyle w:val="001000000000" w:firstRow="0" w:lastRow="0" w:firstColumn="1" w:lastColumn="0" w:oddVBand="0" w:evenVBand="0" w:oddHBand="0" w:evenHBand="0" w:firstRowFirstColumn="0" w:firstRowLastColumn="0" w:lastRowFirstColumn="0" w:lastRowLastColumn="0"/>
            <w:tcW w:w="2825" w:type="dxa"/>
            <w:noWrap/>
            <w:vAlign w:val="center"/>
            <w:hideMark/>
          </w:tcPr>
          <w:p w14:paraId="3307D719" w14:textId="77777777" w:rsidR="00557409" w:rsidRPr="0006015C" w:rsidRDefault="00557409" w:rsidP="007F3A2D">
            <w:pPr>
              <w:spacing w:line="360" w:lineRule="auto"/>
              <w:rPr>
                <w:rFonts w:eastAsia="Times New Roman" w:cs="Times New Roman"/>
                <w:color w:val="000000"/>
                <w:sz w:val="18"/>
                <w:szCs w:val="18"/>
                <w:lang w:eastAsia="en-GB"/>
              </w:rPr>
            </w:pPr>
            <w:r w:rsidRPr="0006015C">
              <w:rPr>
                <w:rFonts w:eastAsia="Times New Roman" w:cs="Times New Roman"/>
                <w:color w:val="000000"/>
                <w:sz w:val="18"/>
                <w:szCs w:val="18"/>
                <w:lang w:eastAsia="en-GB"/>
              </w:rPr>
              <w:t>Centre</w:t>
            </w:r>
          </w:p>
        </w:tc>
        <w:tc>
          <w:tcPr>
            <w:tcW w:w="993" w:type="dxa"/>
            <w:noWrap/>
            <w:vAlign w:val="center"/>
            <w:hideMark/>
          </w:tcPr>
          <w:p w14:paraId="4ED3B857" w14:textId="77777777"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Basel</w:t>
            </w:r>
          </w:p>
        </w:tc>
        <w:tc>
          <w:tcPr>
            <w:tcW w:w="1134" w:type="dxa"/>
            <w:noWrap/>
            <w:vAlign w:val="center"/>
            <w:hideMark/>
          </w:tcPr>
          <w:p w14:paraId="2B53CEC7" w14:textId="77777777"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480/4,411</w:t>
            </w:r>
          </w:p>
        </w:tc>
        <w:tc>
          <w:tcPr>
            <w:tcW w:w="1417" w:type="dxa"/>
            <w:noWrap/>
            <w:vAlign w:val="center"/>
            <w:hideMark/>
          </w:tcPr>
          <w:p w14:paraId="493074B8" w14:textId="77777777"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29/506</w:t>
            </w:r>
          </w:p>
        </w:tc>
        <w:tc>
          <w:tcPr>
            <w:tcW w:w="1418" w:type="dxa"/>
            <w:noWrap/>
            <w:vAlign w:val="center"/>
            <w:hideMark/>
          </w:tcPr>
          <w:p w14:paraId="62FA9B2C" w14:textId="1A07B0DE" w:rsidR="00557409" w:rsidRPr="0006015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Ref.</w:t>
            </w:r>
          </w:p>
        </w:tc>
        <w:tc>
          <w:tcPr>
            <w:tcW w:w="1251" w:type="dxa"/>
            <w:noWrap/>
            <w:vAlign w:val="center"/>
            <w:hideMark/>
          </w:tcPr>
          <w:p w14:paraId="431FC924" w14:textId="3418E9EC" w:rsidR="00557409" w:rsidRPr="0006015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Ref.</w:t>
            </w:r>
          </w:p>
        </w:tc>
        <w:tc>
          <w:tcPr>
            <w:tcW w:w="1041" w:type="dxa"/>
            <w:noWrap/>
            <w:vAlign w:val="center"/>
            <w:hideMark/>
          </w:tcPr>
          <w:p w14:paraId="357441F8" w14:textId="77777777"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479/4,388</w:t>
            </w:r>
          </w:p>
        </w:tc>
        <w:tc>
          <w:tcPr>
            <w:tcW w:w="1372" w:type="dxa"/>
            <w:noWrap/>
            <w:vAlign w:val="center"/>
            <w:hideMark/>
          </w:tcPr>
          <w:p w14:paraId="4813A368" w14:textId="77777777"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29/506</w:t>
            </w:r>
          </w:p>
        </w:tc>
        <w:tc>
          <w:tcPr>
            <w:tcW w:w="1416" w:type="dxa"/>
            <w:noWrap/>
            <w:vAlign w:val="center"/>
            <w:hideMark/>
          </w:tcPr>
          <w:p w14:paraId="34709E3B" w14:textId="3AD2E232" w:rsidR="00557409" w:rsidRPr="0006015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Ref.</w:t>
            </w:r>
          </w:p>
        </w:tc>
        <w:tc>
          <w:tcPr>
            <w:tcW w:w="1003" w:type="dxa"/>
            <w:noWrap/>
            <w:vAlign w:val="center"/>
            <w:hideMark/>
          </w:tcPr>
          <w:p w14:paraId="5F7301EB" w14:textId="473C5B60" w:rsidR="00557409" w:rsidRPr="0006015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Ref.</w:t>
            </w:r>
          </w:p>
        </w:tc>
      </w:tr>
      <w:tr w:rsidR="00D53FD9" w:rsidRPr="0006015C" w14:paraId="2E452908" w14:textId="77777777" w:rsidTr="002F2BD1">
        <w:trPr>
          <w:trHeight w:val="300"/>
          <w:jc w:val="center"/>
        </w:trPr>
        <w:tc>
          <w:tcPr>
            <w:cnfStyle w:val="001000000000" w:firstRow="0" w:lastRow="0" w:firstColumn="1" w:lastColumn="0" w:oddVBand="0" w:evenVBand="0" w:oddHBand="0" w:evenHBand="0" w:firstRowFirstColumn="0" w:firstRowLastColumn="0" w:lastRowFirstColumn="0" w:lastRowLastColumn="0"/>
            <w:tcW w:w="2825" w:type="dxa"/>
            <w:noWrap/>
            <w:vAlign w:val="center"/>
          </w:tcPr>
          <w:p w14:paraId="36369DFF" w14:textId="31E5E7EC" w:rsidR="00557409" w:rsidRPr="0006015C" w:rsidRDefault="00557409" w:rsidP="007F3A2D">
            <w:pPr>
              <w:spacing w:line="360" w:lineRule="auto"/>
              <w:rPr>
                <w:rFonts w:eastAsia="Times New Roman" w:cs="Times New Roman"/>
                <w:color w:val="000000"/>
                <w:sz w:val="18"/>
                <w:szCs w:val="18"/>
                <w:lang w:eastAsia="en-GB"/>
              </w:rPr>
            </w:pPr>
          </w:p>
        </w:tc>
        <w:tc>
          <w:tcPr>
            <w:tcW w:w="993" w:type="dxa"/>
            <w:noWrap/>
            <w:vAlign w:val="center"/>
            <w:hideMark/>
          </w:tcPr>
          <w:p w14:paraId="6858162D" w14:textId="77777777"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Leuven</w:t>
            </w:r>
          </w:p>
        </w:tc>
        <w:tc>
          <w:tcPr>
            <w:tcW w:w="1134" w:type="dxa"/>
            <w:noWrap/>
            <w:vAlign w:val="center"/>
          </w:tcPr>
          <w:p w14:paraId="1657B4AF" w14:textId="63E6F32E"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417" w:type="dxa"/>
            <w:noWrap/>
            <w:vAlign w:val="center"/>
            <w:hideMark/>
          </w:tcPr>
          <w:p w14:paraId="3DBB6C79" w14:textId="77777777"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268/1,891</w:t>
            </w:r>
          </w:p>
        </w:tc>
        <w:tc>
          <w:tcPr>
            <w:tcW w:w="1418" w:type="dxa"/>
            <w:noWrap/>
            <w:vAlign w:val="center"/>
            <w:hideMark/>
          </w:tcPr>
          <w:p w14:paraId="5A3D420F" w14:textId="1238A076"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1</w:t>
            </w:r>
            <w:r w:rsidR="009B49E1" w:rsidRPr="0006015C">
              <w:rPr>
                <w:rFonts w:eastAsia="Times New Roman" w:cs="Times New Roman"/>
                <w:color w:val="000000"/>
                <w:sz w:val="18"/>
                <w:szCs w:val="18"/>
                <w:lang w:eastAsia="en-GB"/>
              </w:rPr>
              <w:t>.</w:t>
            </w:r>
            <w:r w:rsidRPr="0006015C">
              <w:rPr>
                <w:rFonts w:eastAsia="Times New Roman" w:cs="Times New Roman"/>
                <w:color w:val="000000"/>
                <w:sz w:val="18"/>
                <w:szCs w:val="18"/>
                <w:lang w:eastAsia="en-GB"/>
              </w:rPr>
              <w:t>34 (0</w:t>
            </w:r>
            <w:r w:rsidR="009B49E1" w:rsidRPr="0006015C">
              <w:rPr>
                <w:rFonts w:eastAsia="Times New Roman" w:cs="Times New Roman"/>
                <w:color w:val="000000"/>
                <w:sz w:val="18"/>
                <w:szCs w:val="18"/>
                <w:lang w:eastAsia="en-GB"/>
              </w:rPr>
              <w:t>.</w:t>
            </w:r>
            <w:r w:rsidRPr="0006015C">
              <w:rPr>
                <w:rFonts w:eastAsia="Times New Roman" w:cs="Times New Roman"/>
                <w:color w:val="000000"/>
                <w:sz w:val="18"/>
                <w:szCs w:val="18"/>
                <w:lang w:eastAsia="en-GB"/>
              </w:rPr>
              <w:t>91–1</w:t>
            </w:r>
            <w:r w:rsidR="009B49E1" w:rsidRPr="0006015C">
              <w:rPr>
                <w:rFonts w:eastAsia="Times New Roman" w:cs="Times New Roman"/>
                <w:color w:val="000000"/>
                <w:sz w:val="18"/>
                <w:szCs w:val="18"/>
                <w:lang w:eastAsia="en-GB"/>
              </w:rPr>
              <w:t>.</w:t>
            </w:r>
            <w:r w:rsidRPr="0006015C">
              <w:rPr>
                <w:rFonts w:eastAsia="Times New Roman" w:cs="Times New Roman"/>
                <w:color w:val="000000"/>
                <w:sz w:val="18"/>
                <w:szCs w:val="18"/>
                <w:lang w:eastAsia="en-GB"/>
              </w:rPr>
              <w:t>99)</w:t>
            </w:r>
          </w:p>
        </w:tc>
        <w:tc>
          <w:tcPr>
            <w:tcW w:w="1251" w:type="dxa"/>
            <w:noWrap/>
            <w:vAlign w:val="center"/>
            <w:hideMark/>
          </w:tcPr>
          <w:p w14:paraId="7B1C2D0F" w14:textId="217096F3"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0</w:t>
            </w:r>
            <w:r w:rsidR="009B49E1" w:rsidRPr="0006015C">
              <w:rPr>
                <w:rFonts w:eastAsia="Times New Roman" w:cs="Times New Roman"/>
                <w:color w:val="000000"/>
                <w:sz w:val="18"/>
                <w:szCs w:val="18"/>
                <w:lang w:eastAsia="en-GB"/>
              </w:rPr>
              <w:t>.</w:t>
            </w:r>
            <w:r w:rsidRPr="0006015C">
              <w:rPr>
                <w:rFonts w:eastAsia="Times New Roman" w:cs="Times New Roman"/>
                <w:color w:val="000000"/>
                <w:sz w:val="18"/>
                <w:szCs w:val="18"/>
                <w:lang w:eastAsia="en-GB"/>
              </w:rPr>
              <w:t>14</w:t>
            </w:r>
          </w:p>
        </w:tc>
        <w:tc>
          <w:tcPr>
            <w:tcW w:w="1041" w:type="dxa"/>
            <w:noWrap/>
            <w:vAlign w:val="center"/>
          </w:tcPr>
          <w:p w14:paraId="02F9A312" w14:textId="2E0C2399"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372" w:type="dxa"/>
            <w:noWrap/>
            <w:vAlign w:val="center"/>
            <w:hideMark/>
          </w:tcPr>
          <w:p w14:paraId="3DF19E84" w14:textId="77777777"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268/1,890</w:t>
            </w:r>
          </w:p>
        </w:tc>
        <w:tc>
          <w:tcPr>
            <w:tcW w:w="1416" w:type="dxa"/>
            <w:noWrap/>
            <w:vAlign w:val="center"/>
            <w:hideMark/>
          </w:tcPr>
          <w:p w14:paraId="795AF18A" w14:textId="7CB6AF14"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1</w:t>
            </w:r>
            <w:r w:rsidR="009B49E1" w:rsidRPr="0006015C">
              <w:rPr>
                <w:rFonts w:eastAsia="Times New Roman" w:cs="Times New Roman"/>
                <w:color w:val="000000"/>
                <w:sz w:val="18"/>
                <w:szCs w:val="18"/>
                <w:lang w:eastAsia="en-GB"/>
              </w:rPr>
              <w:t>.</w:t>
            </w:r>
            <w:r w:rsidRPr="0006015C">
              <w:rPr>
                <w:rFonts w:eastAsia="Times New Roman" w:cs="Times New Roman"/>
                <w:color w:val="000000"/>
                <w:sz w:val="18"/>
                <w:szCs w:val="18"/>
                <w:lang w:eastAsia="en-GB"/>
              </w:rPr>
              <w:t>31 (0</w:t>
            </w:r>
            <w:r w:rsidR="009B49E1" w:rsidRPr="0006015C">
              <w:rPr>
                <w:rFonts w:eastAsia="Times New Roman" w:cs="Times New Roman"/>
                <w:color w:val="000000"/>
                <w:sz w:val="18"/>
                <w:szCs w:val="18"/>
                <w:lang w:eastAsia="en-GB"/>
              </w:rPr>
              <w:t>.</w:t>
            </w:r>
            <w:r w:rsidRPr="0006015C">
              <w:rPr>
                <w:rFonts w:eastAsia="Times New Roman" w:cs="Times New Roman"/>
                <w:color w:val="000000"/>
                <w:sz w:val="18"/>
                <w:szCs w:val="18"/>
                <w:lang w:eastAsia="en-GB"/>
              </w:rPr>
              <w:t>84–2</w:t>
            </w:r>
            <w:r w:rsidR="009B49E1" w:rsidRPr="0006015C">
              <w:rPr>
                <w:rFonts w:eastAsia="Times New Roman" w:cs="Times New Roman"/>
                <w:color w:val="000000"/>
                <w:sz w:val="18"/>
                <w:szCs w:val="18"/>
                <w:lang w:eastAsia="en-GB"/>
              </w:rPr>
              <w:t>.</w:t>
            </w:r>
            <w:r w:rsidRPr="0006015C">
              <w:rPr>
                <w:rFonts w:eastAsia="Times New Roman" w:cs="Times New Roman"/>
                <w:color w:val="000000"/>
                <w:sz w:val="18"/>
                <w:szCs w:val="18"/>
                <w:lang w:eastAsia="en-GB"/>
              </w:rPr>
              <w:t>05)</w:t>
            </w:r>
          </w:p>
        </w:tc>
        <w:tc>
          <w:tcPr>
            <w:tcW w:w="1003" w:type="dxa"/>
            <w:noWrap/>
            <w:vAlign w:val="center"/>
            <w:hideMark/>
          </w:tcPr>
          <w:p w14:paraId="30F125D5" w14:textId="07677B05"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0</w:t>
            </w:r>
            <w:r w:rsidR="009B49E1" w:rsidRPr="0006015C">
              <w:rPr>
                <w:rFonts w:eastAsia="Times New Roman" w:cs="Times New Roman"/>
                <w:color w:val="000000"/>
                <w:sz w:val="18"/>
                <w:szCs w:val="18"/>
                <w:lang w:eastAsia="en-GB"/>
              </w:rPr>
              <w:t>.</w:t>
            </w:r>
            <w:r w:rsidRPr="0006015C">
              <w:rPr>
                <w:rFonts w:eastAsia="Times New Roman" w:cs="Times New Roman"/>
                <w:color w:val="000000"/>
                <w:sz w:val="18"/>
                <w:szCs w:val="18"/>
                <w:lang w:eastAsia="en-GB"/>
              </w:rPr>
              <w:t>23</w:t>
            </w:r>
          </w:p>
        </w:tc>
      </w:tr>
      <w:tr w:rsidR="00D53FD9" w:rsidRPr="0006015C" w14:paraId="1800D380" w14:textId="77777777" w:rsidTr="002F2BD1">
        <w:trPr>
          <w:trHeight w:val="300"/>
          <w:jc w:val="center"/>
        </w:trPr>
        <w:tc>
          <w:tcPr>
            <w:cnfStyle w:val="001000000000" w:firstRow="0" w:lastRow="0" w:firstColumn="1" w:lastColumn="0" w:oddVBand="0" w:evenVBand="0" w:oddHBand="0" w:evenHBand="0" w:firstRowFirstColumn="0" w:firstRowLastColumn="0" w:lastRowFirstColumn="0" w:lastRowLastColumn="0"/>
            <w:tcW w:w="2825" w:type="dxa"/>
            <w:noWrap/>
            <w:vAlign w:val="center"/>
          </w:tcPr>
          <w:p w14:paraId="2E43EAC7" w14:textId="5BFF20A0" w:rsidR="00557409" w:rsidRPr="0006015C" w:rsidRDefault="00557409" w:rsidP="007F3A2D">
            <w:pPr>
              <w:spacing w:line="360" w:lineRule="auto"/>
              <w:rPr>
                <w:rFonts w:eastAsia="Times New Roman" w:cs="Times New Roman"/>
                <w:color w:val="000000"/>
                <w:sz w:val="18"/>
                <w:szCs w:val="18"/>
                <w:lang w:eastAsia="en-GB"/>
              </w:rPr>
            </w:pPr>
          </w:p>
        </w:tc>
        <w:tc>
          <w:tcPr>
            <w:tcW w:w="993" w:type="dxa"/>
            <w:noWrap/>
            <w:vAlign w:val="center"/>
            <w:hideMark/>
          </w:tcPr>
          <w:p w14:paraId="7E92AA15" w14:textId="77777777"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Prague</w:t>
            </w:r>
          </w:p>
        </w:tc>
        <w:tc>
          <w:tcPr>
            <w:tcW w:w="1134" w:type="dxa"/>
            <w:noWrap/>
            <w:vAlign w:val="center"/>
          </w:tcPr>
          <w:p w14:paraId="5B93E701" w14:textId="22BE7009"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417" w:type="dxa"/>
            <w:noWrap/>
            <w:vAlign w:val="center"/>
            <w:hideMark/>
          </w:tcPr>
          <w:p w14:paraId="54120979" w14:textId="77777777"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49/1,005</w:t>
            </w:r>
          </w:p>
        </w:tc>
        <w:tc>
          <w:tcPr>
            <w:tcW w:w="1418" w:type="dxa"/>
            <w:noWrap/>
            <w:vAlign w:val="center"/>
            <w:hideMark/>
          </w:tcPr>
          <w:p w14:paraId="53024750" w14:textId="12C79C43"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0</w:t>
            </w:r>
            <w:r w:rsidR="009B49E1" w:rsidRPr="0006015C">
              <w:rPr>
                <w:rFonts w:eastAsia="Times New Roman" w:cs="Times New Roman"/>
                <w:color w:val="000000"/>
                <w:sz w:val="18"/>
                <w:szCs w:val="18"/>
                <w:lang w:eastAsia="en-GB"/>
              </w:rPr>
              <w:t>.</w:t>
            </w:r>
            <w:r w:rsidRPr="0006015C">
              <w:rPr>
                <w:rFonts w:eastAsia="Times New Roman" w:cs="Times New Roman"/>
                <w:color w:val="000000"/>
                <w:sz w:val="18"/>
                <w:szCs w:val="18"/>
                <w:lang w:eastAsia="en-GB"/>
              </w:rPr>
              <w:t>77 (0</w:t>
            </w:r>
            <w:r w:rsidR="009B49E1" w:rsidRPr="0006015C">
              <w:rPr>
                <w:rFonts w:eastAsia="Times New Roman" w:cs="Times New Roman"/>
                <w:color w:val="000000"/>
                <w:sz w:val="18"/>
                <w:szCs w:val="18"/>
                <w:lang w:eastAsia="en-GB"/>
              </w:rPr>
              <w:t>.</w:t>
            </w:r>
            <w:r w:rsidRPr="0006015C">
              <w:rPr>
                <w:rFonts w:eastAsia="Times New Roman" w:cs="Times New Roman"/>
                <w:color w:val="000000"/>
                <w:sz w:val="18"/>
                <w:szCs w:val="18"/>
                <w:lang w:eastAsia="en-GB"/>
              </w:rPr>
              <w:t>49–1</w:t>
            </w:r>
            <w:r w:rsidR="009B49E1" w:rsidRPr="0006015C">
              <w:rPr>
                <w:rFonts w:eastAsia="Times New Roman" w:cs="Times New Roman"/>
                <w:color w:val="000000"/>
                <w:sz w:val="18"/>
                <w:szCs w:val="18"/>
                <w:lang w:eastAsia="en-GB"/>
              </w:rPr>
              <w:t>.</w:t>
            </w:r>
            <w:r w:rsidRPr="0006015C">
              <w:rPr>
                <w:rFonts w:eastAsia="Times New Roman" w:cs="Times New Roman"/>
                <w:color w:val="000000"/>
                <w:sz w:val="18"/>
                <w:szCs w:val="18"/>
                <w:lang w:eastAsia="en-GB"/>
              </w:rPr>
              <w:t>22)</w:t>
            </w:r>
          </w:p>
        </w:tc>
        <w:tc>
          <w:tcPr>
            <w:tcW w:w="1251" w:type="dxa"/>
            <w:noWrap/>
            <w:vAlign w:val="center"/>
            <w:hideMark/>
          </w:tcPr>
          <w:p w14:paraId="1976B888" w14:textId="0EC27894"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0</w:t>
            </w:r>
            <w:r w:rsidR="009B49E1" w:rsidRPr="0006015C">
              <w:rPr>
                <w:rFonts w:eastAsia="Times New Roman" w:cs="Times New Roman"/>
                <w:color w:val="000000"/>
                <w:sz w:val="18"/>
                <w:szCs w:val="18"/>
                <w:lang w:eastAsia="en-GB"/>
              </w:rPr>
              <w:t>.</w:t>
            </w:r>
            <w:r w:rsidRPr="0006015C">
              <w:rPr>
                <w:rFonts w:eastAsia="Times New Roman" w:cs="Times New Roman"/>
                <w:color w:val="000000"/>
                <w:sz w:val="18"/>
                <w:szCs w:val="18"/>
                <w:lang w:eastAsia="en-GB"/>
              </w:rPr>
              <w:t>27</w:t>
            </w:r>
          </w:p>
        </w:tc>
        <w:tc>
          <w:tcPr>
            <w:tcW w:w="1041" w:type="dxa"/>
            <w:noWrap/>
            <w:vAlign w:val="center"/>
          </w:tcPr>
          <w:p w14:paraId="7A920588" w14:textId="7EDCDFBC"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372" w:type="dxa"/>
            <w:noWrap/>
            <w:vAlign w:val="center"/>
            <w:hideMark/>
          </w:tcPr>
          <w:p w14:paraId="4EEB213A" w14:textId="77777777"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49/1,001</w:t>
            </w:r>
          </w:p>
        </w:tc>
        <w:tc>
          <w:tcPr>
            <w:tcW w:w="1416" w:type="dxa"/>
            <w:noWrap/>
            <w:vAlign w:val="center"/>
            <w:hideMark/>
          </w:tcPr>
          <w:p w14:paraId="2D667A6C" w14:textId="0FA14CA1"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0</w:t>
            </w:r>
            <w:r w:rsidR="009B49E1" w:rsidRPr="0006015C">
              <w:rPr>
                <w:rFonts w:eastAsia="Times New Roman" w:cs="Times New Roman"/>
                <w:color w:val="000000"/>
                <w:sz w:val="18"/>
                <w:szCs w:val="18"/>
                <w:lang w:eastAsia="en-GB"/>
              </w:rPr>
              <w:t>.</w:t>
            </w:r>
            <w:r w:rsidRPr="0006015C">
              <w:rPr>
                <w:rFonts w:eastAsia="Times New Roman" w:cs="Times New Roman"/>
                <w:color w:val="000000"/>
                <w:sz w:val="18"/>
                <w:szCs w:val="18"/>
                <w:lang w:eastAsia="en-GB"/>
              </w:rPr>
              <w:t>69 (0</w:t>
            </w:r>
            <w:r w:rsidR="009B49E1" w:rsidRPr="0006015C">
              <w:rPr>
                <w:rFonts w:eastAsia="Times New Roman" w:cs="Times New Roman"/>
                <w:color w:val="000000"/>
                <w:sz w:val="18"/>
                <w:szCs w:val="18"/>
                <w:lang w:eastAsia="en-GB"/>
              </w:rPr>
              <w:t>.</w:t>
            </w:r>
            <w:r w:rsidRPr="0006015C">
              <w:rPr>
                <w:rFonts w:eastAsia="Times New Roman" w:cs="Times New Roman"/>
                <w:color w:val="000000"/>
                <w:sz w:val="18"/>
                <w:szCs w:val="18"/>
                <w:lang w:eastAsia="en-GB"/>
              </w:rPr>
              <w:t>43–1</w:t>
            </w:r>
            <w:r w:rsidR="009B49E1" w:rsidRPr="0006015C">
              <w:rPr>
                <w:rFonts w:eastAsia="Times New Roman" w:cs="Times New Roman"/>
                <w:color w:val="000000"/>
                <w:sz w:val="18"/>
                <w:szCs w:val="18"/>
                <w:lang w:eastAsia="en-GB"/>
              </w:rPr>
              <w:t>.</w:t>
            </w:r>
            <w:r w:rsidRPr="0006015C">
              <w:rPr>
                <w:rFonts w:eastAsia="Times New Roman" w:cs="Times New Roman"/>
                <w:color w:val="000000"/>
                <w:sz w:val="18"/>
                <w:szCs w:val="18"/>
                <w:lang w:eastAsia="en-GB"/>
              </w:rPr>
              <w:t>13)</w:t>
            </w:r>
          </w:p>
        </w:tc>
        <w:tc>
          <w:tcPr>
            <w:tcW w:w="1003" w:type="dxa"/>
            <w:noWrap/>
            <w:vAlign w:val="center"/>
            <w:hideMark/>
          </w:tcPr>
          <w:p w14:paraId="4F735E98" w14:textId="3A058505"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0</w:t>
            </w:r>
            <w:r w:rsidR="009B49E1" w:rsidRPr="0006015C">
              <w:rPr>
                <w:rFonts w:eastAsia="Times New Roman" w:cs="Times New Roman"/>
                <w:color w:val="000000"/>
                <w:sz w:val="18"/>
                <w:szCs w:val="18"/>
                <w:lang w:eastAsia="en-GB"/>
              </w:rPr>
              <w:t>.</w:t>
            </w:r>
            <w:r w:rsidRPr="0006015C">
              <w:rPr>
                <w:rFonts w:eastAsia="Times New Roman" w:cs="Times New Roman"/>
                <w:color w:val="000000"/>
                <w:sz w:val="18"/>
                <w:szCs w:val="18"/>
                <w:lang w:eastAsia="en-GB"/>
              </w:rPr>
              <w:t>14</w:t>
            </w:r>
          </w:p>
        </w:tc>
      </w:tr>
      <w:tr w:rsidR="00D53FD9" w:rsidRPr="0006015C" w14:paraId="2C63E5FC" w14:textId="77777777" w:rsidTr="002F2BD1">
        <w:trPr>
          <w:trHeight w:val="300"/>
          <w:jc w:val="center"/>
        </w:trPr>
        <w:tc>
          <w:tcPr>
            <w:cnfStyle w:val="001000000000" w:firstRow="0" w:lastRow="0" w:firstColumn="1" w:lastColumn="0" w:oddVBand="0" w:evenVBand="0" w:oddHBand="0" w:evenHBand="0" w:firstRowFirstColumn="0" w:firstRowLastColumn="0" w:lastRowFirstColumn="0" w:lastRowLastColumn="0"/>
            <w:tcW w:w="2825" w:type="dxa"/>
            <w:noWrap/>
            <w:vAlign w:val="center"/>
          </w:tcPr>
          <w:p w14:paraId="72BE86A6" w14:textId="6593766F" w:rsidR="00557409" w:rsidRPr="0006015C" w:rsidRDefault="00557409" w:rsidP="007F3A2D">
            <w:pPr>
              <w:spacing w:line="360" w:lineRule="auto"/>
              <w:rPr>
                <w:rFonts w:eastAsia="Times New Roman" w:cs="Times New Roman"/>
                <w:color w:val="000000"/>
                <w:sz w:val="18"/>
                <w:szCs w:val="18"/>
                <w:lang w:eastAsia="en-GB"/>
              </w:rPr>
            </w:pPr>
          </w:p>
        </w:tc>
        <w:tc>
          <w:tcPr>
            <w:tcW w:w="993" w:type="dxa"/>
            <w:noWrap/>
            <w:vAlign w:val="center"/>
            <w:hideMark/>
          </w:tcPr>
          <w:p w14:paraId="12409481" w14:textId="77777777"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Vienna</w:t>
            </w:r>
          </w:p>
        </w:tc>
        <w:tc>
          <w:tcPr>
            <w:tcW w:w="1134" w:type="dxa"/>
            <w:noWrap/>
            <w:vAlign w:val="center"/>
          </w:tcPr>
          <w:p w14:paraId="528DD8A0" w14:textId="7A8020A9"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417" w:type="dxa"/>
            <w:noWrap/>
            <w:vAlign w:val="center"/>
            <w:hideMark/>
          </w:tcPr>
          <w:p w14:paraId="26BC6212" w14:textId="77777777"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134/1,009</w:t>
            </w:r>
          </w:p>
        </w:tc>
        <w:tc>
          <w:tcPr>
            <w:tcW w:w="1418" w:type="dxa"/>
            <w:noWrap/>
            <w:vAlign w:val="center"/>
            <w:hideMark/>
          </w:tcPr>
          <w:p w14:paraId="240B0E41" w14:textId="331A6C67"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1</w:t>
            </w:r>
            <w:r w:rsidR="009B49E1" w:rsidRPr="0006015C">
              <w:rPr>
                <w:rFonts w:eastAsia="Times New Roman" w:cs="Times New Roman"/>
                <w:color w:val="000000"/>
                <w:sz w:val="18"/>
                <w:szCs w:val="18"/>
                <w:lang w:eastAsia="en-GB"/>
              </w:rPr>
              <w:t>.</w:t>
            </w:r>
            <w:r w:rsidRPr="0006015C">
              <w:rPr>
                <w:rFonts w:eastAsia="Times New Roman" w:cs="Times New Roman"/>
                <w:color w:val="000000"/>
                <w:sz w:val="18"/>
                <w:szCs w:val="18"/>
                <w:lang w:eastAsia="en-GB"/>
              </w:rPr>
              <w:t>79 (1</w:t>
            </w:r>
            <w:r w:rsidR="009B49E1" w:rsidRPr="0006015C">
              <w:rPr>
                <w:rFonts w:eastAsia="Times New Roman" w:cs="Times New Roman"/>
                <w:color w:val="000000"/>
                <w:sz w:val="18"/>
                <w:szCs w:val="18"/>
                <w:lang w:eastAsia="en-GB"/>
              </w:rPr>
              <w:t>.</w:t>
            </w:r>
            <w:r w:rsidRPr="0006015C">
              <w:rPr>
                <w:rFonts w:eastAsia="Times New Roman" w:cs="Times New Roman"/>
                <w:color w:val="000000"/>
                <w:sz w:val="18"/>
                <w:szCs w:val="18"/>
                <w:lang w:eastAsia="en-GB"/>
              </w:rPr>
              <w:t>20–2</w:t>
            </w:r>
            <w:r w:rsidR="009B49E1" w:rsidRPr="0006015C">
              <w:rPr>
                <w:rFonts w:eastAsia="Times New Roman" w:cs="Times New Roman"/>
                <w:color w:val="000000"/>
                <w:sz w:val="18"/>
                <w:szCs w:val="18"/>
                <w:lang w:eastAsia="en-GB"/>
              </w:rPr>
              <w:t>.</w:t>
            </w:r>
            <w:r w:rsidRPr="0006015C">
              <w:rPr>
                <w:rFonts w:eastAsia="Times New Roman" w:cs="Times New Roman"/>
                <w:color w:val="000000"/>
                <w:sz w:val="18"/>
                <w:szCs w:val="18"/>
                <w:lang w:eastAsia="en-GB"/>
              </w:rPr>
              <w:t>68)</w:t>
            </w:r>
          </w:p>
        </w:tc>
        <w:tc>
          <w:tcPr>
            <w:tcW w:w="1251" w:type="dxa"/>
            <w:noWrap/>
            <w:vAlign w:val="center"/>
            <w:hideMark/>
          </w:tcPr>
          <w:p w14:paraId="572E928D" w14:textId="17BD8A81"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0</w:t>
            </w:r>
            <w:r w:rsidR="009B49E1" w:rsidRPr="0006015C">
              <w:rPr>
                <w:rFonts w:eastAsia="Times New Roman" w:cs="Times New Roman"/>
                <w:color w:val="000000"/>
                <w:sz w:val="18"/>
                <w:szCs w:val="18"/>
                <w:lang w:eastAsia="en-GB"/>
              </w:rPr>
              <w:t>.</w:t>
            </w:r>
            <w:r w:rsidRPr="0006015C">
              <w:rPr>
                <w:rFonts w:eastAsia="Times New Roman" w:cs="Times New Roman"/>
                <w:color w:val="000000"/>
                <w:sz w:val="18"/>
                <w:szCs w:val="18"/>
                <w:lang w:eastAsia="en-GB"/>
              </w:rPr>
              <w:t>0046</w:t>
            </w:r>
          </w:p>
        </w:tc>
        <w:tc>
          <w:tcPr>
            <w:tcW w:w="1041" w:type="dxa"/>
            <w:noWrap/>
            <w:vAlign w:val="center"/>
          </w:tcPr>
          <w:p w14:paraId="30B91B3E" w14:textId="2071ECDB"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372" w:type="dxa"/>
            <w:noWrap/>
            <w:vAlign w:val="center"/>
            <w:hideMark/>
          </w:tcPr>
          <w:p w14:paraId="4856E234" w14:textId="77777777"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133/991</w:t>
            </w:r>
          </w:p>
        </w:tc>
        <w:tc>
          <w:tcPr>
            <w:tcW w:w="1416" w:type="dxa"/>
            <w:noWrap/>
            <w:vAlign w:val="center"/>
            <w:hideMark/>
          </w:tcPr>
          <w:p w14:paraId="4830C613" w14:textId="31405416"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1</w:t>
            </w:r>
            <w:r w:rsidR="009B49E1" w:rsidRPr="0006015C">
              <w:rPr>
                <w:rFonts w:eastAsia="Times New Roman" w:cs="Times New Roman"/>
                <w:color w:val="000000"/>
                <w:sz w:val="18"/>
                <w:szCs w:val="18"/>
                <w:lang w:eastAsia="en-GB"/>
              </w:rPr>
              <w:t>.</w:t>
            </w:r>
            <w:r w:rsidRPr="0006015C">
              <w:rPr>
                <w:rFonts w:eastAsia="Times New Roman" w:cs="Times New Roman"/>
                <w:color w:val="000000"/>
                <w:sz w:val="18"/>
                <w:szCs w:val="18"/>
                <w:lang w:eastAsia="en-GB"/>
              </w:rPr>
              <w:t>40 (0</w:t>
            </w:r>
            <w:r w:rsidR="009B49E1" w:rsidRPr="0006015C">
              <w:rPr>
                <w:rFonts w:eastAsia="Times New Roman" w:cs="Times New Roman"/>
                <w:color w:val="000000"/>
                <w:sz w:val="18"/>
                <w:szCs w:val="18"/>
                <w:lang w:eastAsia="en-GB"/>
              </w:rPr>
              <w:t>.</w:t>
            </w:r>
            <w:r w:rsidRPr="0006015C">
              <w:rPr>
                <w:rFonts w:eastAsia="Times New Roman" w:cs="Times New Roman"/>
                <w:color w:val="000000"/>
                <w:sz w:val="18"/>
                <w:szCs w:val="18"/>
                <w:lang w:eastAsia="en-GB"/>
              </w:rPr>
              <w:t>92–2</w:t>
            </w:r>
            <w:r w:rsidR="009B49E1" w:rsidRPr="0006015C">
              <w:rPr>
                <w:rFonts w:eastAsia="Times New Roman" w:cs="Times New Roman"/>
                <w:color w:val="000000"/>
                <w:sz w:val="18"/>
                <w:szCs w:val="18"/>
                <w:lang w:eastAsia="en-GB"/>
              </w:rPr>
              <w:t>.</w:t>
            </w:r>
            <w:r w:rsidRPr="0006015C">
              <w:rPr>
                <w:rFonts w:eastAsia="Times New Roman" w:cs="Times New Roman"/>
                <w:color w:val="000000"/>
                <w:sz w:val="18"/>
                <w:szCs w:val="18"/>
                <w:lang w:eastAsia="en-GB"/>
              </w:rPr>
              <w:t>14)</w:t>
            </w:r>
          </w:p>
        </w:tc>
        <w:tc>
          <w:tcPr>
            <w:tcW w:w="1003" w:type="dxa"/>
            <w:noWrap/>
            <w:vAlign w:val="center"/>
            <w:hideMark/>
          </w:tcPr>
          <w:p w14:paraId="122B90EF" w14:textId="0BE68B6A"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0</w:t>
            </w:r>
            <w:r w:rsidR="009B49E1" w:rsidRPr="0006015C">
              <w:rPr>
                <w:rFonts w:eastAsia="Times New Roman" w:cs="Times New Roman"/>
                <w:color w:val="000000"/>
                <w:sz w:val="18"/>
                <w:szCs w:val="18"/>
                <w:lang w:eastAsia="en-GB"/>
              </w:rPr>
              <w:t>.</w:t>
            </w:r>
            <w:r w:rsidRPr="0006015C">
              <w:rPr>
                <w:rFonts w:eastAsia="Times New Roman" w:cs="Times New Roman"/>
                <w:color w:val="000000"/>
                <w:sz w:val="18"/>
                <w:szCs w:val="18"/>
                <w:lang w:eastAsia="en-GB"/>
              </w:rPr>
              <w:t>12</w:t>
            </w:r>
          </w:p>
        </w:tc>
      </w:tr>
      <w:tr w:rsidR="00D53FD9" w:rsidRPr="0006015C" w14:paraId="6B77CA3E" w14:textId="77777777" w:rsidTr="002F2BD1">
        <w:trPr>
          <w:trHeight w:val="300"/>
          <w:jc w:val="center"/>
        </w:trPr>
        <w:tc>
          <w:tcPr>
            <w:cnfStyle w:val="001000000000" w:firstRow="0" w:lastRow="0" w:firstColumn="1" w:lastColumn="0" w:oddVBand="0" w:evenVBand="0" w:oddHBand="0" w:evenHBand="0" w:firstRowFirstColumn="0" w:firstRowLastColumn="0" w:lastRowFirstColumn="0" w:lastRowLastColumn="0"/>
            <w:tcW w:w="2825" w:type="dxa"/>
            <w:noWrap/>
            <w:vAlign w:val="center"/>
            <w:hideMark/>
          </w:tcPr>
          <w:p w14:paraId="0F7AC120" w14:textId="267F168F" w:rsidR="00CE0DD5" w:rsidRPr="0006015C" w:rsidRDefault="00CE0DD5" w:rsidP="007F3A2D">
            <w:pPr>
              <w:spacing w:line="360" w:lineRule="auto"/>
              <w:rPr>
                <w:rFonts w:eastAsia="Times New Roman" w:cs="Times New Roman"/>
                <w:color w:val="000000"/>
                <w:sz w:val="18"/>
                <w:szCs w:val="18"/>
                <w:lang w:eastAsia="en-GB"/>
              </w:rPr>
            </w:pPr>
            <w:r w:rsidRPr="0006015C">
              <w:rPr>
                <w:rFonts w:eastAsia="Times New Roman" w:cs="Times New Roman"/>
                <w:color w:val="000000"/>
                <w:sz w:val="18"/>
                <w:szCs w:val="18"/>
                <w:lang w:eastAsia="en-GB"/>
              </w:rPr>
              <w:t xml:space="preserve">Cold </w:t>
            </w:r>
            <w:r w:rsidR="00370E45" w:rsidRPr="0006015C">
              <w:rPr>
                <w:rFonts w:eastAsia="Times New Roman" w:cs="Times New Roman"/>
                <w:color w:val="000000"/>
                <w:sz w:val="18"/>
                <w:szCs w:val="18"/>
                <w:lang w:eastAsia="en-GB"/>
              </w:rPr>
              <w:t>ischemia</w:t>
            </w:r>
            <w:r w:rsidRPr="0006015C">
              <w:rPr>
                <w:rFonts w:eastAsia="Times New Roman" w:cs="Times New Roman"/>
                <w:color w:val="000000"/>
                <w:sz w:val="18"/>
                <w:szCs w:val="18"/>
                <w:lang w:eastAsia="en-GB"/>
              </w:rPr>
              <w:t xml:space="preserve"> time (per 5 hours)</w:t>
            </w:r>
          </w:p>
        </w:tc>
        <w:tc>
          <w:tcPr>
            <w:tcW w:w="993" w:type="dxa"/>
            <w:noWrap/>
            <w:vAlign w:val="center"/>
            <w:hideMark/>
          </w:tcPr>
          <w:p w14:paraId="734FB486" w14:textId="77777777" w:rsidR="00CE0DD5" w:rsidRPr="0006015C" w:rsidRDefault="00CE0DD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w:t>
            </w:r>
          </w:p>
        </w:tc>
        <w:tc>
          <w:tcPr>
            <w:tcW w:w="1134" w:type="dxa"/>
            <w:noWrap/>
            <w:vAlign w:val="center"/>
            <w:hideMark/>
          </w:tcPr>
          <w:p w14:paraId="53CD78F5" w14:textId="77777777" w:rsidR="00CE0DD5" w:rsidRPr="0006015C" w:rsidRDefault="00CE0DD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479/4,392</w:t>
            </w:r>
          </w:p>
        </w:tc>
        <w:tc>
          <w:tcPr>
            <w:tcW w:w="1417" w:type="dxa"/>
            <w:noWrap/>
            <w:vAlign w:val="center"/>
            <w:hideMark/>
          </w:tcPr>
          <w:p w14:paraId="0CA627A6" w14:textId="77777777" w:rsidR="00CE0DD5" w:rsidRPr="0006015C" w:rsidRDefault="00CE0DD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w:t>
            </w:r>
          </w:p>
        </w:tc>
        <w:tc>
          <w:tcPr>
            <w:tcW w:w="1418" w:type="dxa"/>
            <w:noWrap/>
            <w:vAlign w:val="center"/>
            <w:hideMark/>
          </w:tcPr>
          <w:p w14:paraId="5D4BBA35" w14:textId="400418EE" w:rsidR="00CE0DD5" w:rsidRPr="0006015C" w:rsidRDefault="00CE0DD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1.21 (1.12–1.30)</w:t>
            </w:r>
          </w:p>
        </w:tc>
        <w:tc>
          <w:tcPr>
            <w:tcW w:w="1251" w:type="dxa"/>
            <w:noWrap/>
            <w:hideMark/>
          </w:tcPr>
          <w:p w14:paraId="3D337838" w14:textId="07D284A3" w:rsidR="00CE0DD5" w:rsidRPr="0006015C" w:rsidRDefault="00D53FD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3.22 × 10</w:t>
            </w:r>
            <w:r w:rsidRPr="0006015C">
              <w:rPr>
                <w:rFonts w:eastAsia="Times New Roman" w:cs="Times New Roman"/>
                <w:color w:val="000000"/>
                <w:sz w:val="18"/>
                <w:szCs w:val="18"/>
                <w:vertAlign w:val="superscript"/>
                <w:lang w:eastAsia="en-GB"/>
              </w:rPr>
              <w:t>-7</w:t>
            </w:r>
          </w:p>
        </w:tc>
        <w:tc>
          <w:tcPr>
            <w:tcW w:w="1041" w:type="dxa"/>
            <w:noWrap/>
            <w:vAlign w:val="center"/>
            <w:hideMark/>
          </w:tcPr>
          <w:p w14:paraId="7A97C492" w14:textId="77777777" w:rsidR="00CE0DD5" w:rsidRPr="0006015C" w:rsidRDefault="00CE0DD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479/4,388</w:t>
            </w:r>
          </w:p>
        </w:tc>
        <w:tc>
          <w:tcPr>
            <w:tcW w:w="1372" w:type="dxa"/>
            <w:noWrap/>
            <w:vAlign w:val="center"/>
            <w:hideMark/>
          </w:tcPr>
          <w:p w14:paraId="2B5D1924" w14:textId="77777777" w:rsidR="00CE0DD5" w:rsidRPr="0006015C" w:rsidRDefault="00CE0DD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w:t>
            </w:r>
          </w:p>
        </w:tc>
        <w:tc>
          <w:tcPr>
            <w:tcW w:w="1416" w:type="dxa"/>
            <w:noWrap/>
            <w:vAlign w:val="center"/>
            <w:hideMark/>
          </w:tcPr>
          <w:p w14:paraId="2D9A368C" w14:textId="0145FD74" w:rsidR="00CE0DD5" w:rsidRPr="0006015C" w:rsidRDefault="00CE0DD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1.12 (1.02–1.24)</w:t>
            </w:r>
          </w:p>
        </w:tc>
        <w:tc>
          <w:tcPr>
            <w:tcW w:w="1003" w:type="dxa"/>
            <w:noWrap/>
            <w:vAlign w:val="center"/>
            <w:hideMark/>
          </w:tcPr>
          <w:p w14:paraId="102B62BE" w14:textId="7518F672" w:rsidR="00CE0DD5" w:rsidRPr="0006015C" w:rsidRDefault="00CE0DD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0.015</w:t>
            </w:r>
          </w:p>
        </w:tc>
      </w:tr>
      <w:tr w:rsidR="00D53FD9" w:rsidRPr="0006015C" w14:paraId="2FC14B83" w14:textId="77777777" w:rsidTr="002F2BD1">
        <w:trPr>
          <w:trHeight w:val="300"/>
          <w:jc w:val="center"/>
        </w:trPr>
        <w:tc>
          <w:tcPr>
            <w:cnfStyle w:val="001000000000" w:firstRow="0" w:lastRow="0" w:firstColumn="1" w:lastColumn="0" w:oddVBand="0" w:evenVBand="0" w:oddHBand="0" w:evenHBand="0" w:firstRowFirstColumn="0" w:firstRowLastColumn="0" w:lastRowFirstColumn="0" w:lastRowLastColumn="0"/>
            <w:tcW w:w="2825" w:type="dxa"/>
            <w:noWrap/>
            <w:vAlign w:val="center"/>
            <w:hideMark/>
          </w:tcPr>
          <w:p w14:paraId="6D96A7B4" w14:textId="77777777" w:rsidR="00CE0DD5" w:rsidRPr="0006015C" w:rsidRDefault="00CE0DD5" w:rsidP="007F3A2D">
            <w:pPr>
              <w:spacing w:line="360" w:lineRule="auto"/>
              <w:rPr>
                <w:rFonts w:eastAsia="Times New Roman" w:cs="Times New Roman"/>
                <w:color w:val="000000"/>
                <w:sz w:val="18"/>
                <w:szCs w:val="18"/>
                <w:lang w:eastAsia="en-GB"/>
              </w:rPr>
            </w:pPr>
            <w:r w:rsidRPr="0006015C">
              <w:rPr>
                <w:rFonts w:eastAsia="Times New Roman" w:cs="Times New Roman"/>
                <w:color w:val="000000"/>
                <w:sz w:val="18"/>
                <w:szCs w:val="18"/>
                <w:lang w:eastAsia="en-GB"/>
              </w:rPr>
              <w:t>Donor age (per 10 years)</w:t>
            </w:r>
          </w:p>
        </w:tc>
        <w:tc>
          <w:tcPr>
            <w:tcW w:w="993" w:type="dxa"/>
            <w:noWrap/>
            <w:vAlign w:val="center"/>
            <w:hideMark/>
          </w:tcPr>
          <w:p w14:paraId="47AC95E8" w14:textId="77777777" w:rsidR="00CE0DD5" w:rsidRPr="0006015C" w:rsidRDefault="00CE0DD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w:t>
            </w:r>
          </w:p>
        </w:tc>
        <w:tc>
          <w:tcPr>
            <w:tcW w:w="1134" w:type="dxa"/>
            <w:noWrap/>
            <w:vAlign w:val="center"/>
            <w:hideMark/>
          </w:tcPr>
          <w:p w14:paraId="42FFC650" w14:textId="77777777" w:rsidR="00CE0DD5" w:rsidRPr="0006015C" w:rsidRDefault="00CE0DD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480/4,411</w:t>
            </w:r>
          </w:p>
        </w:tc>
        <w:tc>
          <w:tcPr>
            <w:tcW w:w="1417" w:type="dxa"/>
            <w:noWrap/>
            <w:vAlign w:val="center"/>
            <w:hideMark/>
          </w:tcPr>
          <w:p w14:paraId="6967CD84" w14:textId="77777777" w:rsidR="00CE0DD5" w:rsidRPr="0006015C" w:rsidRDefault="00CE0DD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w:t>
            </w:r>
          </w:p>
        </w:tc>
        <w:tc>
          <w:tcPr>
            <w:tcW w:w="1418" w:type="dxa"/>
            <w:noWrap/>
            <w:vAlign w:val="center"/>
            <w:hideMark/>
          </w:tcPr>
          <w:p w14:paraId="4E4434B7" w14:textId="050F0A8B" w:rsidR="00CE0DD5" w:rsidRPr="0006015C" w:rsidRDefault="00CE0DD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1.21 (1.14–1.30)</w:t>
            </w:r>
          </w:p>
        </w:tc>
        <w:tc>
          <w:tcPr>
            <w:tcW w:w="1251" w:type="dxa"/>
            <w:noWrap/>
            <w:hideMark/>
          </w:tcPr>
          <w:p w14:paraId="29A742AC" w14:textId="28CDB453" w:rsidR="00CE0DD5" w:rsidRPr="0006015C" w:rsidRDefault="00D53FD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5.86 × 10</w:t>
            </w:r>
            <w:r w:rsidRPr="0006015C">
              <w:rPr>
                <w:rFonts w:eastAsia="Times New Roman" w:cs="Times New Roman"/>
                <w:color w:val="000000"/>
                <w:sz w:val="18"/>
                <w:szCs w:val="18"/>
                <w:vertAlign w:val="superscript"/>
                <w:lang w:eastAsia="en-GB"/>
              </w:rPr>
              <w:t>-9</w:t>
            </w:r>
          </w:p>
        </w:tc>
        <w:tc>
          <w:tcPr>
            <w:tcW w:w="1041" w:type="dxa"/>
            <w:noWrap/>
            <w:vAlign w:val="center"/>
            <w:hideMark/>
          </w:tcPr>
          <w:p w14:paraId="10B5936F" w14:textId="77777777" w:rsidR="00CE0DD5" w:rsidRPr="0006015C" w:rsidRDefault="00CE0DD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479/4,388</w:t>
            </w:r>
          </w:p>
        </w:tc>
        <w:tc>
          <w:tcPr>
            <w:tcW w:w="1372" w:type="dxa"/>
            <w:noWrap/>
            <w:vAlign w:val="center"/>
            <w:hideMark/>
          </w:tcPr>
          <w:p w14:paraId="20E5BFB9" w14:textId="77777777" w:rsidR="00CE0DD5" w:rsidRPr="0006015C" w:rsidRDefault="00CE0DD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w:t>
            </w:r>
          </w:p>
        </w:tc>
        <w:tc>
          <w:tcPr>
            <w:tcW w:w="1416" w:type="dxa"/>
            <w:noWrap/>
            <w:vAlign w:val="center"/>
            <w:hideMark/>
          </w:tcPr>
          <w:p w14:paraId="28F8F11A" w14:textId="501240EA" w:rsidR="00CE0DD5" w:rsidRPr="0006015C" w:rsidRDefault="00CE0DD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1.24 (1.16–1.33)</w:t>
            </w:r>
          </w:p>
        </w:tc>
        <w:tc>
          <w:tcPr>
            <w:tcW w:w="1003" w:type="dxa"/>
            <w:noWrap/>
            <w:vAlign w:val="center"/>
            <w:hideMark/>
          </w:tcPr>
          <w:p w14:paraId="71464490" w14:textId="0A8FF0C4" w:rsidR="00CE0DD5" w:rsidRPr="0006015C" w:rsidRDefault="00D53FD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2.52 × 10</w:t>
            </w:r>
            <w:r w:rsidRPr="0006015C">
              <w:rPr>
                <w:rFonts w:eastAsia="Times New Roman" w:cs="Times New Roman"/>
                <w:color w:val="000000"/>
                <w:sz w:val="18"/>
                <w:szCs w:val="18"/>
                <w:vertAlign w:val="superscript"/>
                <w:lang w:eastAsia="en-GB"/>
              </w:rPr>
              <w:t>-9</w:t>
            </w:r>
          </w:p>
        </w:tc>
      </w:tr>
      <w:tr w:rsidR="00D53FD9" w:rsidRPr="0006015C" w14:paraId="22ED950D" w14:textId="77777777" w:rsidTr="002F2BD1">
        <w:trPr>
          <w:trHeight w:val="300"/>
          <w:jc w:val="center"/>
        </w:trPr>
        <w:tc>
          <w:tcPr>
            <w:cnfStyle w:val="001000000000" w:firstRow="0" w:lastRow="0" w:firstColumn="1" w:lastColumn="0" w:oddVBand="0" w:evenVBand="0" w:oddHBand="0" w:evenHBand="0" w:firstRowFirstColumn="0" w:firstRowLastColumn="0" w:lastRowFirstColumn="0" w:lastRowLastColumn="0"/>
            <w:tcW w:w="2825" w:type="dxa"/>
            <w:noWrap/>
            <w:vAlign w:val="center"/>
            <w:hideMark/>
          </w:tcPr>
          <w:p w14:paraId="257ABC87" w14:textId="77777777" w:rsidR="00557409" w:rsidRPr="0006015C" w:rsidRDefault="00557409" w:rsidP="007F3A2D">
            <w:pPr>
              <w:spacing w:line="360" w:lineRule="auto"/>
              <w:rPr>
                <w:rFonts w:eastAsia="Times New Roman" w:cs="Times New Roman"/>
                <w:color w:val="000000"/>
                <w:sz w:val="18"/>
                <w:szCs w:val="18"/>
                <w:lang w:eastAsia="en-GB"/>
              </w:rPr>
            </w:pPr>
            <w:r w:rsidRPr="0006015C">
              <w:rPr>
                <w:rFonts w:eastAsia="Times New Roman" w:cs="Times New Roman"/>
                <w:color w:val="000000"/>
                <w:sz w:val="18"/>
                <w:szCs w:val="18"/>
                <w:lang w:eastAsia="en-GB"/>
              </w:rPr>
              <w:t>Donor type</w:t>
            </w:r>
          </w:p>
        </w:tc>
        <w:tc>
          <w:tcPr>
            <w:tcW w:w="993" w:type="dxa"/>
            <w:noWrap/>
            <w:vAlign w:val="center"/>
            <w:hideMark/>
          </w:tcPr>
          <w:p w14:paraId="709F5C02" w14:textId="77777777"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Living</w:t>
            </w:r>
          </w:p>
        </w:tc>
        <w:tc>
          <w:tcPr>
            <w:tcW w:w="1134" w:type="dxa"/>
            <w:noWrap/>
            <w:vAlign w:val="center"/>
            <w:hideMark/>
          </w:tcPr>
          <w:p w14:paraId="2C99B82E" w14:textId="77777777"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480/4,411</w:t>
            </w:r>
          </w:p>
        </w:tc>
        <w:tc>
          <w:tcPr>
            <w:tcW w:w="1417" w:type="dxa"/>
            <w:noWrap/>
            <w:vAlign w:val="center"/>
            <w:hideMark/>
          </w:tcPr>
          <w:p w14:paraId="203B9581" w14:textId="77777777"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37/632</w:t>
            </w:r>
          </w:p>
        </w:tc>
        <w:tc>
          <w:tcPr>
            <w:tcW w:w="1418" w:type="dxa"/>
            <w:noWrap/>
            <w:vAlign w:val="center"/>
            <w:hideMark/>
          </w:tcPr>
          <w:p w14:paraId="28E332B5" w14:textId="4F144B38" w:rsidR="00557409" w:rsidRPr="0006015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Ref.</w:t>
            </w:r>
          </w:p>
        </w:tc>
        <w:tc>
          <w:tcPr>
            <w:tcW w:w="1251" w:type="dxa"/>
            <w:noWrap/>
            <w:vAlign w:val="center"/>
            <w:hideMark/>
          </w:tcPr>
          <w:p w14:paraId="2F1D101D" w14:textId="58969023" w:rsidR="00557409" w:rsidRPr="0006015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Ref.</w:t>
            </w:r>
          </w:p>
        </w:tc>
        <w:tc>
          <w:tcPr>
            <w:tcW w:w="1041" w:type="dxa"/>
            <w:noWrap/>
            <w:vAlign w:val="center"/>
            <w:hideMark/>
          </w:tcPr>
          <w:p w14:paraId="08FFF185" w14:textId="77777777"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479/4,388</w:t>
            </w:r>
          </w:p>
        </w:tc>
        <w:tc>
          <w:tcPr>
            <w:tcW w:w="1372" w:type="dxa"/>
            <w:noWrap/>
            <w:vAlign w:val="center"/>
            <w:hideMark/>
          </w:tcPr>
          <w:p w14:paraId="5DE12BA5" w14:textId="77777777"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37/619</w:t>
            </w:r>
          </w:p>
        </w:tc>
        <w:tc>
          <w:tcPr>
            <w:tcW w:w="1416" w:type="dxa"/>
            <w:noWrap/>
            <w:vAlign w:val="center"/>
            <w:hideMark/>
          </w:tcPr>
          <w:p w14:paraId="225438DA" w14:textId="23248507" w:rsidR="00557409" w:rsidRPr="0006015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Ref.</w:t>
            </w:r>
          </w:p>
        </w:tc>
        <w:tc>
          <w:tcPr>
            <w:tcW w:w="1003" w:type="dxa"/>
            <w:noWrap/>
            <w:vAlign w:val="center"/>
            <w:hideMark/>
          </w:tcPr>
          <w:p w14:paraId="1415C9DB" w14:textId="4B10301D" w:rsidR="00557409" w:rsidRPr="0006015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Ref.</w:t>
            </w:r>
          </w:p>
        </w:tc>
      </w:tr>
      <w:tr w:rsidR="00D53FD9" w:rsidRPr="0006015C" w14:paraId="37EA534A" w14:textId="77777777" w:rsidTr="002F2BD1">
        <w:trPr>
          <w:trHeight w:val="300"/>
          <w:jc w:val="center"/>
        </w:trPr>
        <w:tc>
          <w:tcPr>
            <w:cnfStyle w:val="001000000000" w:firstRow="0" w:lastRow="0" w:firstColumn="1" w:lastColumn="0" w:oddVBand="0" w:evenVBand="0" w:oddHBand="0" w:evenHBand="0" w:firstRowFirstColumn="0" w:firstRowLastColumn="0" w:lastRowFirstColumn="0" w:lastRowLastColumn="0"/>
            <w:tcW w:w="2825" w:type="dxa"/>
            <w:noWrap/>
            <w:vAlign w:val="center"/>
          </w:tcPr>
          <w:p w14:paraId="0F7BD9EF" w14:textId="65337822" w:rsidR="00557409" w:rsidRPr="0006015C" w:rsidRDefault="00557409" w:rsidP="007F3A2D">
            <w:pPr>
              <w:spacing w:line="360" w:lineRule="auto"/>
              <w:rPr>
                <w:rFonts w:eastAsia="Times New Roman" w:cs="Times New Roman"/>
                <w:color w:val="000000"/>
                <w:sz w:val="18"/>
                <w:szCs w:val="18"/>
                <w:lang w:eastAsia="en-GB"/>
              </w:rPr>
            </w:pPr>
          </w:p>
        </w:tc>
        <w:tc>
          <w:tcPr>
            <w:tcW w:w="993" w:type="dxa"/>
            <w:noWrap/>
            <w:vAlign w:val="center"/>
            <w:hideMark/>
          </w:tcPr>
          <w:p w14:paraId="1D6460DF" w14:textId="77777777"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DBD</w:t>
            </w:r>
          </w:p>
        </w:tc>
        <w:tc>
          <w:tcPr>
            <w:tcW w:w="1134" w:type="dxa"/>
            <w:noWrap/>
            <w:vAlign w:val="center"/>
          </w:tcPr>
          <w:p w14:paraId="2EE50395" w14:textId="136A2771"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417" w:type="dxa"/>
            <w:noWrap/>
            <w:vAlign w:val="center"/>
            <w:hideMark/>
          </w:tcPr>
          <w:p w14:paraId="22C74A4A" w14:textId="77777777"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385/3,161</w:t>
            </w:r>
          </w:p>
        </w:tc>
        <w:tc>
          <w:tcPr>
            <w:tcW w:w="1418" w:type="dxa"/>
            <w:noWrap/>
            <w:vAlign w:val="center"/>
            <w:hideMark/>
          </w:tcPr>
          <w:p w14:paraId="5279C695" w14:textId="769E7CD8"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1</w:t>
            </w:r>
            <w:r w:rsidR="009B49E1" w:rsidRPr="0006015C">
              <w:rPr>
                <w:rFonts w:eastAsia="Times New Roman" w:cs="Times New Roman"/>
                <w:color w:val="000000"/>
                <w:sz w:val="18"/>
                <w:szCs w:val="18"/>
                <w:lang w:eastAsia="en-GB"/>
              </w:rPr>
              <w:t>.</w:t>
            </w:r>
            <w:r w:rsidRPr="0006015C">
              <w:rPr>
                <w:rFonts w:eastAsia="Times New Roman" w:cs="Times New Roman"/>
                <w:color w:val="000000"/>
                <w:sz w:val="18"/>
                <w:szCs w:val="18"/>
                <w:lang w:eastAsia="en-GB"/>
              </w:rPr>
              <w:t>96 (1</w:t>
            </w:r>
            <w:r w:rsidR="009B49E1" w:rsidRPr="0006015C">
              <w:rPr>
                <w:rFonts w:eastAsia="Times New Roman" w:cs="Times New Roman"/>
                <w:color w:val="000000"/>
                <w:sz w:val="18"/>
                <w:szCs w:val="18"/>
                <w:lang w:eastAsia="en-GB"/>
              </w:rPr>
              <w:t>.</w:t>
            </w:r>
            <w:r w:rsidRPr="0006015C">
              <w:rPr>
                <w:rFonts w:eastAsia="Times New Roman" w:cs="Times New Roman"/>
                <w:color w:val="000000"/>
                <w:sz w:val="18"/>
                <w:szCs w:val="18"/>
                <w:lang w:eastAsia="en-GB"/>
              </w:rPr>
              <w:t>40–2</w:t>
            </w:r>
            <w:r w:rsidR="009B49E1" w:rsidRPr="0006015C">
              <w:rPr>
                <w:rFonts w:eastAsia="Times New Roman" w:cs="Times New Roman"/>
                <w:color w:val="000000"/>
                <w:sz w:val="18"/>
                <w:szCs w:val="18"/>
                <w:lang w:eastAsia="en-GB"/>
              </w:rPr>
              <w:t>.</w:t>
            </w:r>
            <w:r w:rsidRPr="0006015C">
              <w:rPr>
                <w:rFonts w:eastAsia="Times New Roman" w:cs="Times New Roman"/>
                <w:color w:val="000000"/>
                <w:sz w:val="18"/>
                <w:szCs w:val="18"/>
                <w:lang w:eastAsia="en-GB"/>
              </w:rPr>
              <w:t>74)</w:t>
            </w:r>
          </w:p>
        </w:tc>
        <w:tc>
          <w:tcPr>
            <w:tcW w:w="1251" w:type="dxa"/>
            <w:noWrap/>
            <w:vAlign w:val="center"/>
            <w:hideMark/>
          </w:tcPr>
          <w:p w14:paraId="24C429D5" w14:textId="687B0193" w:rsidR="00557409" w:rsidRPr="0006015C" w:rsidRDefault="00D53FD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9.75 × 10</w:t>
            </w:r>
            <w:r w:rsidRPr="0006015C">
              <w:rPr>
                <w:rFonts w:eastAsia="Times New Roman" w:cs="Times New Roman"/>
                <w:color w:val="000000"/>
                <w:sz w:val="18"/>
                <w:szCs w:val="18"/>
                <w:vertAlign w:val="superscript"/>
                <w:lang w:eastAsia="en-GB"/>
              </w:rPr>
              <w:t>-5</w:t>
            </w:r>
          </w:p>
        </w:tc>
        <w:tc>
          <w:tcPr>
            <w:tcW w:w="1041" w:type="dxa"/>
            <w:noWrap/>
            <w:vAlign w:val="center"/>
          </w:tcPr>
          <w:p w14:paraId="148592D8" w14:textId="6A77D731"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372" w:type="dxa"/>
            <w:noWrap/>
            <w:vAlign w:val="center"/>
            <w:hideMark/>
          </w:tcPr>
          <w:p w14:paraId="635F205D" w14:textId="77777777"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384/3,152</w:t>
            </w:r>
          </w:p>
        </w:tc>
        <w:tc>
          <w:tcPr>
            <w:tcW w:w="1416" w:type="dxa"/>
            <w:noWrap/>
            <w:vAlign w:val="center"/>
            <w:hideMark/>
          </w:tcPr>
          <w:p w14:paraId="53697CF4" w14:textId="299AC427"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1</w:t>
            </w:r>
            <w:r w:rsidR="009B49E1" w:rsidRPr="0006015C">
              <w:rPr>
                <w:rFonts w:eastAsia="Times New Roman" w:cs="Times New Roman"/>
                <w:color w:val="000000"/>
                <w:sz w:val="18"/>
                <w:szCs w:val="18"/>
                <w:lang w:eastAsia="en-GB"/>
              </w:rPr>
              <w:t>.</w:t>
            </w:r>
            <w:r w:rsidRPr="0006015C">
              <w:rPr>
                <w:rFonts w:eastAsia="Times New Roman" w:cs="Times New Roman"/>
                <w:color w:val="000000"/>
                <w:sz w:val="18"/>
                <w:szCs w:val="18"/>
                <w:lang w:eastAsia="en-GB"/>
              </w:rPr>
              <w:t>43 (0</w:t>
            </w:r>
            <w:r w:rsidR="009B49E1" w:rsidRPr="0006015C">
              <w:rPr>
                <w:rFonts w:eastAsia="Times New Roman" w:cs="Times New Roman"/>
                <w:color w:val="000000"/>
                <w:sz w:val="18"/>
                <w:szCs w:val="18"/>
                <w:lang w:eastAsia="en-GB"/>
              </w:rPr>
              <w:t>.</w:t>
            </w:r>
            <w:r w:rsidRPr="0006015C">
              <w:rPr>
                <w:rFonts w:eastAsia="Times New Roman" w:cs="Times New Roman"/>
                <w:color w:val="000000"/>
                <w:sz w:val="18"/>
                <w:szCs w:val="18"/>
                <w:lang w:eastAsia="en-GB"/>
              </w:rPr>
              <w:t>94–2</w:t>
            </w:r>
            <w:r w:rsidR="009B49E1" w:rsidRPr="0006015C">
              <w:rPr>
                <w:rFonts w:eastAsia="Times New Roman" w:cs="Times New Roman"/>
                <w:color w:val="000000"/>
                <w:sz w:val="18"/>
                <w:szCs w:val="18"/>
                <w:lang w:eastAsia="en-GB"/>
              </w:rPr>
              <w:t>.</w:t>
            </w:r>
            <w:r w:rsidRPr="0006015C">
              <w:rPr>
                <w:rFonts w:eastAsia="Times New Roman" w:cs="Times New Roman"/>
                <w:color w:val="000000"/>
                <w:sz w:val="18"/>
                <w:szCs w:val="18"/>
                <w:lang w:eastAsia="en-GB"/>
              </w:rPr>
              <w:t>17)</w:t>
            </w:r>
          </w:p>
        </w:tc>
        <w:tc>
          <w:tcPr>
            <w:tcW w:w="1003" w:type="dxa"/>
            <w:noWrap/>
            <w:vAlign w:val="center"/>
            <w:hideMark/>
          </w:tcPr>
          <w:p w14:paraId="10EB8F6F" w14:textId="3163D440"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0</w:t>
            </w:r>
            <w:r w:rsidR="009B49E1" w:rsidRPr="0006015C">
              <w:rPr>
                <w:rFonts w:eastAsia="Times New Roman" w:cs="Times New Roman"/>
                <w:color w:val="000000"/>
                <w:sz w:val="18"/>
                <w:szCs w:val="18"/>
                <w:lang w:eastAsia="en-GB"/>
              </w:rPr>
              <w:t>.</w:t>
            </w:r>
            <w:r w:rsidRPr="0006015C">
              <w:rPr>
                <w:rFonts w:eastAsia="Times New Roman" w:cs="Times New Roman"/>
                <w:color w:val="000000"/>
                <w:sz w:val="18"/>
                <w:szCs w:val="18"/>
                <w:lang w:eastAsia="en-GB"/>
              </w:rPr>
              <w:t>098</w:t>
            </w:r>
          </w:p>
        </w:tc>
      </w:tr>
      <w:tr w:rsidR="00D53FD9" w:rsidRPr="0006015C" w14:paraId="68E73865" w14:textId="77777777" w:rsidTr="002F2BD1">
        <w:trPr>
          <w:trHeight w:val="300"/>
          <w:jc w:val="center"/>
        </w:trPr>
        <w:tc>
          <w:tcPr>
            <w:cnfStyle w:val="001000000000" w:firstRow="0" w:lastRow="0" w:firstColumn="1" w:lastColumn="0" w:oddVBand="0" w:evenVBand="0" w:oddHBand="0" w:evenHBand="0" w:firstRowFirstColumn="0" w:firstRowLastColumn="0" w:lastRowFirstColumn="0" w:lastRowLastColumn="0"/>
            <w:tcW w:w="2825" w:type="dxa"/>
            <w:noWrap/>
            <w:vAlign w:val="center"/>
          </w:tcPr>
          <w:p w14:paraId="338A200A" w14:textId="02949B34" w:rsidR="00557409" w:rsidRPr="0006015C" w:rsidRDefault="00557409" w:rsidP="007F3A2D">
            <w:pPr>
              <w:spacing w:line="360" w:lineRule="auto"/>
              <w:rPr>
                <w:rFonts w:eastAsia="Times New Roman" w:cs="Times New Roman"/>
                <w:color w:val="000000"/>
                <w:sz w:val="18"/>
                <w:szCs w:val="18"/>
                <w:lang w:eastAsia="en-GB"/>
              </w:rPr>
            </w:pPr>
          </w:p>
        </w:tc>
        <w:tc>
          <w:tcPr>
            <w:tcW w:w="993" w:type="dxa"/>
            <w:noWrap/>
            <w:vAlign w:val="center"/>
            <w:hideMark/>
          </w:tcPr>
          <w:p w14:paraId="54FBF786" w14:textId="77777777"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DCD</w:t>
            </w:r>
          </w:p>
        </w:tc>
        <w:tc>
          <w:tcPr>
            <w:tcW w:w="1134" w:type="dxa"/>
            <w:noWrap/>
            <w:vAlign w:val="center"/>
          </w:tcPr>
          <w:p w14:paraId="6153ABFD" w14:textId="12875509"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417" w:type="dxa"/>
            <w:noWrap/>
            <w:vAlign w:val="center"/>
            <w:hideMark/>
          </w:tcPr>
          <w:p w14:paraId="61FA00B8" w14:textId="77777777"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58/618</w:t>
            </w:r>
          </w:p>
        </w:tc>
        <w:tc>
          <w:tcPr>
            <w:tcW w:w="1418" w:type="dxa"/>
            <w:noWrap/>
            <w:vAlign w:val="center"/>
            <w:hideMark/>
          </w:tcPr>
          <w:p w14:paraId="4EFA7DB1" w14:textId="76D20995"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1</w:t>
            </w:r>
            <w:r w:rsidR="009B49E1" w:rsidRPr="0006015C">
              <w:rPr>
                <w:rFonts w:eastAsia="Times New Roman" w:cs="Times New Roman"/>
                <w:color w:val="000000"/>
                <w:sz w:val="18"/>
                <w:szCs w:val="18"/>
                <w:lang w:eastAsia="en-GB"/>
              </w:rPr>
              <w:t>.</w:t>
            </w:r>
            <w:r w:rsidRPr="0006015C">
              <w:rPr>
                <w:rFonts w:eastAsia="Times New Roman" w:cs="Times New Roman"/>
                <w:color w:val="000000"/>
                <w:sz w:val="18"/>
                <w:szCs w:val="18"/>
                <w:lang w:eastAsia="en-GB"/>
              </w:rPr>
              <w:t>50 (0</w:t>
            </w:r>
            <w:r w:rsidR="009B49E1" w:rsidRPr="0006015C">
              <w:rPr>
                <w:rFonts w:eastAsia="Times New Roman" w:cs="Times New Roman"/>
                <w:color w:val="000000"/>
                <w:sz w:val="18"/>
                <w:szCs w:val="18"/>
                <w:lang w:eastAsia="en-GB"/>
              </w:rPr>
              <w:t>.</w:t>
            </w:r>
            <w:r w:rsidRPr="0006015C">
              <w:rPr>
                <w:rFonts w:eastAsia="Times New Roman" w:cs="Times New Roman"/>
                <w:color w:val="000000"/>
                <w:sz w:val="18"/>
                <w:szCs w:val="18"/>
                <w:lang w:eastAsia="en-GB"/>
              </w:rPr>
              <w:t>99–2</w:t>
            </w:r>
            <w:r w:rsidR="009B49E1" w:rsidRPr="0006015C">
              <w:rPr>
                <w:rFonts w:eastAsia="Times New Roman" w:cs="Times New Roman"/>
                <w:color w:val="000000"/>
                <w:sz w:val="18"/>
                <w:szCs w:val="18"/>
                <w:lang w:eastAsia="en-GB"/>
              </w:rPr>
              <w:t>.</w:t>
            </w:r>
            <w:r w:rsidRPr="0006015C">
              <w:rPr>
                <w:rFonts w:eastAsia="Times New Roman" w:cs="Times New Roman"/>
                <w:color w:val="000000"/>
                <w:sz w:val="18"/>
                <w:szCs w:val="18"/>
                <w:lang w:eastAsia="en-GB"/>
              </w:rPr>
              <w:t>27)</w:t>
            </w:r>
          </w:p>
        </w:tc>
        <w:tc>
          <w:tcPr>
            <w:tcW w:w="1251" w:type="dxa"/>
            <w:noWrap/>
            <w:vAlign w:val="center"/>
            <w:hideMark/>
          </w:tcPr>
          <w:p w14:paraId="7AB4C9E3" w14:textId="72C681F3"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0</w:t>
            </w:r>
            <w:r w:rsidR="009B49E1" w:rsidRPr="0006015C">
              <w:rPr>
                <w:rFonts w:eastAsia="Times New Roman" w:cs="Times New Roman"/>
                <w:color w:val="000000"/>
                <w:sz w:val="18"/>
                <w:szCs w:val="18"/>
                <w:lang w:eastAsia="en-GB"/>
              </w:rPr>
              <w:t>.</w:t>
            </w:r>
            <w:r w:rsidRPr="0006015C">
              <w:rPr>
                <w:rFonts w:eastAsia="Times New Roman" w:cs="Times New Roman"/>
                <w:color w:val="000000"/>
                <w:sz w:val="18"/>
                <w:szCs w:val="18"/>
                <w:lang w:eastAsia="en-GB"/>
              </w:rPr>
              <w:t>053</w:t>
            </w:r>
          </w:p>
        </w:tc>
        <w:tc>
          <w:tcPr>
            <w:tcW w:w="1041" w:type="dxa"/>
            <w:noWrap/>
            <w:vAlign w:val="center"/>
          </w:tcPr>
          <w:p w14:paraId="04B1FA76" w14:textId="6CD5F2C3"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372" w:type="dxa"/>
            <w:noWrap/>
            <w:vAlign w:val="center"/>
            <w:hideMark/>
          </w:tcPr>
          <w:p w14:paraId="3AE2310C" w14:textId="77777777"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58/617</w:t>
            </w:r>
          </w:p>
        </w:tc>
        <w:tc>
          <w:tcPr>
            <w:tcW w:w="1416" w:type="dxa"/>
            <w:noWrap/>
            <w:vAlign w:val="center"/>
            <w:hideMark/>
          </w:tcPr>
          <w:p w14:paraId="12806B56" w14:textId="022F2CC3"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1</w:t>
            </w:r>
            <w:r w:rsidR="009B49E1" w:rsidRPr="0006015C">
              <w:rPr>
                <w:rFonts w:eastAsia="Times New Roman" w:cs="Times New Roman"/>
                <w:color w:val="000000"/>
                <w:sz w:val="18"/>
                <w:szCs w:val="18"/>
                <w:lang w:eastAsia="en-GB"/>
              </w:rPr>
              <w:t>.</w:t>
            </w:r>
            <w:r w:rsidRPr="0006015C">
              <w:rPr>
                <w:rFonts w:eastAsia="Times New Roman" w:cs="Times New Roman"/>
                <w:color w:val="000000"/>
                <w:sz w:val="18"/>
                <w:szCs w:val="18"/>
                <w:lang w:eastAsia="en-GB"/>
              </w:rPr>
              <w:t>22 (0</w:t>
            </w:r>
            <w:r w:rsidR="009B49E1" w:rsidRPr="0006015C">
              <w:rPr>
                <w:rFonts w:eastAsia="Times New Roman" w:cs="Times New Roman"/>
                <w:color w:val="000000"/>
                <w:sz w:val="18"/>
                <w:szCs w:val="18"/>
                <w:lang w:eastAsia="en-GB"/>
              </w:rPr>
              <w:t>.</w:t>
            </w:r>
            <w:r w:rsidRPr="0006015C">
              <w:rPr>
                <w:rFonts w:eastAsia="Times New Roman" w:cs="Times New Roman"/>
                <w:color w:val="000000"/>
                <w:sz w:val="18"/>
                <w:szCs w:val="18"/>
                <w:lang w:eastAsia="en-GB"/>
              </w:rPr>
              <w:t>76–1</w:t>
            </w:r>
            <w:r w:rsidR="009B49E1" w:rsidRPr="0006015C">
              <w:rPr>
                <w:rFonts w:eastAsia="Times New Roman" w:cs="Times New Roman"/>
                <w:color w:val="000000"/>
                <w:sz w:val="18"/>
                <w:szCs w:val="18"/>
                <w:lang w:eastAsia="en-GB"/>
              </w:rPr>
              <w:t>.</w:t>
            </w:r>
            <w:r w:rsidRPr="0006015C">
              <w:rPr>
                <w:rFonts w:eastAsia="Times New Roman" w:cs="Times New Roman"/>
                <w:color w:val="000000"/>
                <w:sz w:val="18"/>
                <w:szCs w:val="18"/>
                <w:lang w:eastAsia="en-GB"/>
              </w:rPr>
              <w:t>98)</w:t>
            </w:r>
          </w:p>
        </w:tc>
        <w:tc>
          <w:tcPr>
            <w:tcW w:w="1003" w:type="dxa"/>
            <w:noWrap/>
            <w:vAlign w:val="center"/>
            <w:hideMark/>
          </w:tcPr>
          <w:p w14:paraId="63A26AC7" w14:textId="66D4EF0F"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0</w:t>
            </w:r>
            <w:r w:rsidR="009B49E1" w:rsidRPr="0006015C">
              <w:rPr>
                <w:rFonts w:eastAsia="Times New Roman" w:cs="Times New Roman"/>
                <w:color w:val="000000"/>
                <w:sz w:val="18"/>
                <w:szCs w:val="18"/>
                <w:lang w:eastAsia="en-GB"/>
              </w:rPr>
              <w:t>.</w:t>
            </w:r>
            <w:r w:rsidRPr="0006015C">
              <w:rPr>
                <w:rFonts w:eastAsia="Times New Roman" w:cs="Times New Roman"/>
                <w:color w:val="000000"/>
                <w:sz w:val="18"/>
                <w:szCs w:val="18"/>
                <w:lang w:eastAsia="en-GB"/>
              </w:rPr>
              <w:t>41</w:t>
            </w:r>
          </w:p>
        </w:tc>
      </w:tr>
      <w:tr w:rsidR="00D53FD9" w:rsidRPr="0006015C" w14:paraId="5EE300CD" w14:textId="77777777" w:rsidTr="002F2BD1">
        <w:trPr>
          <w:trHeight w:val="300"/>
          <w:jc w:val="center"/>
        </w:trPr>
        <w:tc>
          <w:tcPr>
            <w:cnfStyle w:val="001000000000" w:firstRow="0" w:lastRow="0" w:firstColumn="1" w:lastColumn="0" w:oddVBand="0" w:evenVBand="0" w:oddHBand="0" w:evenHBand="0" w:firstRowFirstColumn="0" w:firstRowLastColumn="0" w:lastRowFirstColumn="0" w:lastRowLastColumn="0"/>
            <w:tcW w:w="2825" w:type="dxa"/>
            <w:noWrap/>
            <w:vAlign w:val="center"/>
            <w:hideMark/>
          </w:tcPr>
          <w:p w14:paraId="096B6E4F" w14:textId="77777777" w:rsidR="00557409" w:rsidRPr="0006015C" w:rsidRDefault="00557409" w:rsidP="007F3A2D">
            <w:pPr>
              <w:spacing w:line="360" w:lineRule="auto"/>
              <w:rPr>
                <w:rFonts w:eastAsia="Times New Roman" w:cs="Times New Roman"/>
                <w:color w:val="000000"/>
                <w:sz w:val="18"/>
                <w:szCs w:val="18"/>
                <w:lang w:eastAsia="en-GB"/>
              </w:rPr>
            </w:pPr>
            <w:r w:rsidRPr="0006015C">
              <w:rPr>
                <w:rFonts w:eastAsia="Times New Roman" w:cs="Times New Roman"/>
                <w:color w:val="000000"/>
                <w:sz w:val="18"/>
                <w:szCs w:val="18"/>
                <w:lang w:eastAsia="en-GB"/>
              </w:rPr>
              <w:t>Donor–recipient CMV serostatus</w:t>
            </w:r>
          </w:p>
        </w:tc>
        <w:tc>
          <w:tcPr>
            <w:tcW w:w="993" w:type="dxa"/>
            <w:noWrap/>
            <w:vAlign w:val="center"/>
            <w:hideMark/>
          </w:tcPr>
          <w:p w14:paraId="79738A96" w14:textId="77777777"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D−/R−</w:t>
            </w:r>
          </w:p>
        </w:tc>
        <w:tc>
          <w:tcPr>
            <w:tcW w:w="1134" w:type="dxa"/>
            <w:noWrap/>
            <w:vAlign w:val="center"/>
            <w:hideMark/>
          </w:tcPr>
          <w:p w14:paraId="60989E0B" w14:textId="77777777"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480/4,411</w:t>
            </w:r>
          </w:p>
        </w:tc>
        <w:tc>
          <w:tcPr>
            <w:tcW w:w="1417" w:type="dxa"/>
            <w:noWrap/>
            <w:vAlign w:val="center"/>
            <w:hideMark/>
          </w:tcPr>
          <w:p w14:paraId="59F3E815" w14:textId="77777777"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71/832</w:t>
            </w:r>
          </w:p>
        </w:tc>
        <w:tc>
          <w:tcPr>
            <w:tcW w:w="1418" w:type="dxa"/>
            <w:noWrap/>
            <w:vAlign w:val="center"/>
            <w:hideMark/>
          </w:tcPr>
          <w:p w14:paraId="7D1B5088" w14:textId="70B312A2" w:rsidR="00557409" w:rsidRPr="0006015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Ref.</w:t>
            </w:r>
            <w:r w:rsidR="009B49E1" w:rsidRPr="0006015C">
              <w:rPr>
                <w:rFonts w:eastAsia="Times New Roman" w:cs="Times New Roman"/>
                <w:color w:val="000000"/>
                <w:sz w:val="18"/>
                <w:szCs w:val="18"/>
                <w:lang w:eastAsia="en-GB"/>
              </w:rPr>
              <w:t>.</w:t>
            </w:r>
          </w:p>
        </w:tc>
        <w:tc>
          <w:tcPr>
            <w:tcW w:w="1251" w:type="dxa"/>
            <w:noWrap/>
            <w:vAlign w:val="center"/>
            <w:hideMark/>
          </w:tcPr>
          <w:p w14:paraId="1BED689F" w14:textId="1B3B438C" w:rsidR="00557409" w:rsidRPr="0006015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Ref.</w:t>
            </w:r>
            <w:r w:rsidR="009B49E1" w:rsidRPr="0006015C">
              <w:rPr>
                <w:rFonts w:eastAsia="Times New Roman" w:cs="Times New Roman"/>
                <w:color w:val="000000"/>
                <w:sz w:val="18"/>
                <w:szCs w:val="18"/>
                <w:lang w:eastAsia="en-GB"/>
              </w:rPr>
              <w:t>.</w:t>
            </w:r>
          </w:p>
        </w:tc>
        <w:tc>
          <w:tcPr>
            <w:tcW w:w="1041" w:type="dxa"/>
            <w:noWrap/>
            <w:vAlign w:val="center"/>
            <w:hideMark/>
          </w:tcPr>
          <w:p w14:paraId="7DD34EEF" w14:textId="77777777"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479/4,388</w:t>
            </w:r>
          </w:p>
        </w:tc>
        <w:tc>
          <w:tcPr>
            <w:tcW w:w="1372" w:type="dxa"/>
            <w:noWrap/>
            <w:vAlign w:val="center"/>
            <w:hideMark/>
          </w:tcPr>
          <w:p w14:paraId="2E88295A" w14:textId="77777777"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70/828</w:t>
            </w:r>
          </w:p>
        </w:tc>
        <w:tc>
          <w:tcPr>
            <w:tcW w:w="1416" w:type="dxa"/>
            <w:noWrap/>
            <w:vAlign w:val="center"/>
            <w:hideMark/>
          </w:tcPr>
          <w:p w14:paraId="38A7255B" w14:textId="17E8C63B" w:rsidR="00557409" w:rsidRPr="0006015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Ref.</w:t>
            </w:r>
            <w:r w:rsidR="009B49E1" w:rsidRPr="0006015C">
              <w:rPr>
                <w:rFonts w:eastAsia="Times New Roman" w:cs="Times New Roman"/>
                <w:color w:val="000000"/>
                <w:sz w:val="18"/>
                <w:szCs w:val="18"/>
                <w:lang w:eastAsia="en-GB"/>
              </w:rPr>
              <w:t>.</w:t>
            </w:r>
          </w:p>
        </w:tc>
        <w:tc>
          <w:tcPr>
            <w:tcW w:w="1003" w:type="dxa"/>
            <w:noWrap/>
            <w:vAlign w:val="center"/>
            <w:hideMark/>
          </w:tcPr>
          <w:p w14:paraId="7F50EEB8" w14:textId="024A47F6" w:rsidR="00557409" w:rsidRPr="0006015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Ref.</w:t>
            </w:r>
            <w:r w:rsidR="009B49E1" w:rsidRPr="0006015C">
              <w:rPr>
                <w:rFonts w:eastAsia="Times New Roman" w:cs="Times New Roman"/>
                <w:color w:val="000000"/>
                <w:sz w:val="18"/>
                <w:szCs w:val="18"/>
                <w:lang w:eastAsia="en-GB"/>
              </w:rPr>
              <w:t>.</w:t>
            </w:r>
          </w:p>
        </w:tc>
      </w:tr>
      <w:tr w:rsidR="00D53FD9" w:rsidRPr="0006015C" w14:paraId="31BD2E31" w14:textId="77777777" w:rsidTr="002F2BD1">
        <w:trPr>
          <w:trHeight w:val="300"/>
          <w:jc w:val="center"/>
        </w:trPr>
        <w:tc>
          <w:tcPr>
            <w:cnfStyle w:val="001000000000" w:firstRow="0" w:lastRow="0" w:firstColumn="1" w:lastColumn="0" w:oddVBand="0" w:evenVBand="0" w:oddHBand="0" w:evenHBand="0" w:firstRowFirstColumn="0" w:firstRowLastColumn="0" w:lastRowFirstColumn="0" w:lastRowLastColumn="0"/>
            <w:tcW w:w="2825" w:type="dxa"/>
            <w:noWrap/>
            <w:vAlign w:val="center"/>
          </w:tcPr>
          <w:p w14:paraId="45A2B155" w14:textId="1A12CE1E" w:rsidR="00CE0DD5" w:rsidRPr="0006015C" w:rsidRDefault="00CE0DD5" w:rsidP="007F3A2D">
            <w:pPr>
              <w:spacing w:line="360" w:lineRule="auto"/>
              <w:rPr>
                <w:rFonts w:eastAsia="Times New Roman" w:cs="Times New Roman"/>
                <w:color w:val="000000"/>
                <w:sz w:val="18"/>
                <w:szCs w:val="18"/>
                <w:lang w:eastAsia="en-GB"/>
              </w:rPr>
            </w:pPr>
          </w:p>
        </w:tc>
        <w:tc>
          <w:tcPr>
            <w:tcW w:w="993" w:type="dxa"/>
            <w:noWrap/>
            <w:vAlign w:val="center"/>
            <w:hideMark/>
          </w:tcPr>
          <w:p w14:paraId="0D79E332" w14:textId="77777777" w:rsidR="00CE0DD5" w:rsidRPr="0006015C" w:rsidRDefault="00CE0DD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D+/R+</w:t>
            </w:r>
          </w:p>
        </w:tc>
        <w:tc>
          <w:tcPr>
            <w:tcW w:w="1134" w:type="dxa"/>
            <w:noWrap/>
            <w:vAlign w:val="center"/>
          </w:tcPr>
          <w:p w14:paraId="180DBC6C" w14:textId="66CF2164" w:rsidR="00CE0DD5" w:rsidRPr="0006015C" w:rsidRDefault="00CE0DD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417" w:type="dxa"/>
            <w:noWrap/>
            <w:vAlign w:val="center"/>
            <w:hideMark/>
          </w:tcPr>
          <w:p w14:paraId="62024B1B" w14:textId="77777777" w:rsidR="00CE0DD5" w:rsidRPr="0006015C" w:rsidRDefault="00CE0DD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179/1,673</w:t>
            </w:r>
          </w:p>
        </w:tc>
        <w:tc>
          <w:tcPr>
            <w:tcW w:w="1418" w:type="dxa"/>
            <w:noWrap/>
            <w:vAlign w:val="center"/>
            <w:hideMark/>
          </w:tcPr>
          <w:p w14:paraId="0D083CC7" w14:textId="1AD66A7E" w:rsidR="00CE0DD5" w:rsidRPr="0006015C" w:rsidRDefault="00CE0DD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1.60 (1.22–2.12)</w:t>
            </w:r>
          </w:p>
        </w:tc>
        <w:tc>
          <w:tcPr>
            <w:tcW w:w="1251" w:type="dxa"/>
            <w:noWrap/>
            <w:hideMark/>
          </w:tcPr>
          <w:p w14:paraId="10105C56" w14:textId="24ABE21A" w:rsidR="00CE0DD5" w:rsidRPr="0006015C" w:rsidRDefault="00D53FD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8.05 × 10</w:t>
            </w:r>
            <w:r w:rsidRPr="0006015C">
              <w:rPr>
                <w:rFonts w:eastAsia="Times New Roman" w:cs="Times New Roman"/>
                <w:color w:val="000000"/>
                <w:sz w:val="18"/>
                <w:szCs w:val="18"/>
                <w:vertAlign w:val="superscript"/>
                <w:lang w:eastAsia="en-GB"/>
              </w:rPr>
              <w:t>-4</w:t>
            </w:r>
          </w:p>
        </w:tc>
        <w:tc>
          <w:tcPr>
            <w:tcW w:w="1041" w:type="dxa"/>
            <w:noWrap/>
            <w:vAlign w:val="center"/>
          </w:tcPr>
          <w:p w14:paraId="5EB31200" w14:textId="3340F197" w:rsidR="00CE0DD5" w:rsidRPr="0006015C" w:rsidRDefault="00CE0DD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372" w:type="dxa"/>
            <w:noWrap/>
            <w:vAlign w:val="center"/>
            <w:hideMark/>
          </w:tcPr>
          <w:p w14:paraId="16C68423" w14:textId="77777777" w:rsidR="00CE0DD5" w:rsidRPr="0006015C" w:rsidRDefault="00CE0DD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179/1,663</w:t>
            </w:r>
          </w:p>
        </w:tc>
        <w:tc>
          <w:tcPr>
            <w:tcW w:w="1416" w:type="dxa"/>
            <w:noWrap/>
            <w:vAlign w:val="center"/>
            <w:hideMark/>
          </w:tcPr>
          <w:p w14:paraId="58C7E909" w14:textId="2904DB66" w:rsidR="00CE0DD5" w:rsidRPr="0006015C" w:rsidRDefault="00CE0DD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1.56 (1.17–2.07)</w:t>
            </w:r>
          </w:p>
        </w:tc>
        <w:tc>
          <w:tcPr>
            <w:tcW w:w="1003" w:type="dxa"/>
            <w:noWrap/>
            <w:vAlign w:val="center"/>
            <w:hideMark/>
          </w:tcPr>
          <w:p w14:paraId="0843F290" w14:textId="3A61A0BC" w:rsidR="00CE0DD5" w:rsidRPr="0006015C" w:rsidRDefault="00CE0DD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0.0025</w:t>
            </w:r>
          </w:p>
        </w:tc>
      </w:tr>
      <w:tr w:rsidR="00D53FD9" w:rsidRPr="0006015C" w14:paraId="4363AA93" w14:textId="77777777" w:rsidTr="002F2BD1">
        <w:trPr>
          <w:trHeight w:val="300"/>
          <w:jc w:val="center"/>
        </w:trPr>
        <w:tc>
          <w:tcPr>
            <w:cnfStyle w:val="001000000000" w:firstRow="0" w:lastRow="0" w:firstColumn="1" w:lastColumn="0" w:oddVBand="0" w:evenVBand="0" w:oddHBand="0" w:evenHBand="0" w:firstRowFirstColumn="0" w:firstRowLastColumn="0" w:lastRowFirstColumn="0" w:lastRowLastColumn="0"/>
            <w:tcW w:w="2825" w:type="dxa"/>
            <w:noWrap/>
            <w:vAlign w:val="center"/>
          </w:tcPr>
          <w:p w14:paraId="41A1EA43" w14:textId="5E7A1F87" w:rsidR="00CE0DD5" w:rsidRPr="0006015C" w:rsidRDefault="00CE0DD5" w:rsidP="007F3A2D">
            <w:pPr>
              <w:spacing w:line="360" w:lineRule="auto"/>
              <w:rPr>
                <w:rFonts w:eastAsia="Times New Roman" w:cs="Times New Roman"/>
                <w:color w:val="000000"/>
                <w:sz w:val="18"/>
                <w:szCs w:val="18"/>
                <w:lang w:eastAsia="en-GB"/>
              </w:rPr>
            </w:pPr>
          </w:p>
        </w:tc>
        <w:tc>
          <w:tcPr>
            <w:tcW w:w="993" w:type="dxa"/>
            <w:noWrap/>
            <w:vAlign w:val="center"/>
            <w:hideMark/>
          </w:tcPr>
          <w:p w14:paraId="7BA4EBB8" w14:textId="77777777" w:rsidR="00CE0DD5" w:rsidRPr="0006015C" w:rsidRDefault="00CE0DD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D+/R−</w:t>
            </w:r>
          </w:p>
        </w:tc>
        <w:tc>
          <w:tcPr>
            <w:tcW w:w="1134" w:type="dxa"/>
            <w:noWrap/>
            <w:vAlign w:val="center"/>
          </w:tcPr>
          <w:p w14:paraId="00F3FAD1" w14:textId="5D80F5C9" w:rsidR="00CE0DD5" w:rsidRPr="0006015C" w:rsidRDefault="00CE0DD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417" w:type="dxa"/>
            <w:noWrap/>
            <w:vAlign w:val="center"/>
            <w:hideMark/>
          </w:tcPr>
          <w:p w14:paraId="2AE9D8E7" w14:textId="77777777" w:rsidR="00CE0DD5" w:rsidRPr="0006015C" w:rsidRDefault="00CE0DD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103/864</w:t>
            </w:r>
          </w:p>
        </w:tc>
        <w:tc>
          <w:tcPr>
            <w:tcW w:w="1418" w:type="dxa"/>
            <w:noWrap/>
            <w:vAlign w:val="center"/>
            <w:hideMark/>
          </w:tcPr>
          <w:p w14:paraId="6832D981" w14:textId="358BDEA4" w:rsidR="00CE0DD5" w:rsidRPr="0006015C" w:rsidRDefault="00CE0DD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1.66 (1.23–2.25)</w:t>
            </w:r>
          </w:p>
        </w:tc>
        <w:tc>
          <w:tcPr>
            <w:tcW w:w="1251" w:type="dxa"/>
            <w:noWrap/>
            <w:hideMark/>
          </w:tcPr>
          <w:p w14:paraId="01CF0910" w14:textId="4453C0CD" w:rsidR="00CE0DD5" w:rsidRPr="0006015C" w:rsidRDefault="00D53FD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9.77 × 10</w:t>
            </w:r>
            <w:r w:rsidRPr="0006015C">
              <w:rPr>
                <w:rFonts w:eastAsia="Times New Roman" w:cs="Times New Roman"/>
                <w:color w:val="000000"/>
                <w:sz w:val="18"/>
                <w:szCs w:val="18"/>
                <w:vertAlign w:val="superscript"/>
                <w:lang w:eastAsia="en-GB"/>
              </w:rPr>
              <w:t>-4</w:t>
            </w:r>
          </w:p>
        </w:tc>
        <w:tc>
          <w:tcPr>
            <w:tcW w:w="1041" w:type="dxa"/>
            <w:noWrap/>
            <w:vAlign w:val="center"/>
          </w:tcPr>
          <w:p w14:paraId="7E9B68DA" w14:textId="3762083F" w:rsidR="00CE0DD5" w:rsidRPr="0006015C" w:rsidRDefault="00CE0DD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372" w:type="dxa"/>
            <w:noWrap/>
            <w:vAlign w:val="center"/>
            <w:hideMark/>
          </w:tcPr>
          <w:p w14:paraId="2B125C53" w14:textId="77777777" w:rsidR="00CE0DD5" w:rsidRPr="0006015C" w:rsidRDefault="00CE0DD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103/859</w:t>
            </w:r>
          </w:p>
        </w:tc>
        <w:tc>
          <w:tcPr>
            <w:tcW w:w="1416" w:type="dxa"/>
            <w:noWrap/>
            <w:vAlign w:val="center"/>
            <w:hideMark/>
          </w:tcPr>
          <w:p w14:paraId="7A6CA08F" w14:textId="4C9B025B" w:rsidR="00CE0DD5" w:rsidRPr="0006015C" w:rsidRDefault="00CE0DD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1.62 (1.19–2.20)</w:t>
            </w:r>
          </w:p>
        </w:tc>
        <w:tc>
          <w:tcPr>
            <w:tcW w:w="1003" w:type="dxa"/>
            <w:noWrap/>
            <w:vAlign w:val="center"/>
            <w:hideMark/>
          </w:tcPr>
          <w:p w14:paraId="345887EF" w14:textId="71B63ACB" w:rsidR="00CE0DD5" w:rsidRPr="0006015C" w:rsidRDefault="00CE0DD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0.0021</w:t>
            </w:r>
          </w:p>
        </w:tc>
      </w:tr>
      <w:tr w:rsidR="00D53FD9" w:rsidRPr="0006015C" w14:paraId="4421100A" w14:textId="77777777" w:rsidTr="002F2BD1">
        <w:trPr>
          <w:trHeight w:val="300"/>
          <w:jc w:val="center"/>
        </w:trPr>
        <w:tc>
          <w:tcPr>
            <w:cnfStyle w:val="001000000000" w:firstRow="0" w:lastRow="0" w:firstColumn="1" w:lastColumn="0" w:oddVBand="0" w:evenVBand="0" w:oddHBand="0" w:evenHBand="0" w:firstRowFirstColumn="0" w:firstRowLastColumn="0" w:lastRowFirstColumn="0" w:lastRowLastColumn="0"/>
            <w:tcW w:w="2825" w:type="dxa"/>
            <w:noWrap/>
            <w:vAlign w:val="center"/>
          </w:tcPr>
          <w:p w14:paraId="61939F91" w14:textId="0E186B97" w:rsidR="00CE0DD5" w:rsidRPr="0006015C" w:rsidRDefault="00CE0DD5" w:rsidP="007F3A2D">
            <w:pPr>
              <w:spacing w:line="360" w:lineRule="auto"/>
              <w:rPr>
                <w:rFonts w:eastAsia="Times New Roman" w:cs="Times New Roman"/>
                <w:color w:val="000000"/>
                <w:sz w:val="18"/>
                <w:szCs w:val="18"/>
                <w:lang w:eastAsia="en-GB"/>
              </w:rPr>
            </w:pPr>
          </w:p>
        </w:tc>
        <w:tc>
          <w:tcPr>
            <w:tcW w:w="993" w:type="dxa"/>
            <w:noWrap/>
            <w:vAlign w:val="center"/>
            <w:hideMark/>
          </w:tcPr>
          <w:p w14:paraId="775D7987" w14:textId="77777777" w:rsidR="00CE0DD5" w:rsidRPr="0006015C" w:rsidRDefault="00CE0DD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D−/R+</w:t>
            </w:r>
          </w:p>
        </w:tc>
        <w:tc>
          <w:tcPr>
            <w:tcW w:w="1134" w:type="dxa"/>
            <w:noWrap/>
            <w:vAlign w:val="center"/>
          </w:tcPr>
          <w:p w14:paraId="580C39E9" w14:textId="46E325C3" w:rsidR="00CE0DD5" w:rsidRPr="0006015C" w:rsidRDefault="00CE0DD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417" w:type="dxa"/>
            <w:noWrap/>
            <w:vAlign w:val="center"/>
            <w:hideMark/>
          </w:tcPr>
          <w:p w14:paraId="681681E0" w14:textId="77777777" w:rsidR="00CE0DD5" w:rsidRPr="0006015C" w:rsidRDefault="00CE0DD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127/1,042</w:t>
            </w:r>
          </w:p>
        </w:tc>
        <w:tc>
          <w:tcPr>
            <w:tcW w:w="1418" w:type="dxa"/>
            <w:noWrap/>
            <w:vAlign w:val="center"/>
            <w:hideMark/>
          </w:tcPr>
          <w:p w14:paraId="42814D3C" w14:textId="1CB80874" w:rsidR="00CE0DD5" w:rsidRPr="0006015C" w:rsidRDefault="00CE0DD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1.62 (1.21–2.17)</w:t>
            </w:r>
          </w:p>
        </w:tc>
        <w:tc>
          <w:tcPr>
            <w:tcW w:w="1251" w:type="dxa"/>
            <w:noWrap/>
            <w:hideMark/>
          </w:tcPr>
          <w:p w14:paraId="757CCEFC" w14:textId="1FC2B592" w:rsidR="00CE0DD5" w:rsidRPr="0006015C" w:rsidRDefault="00CE0DD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0.0011</w:t>
            </w:r>
          </w:p>
        </w:tc>
        <w:tc>
          <w:tcPr>
            <w:tcW w:w="1041" w:type="dxa"/>
            <w:noWrap/>
            <w:vAlign w:val="center"/>
          </w:tcPr>
          <w:p w14:paraId="501D91BB" w14:textId="132C919E" w:rsidR="00CE0DD5" w:rsidRPr="0006015C" w:rsidRDefault="00CE0DD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372" w:type="dxa"/>
            <w:noWrap/>
            <w:vAlign w:val="center"/>
            <w:hideMark/>
          </w:tcPr>
          <w:p w14:paraId="196C9A43" w14:textId="77777777" w:rsidR="00CE0DD5" w:rsidRPr="0006015C" w:rsidRDefault="00CE0DD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127/1,038</w:t>
            </w:r>
          </w:p>
        </w:tc>
        <w:tc>
          <w:tcPr>
            <w:tcW w:w="1416" w:type="dxa"/>
            <w:noWrap/>
            <w:vAlign w:val="center"/>
            <w:hideMark/>
          </w:tcPr>
          <w:p w14:paraId="7666C252" w14:textId="4551989C" w:rsidR="00CE0DD5" w:rsidRPr="0006015C" w:rsidRDefault="00CE0DD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1.51 (1.12–2.02)</w:t>
            </w:r>
          </w:p>
        </w:tc>
        <w:tc>
          <w:tcPr>
            <w:tcW w:w="1003" w:type="dxa"/>
            <w:noWrap/>
            <w:vAlign w:val="center"/>
            <w:hideMark/>
          </w:tcPr>
          <w:p w14:paraId="5F39B6A7" w14:textId="66586E2A" w:rsidR="00CE0DD5" w:rsidRPr="0006015C" w:rsidRDefault="00CE0DD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0.0067</w:t>
            </w:r>
          </w:p>
        </w:tc>
      </w:tr>
      <w:tr w:rsidR="00D53FD9" w:rsidRPr="0006015C" w14:paraId="66BE96C9" w14:textId="77777777" w:rsidTr="002F2BD1">
        <w:trPr>
          <w:trHeight w:val="300"/>
          <w:jc w:val="center"/>
        </w:trPr>
        <w:tc>
          <w:tcPr>
            <w:cnfStyle w:val="001000000000" w:firstRow="0" w:lastRow="0" w:firstColumn="1" w:lastColumn="0" w:oddVBand="0" w:evenVBand="0" w:oddHBand="0" w:evenHBand="0" w:firstRowFirstColumn="0" w:firstRowLastColumn="0" w:lastRowFirstColumn="0" w:lastRowLastColumn="0"/>
            <w:tcW w:w="2825" w:type="dxa"/>
            <w:noWrap/>
            <w:vAlign w:val="center"/>
            <w:hideMark/>
          </w:tcPr>
          <w:p w14:paraId="437134A3" w14:textId="77777777" w:rsidR="00557409" w:rsidRPr="0006015C" w:rsidRDefault="00557409" w:rsidP="007F3A2D">
            <w:pPr>
              <w:spacing w:line="360" w:lineRule="auto"/>
              <w:rPr>
                <w:rFonts w:eastAsia="Times New Roman" w:cs="Times New Roman"/>
                <w:color w:val="000000"/>
                <w:sz w:val="18"/>
                <w:szCs w:val="18"/>
                <w:lang w:eastAsia="en-GB"/>
              </w:rPr>
            </w:pPr>
            <w:r w:rsidRPr="0006015C">
              <w:rPr>
                <w:rFonts w:eastAsia="Times New Roman" w:cs="Times New Roman"/>
                <w:color w:val="000000"/>
                <w:sz w:val="18"/>
                <w:szCs w:val="18"/>
                <w:lang w:eastAsia="en-GB"/>
              </w:rPr>
              <w:t>HLA mismatch (per mismatch)</w:t>
            </w:r>
          </w:p>
        </w:tc>
        <w:tc>
          <w:tcPr>
            <w:tcW w:w="993" w:type="dxa"/>
            <w:noWrap/>
            <w:vAlign w:val="center"/>
            <w:hideMark/>
          </w:tcPr>
          <w:p w14:paraId="68FD255B" w14:textId="77777777"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w:t>
            </w:r>
          </w:p>
        </w:tc>
        <w:tc>
          <w:tcPr>
            <w:tcW w:w="1134" w:type="dxa"/>
            <w:noWrap/>
            <w:vAlign w:val="center"/>
            <w:hideMark/>
          </w:tcPr>
          <w:p w14:paraId="528F1396" w14:textId="77777777"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480/4,411</w:t>
            </w:r>
          </w:p>
        </w:tc>
        <w:tc>
          <w:tcPr>
            <w:tcW w:w="1417" w:type="dxa"/>
            <w:noWrap/>
            <w:vAlign w:val="center"/>
            <w:hideMark/>
          </w:tcPr>
          <w:p w14:paraId="55EF412D" w14:textId="77777777"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w:t>
            </w:r>
          </w:p>
        </w:tc>
        <w:tc>
          <w:tcPr>
            <w:tcW w:w="1418" w:type="dxa"/>
            <w:noWrap/>
            <w:vAlign w:val="center"/>
            <w:hideMark/>
          </w:tcPr>
          <w:p w14:paraId="56A43376" w14:textId="360CA466"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1</w:t>
            </w:r>
            <w:r w:rsidR="009B49E1" w:rsidRPr="0006015C">
              <w:rPr>
                <w:rFonts w:eastAsia="Times New Roman" w:cs="Times New Roman"/>
                <w:color w:val="000000"/>
                <w:sz w:val="18"/>
                <w:szCs w:val="18"/>
                <w:lang w:eastAsia="en-GB"/>
              </w:rPr>
              <w:t>.</w:t>
            </w:r>
            <w:r w:rsidRPr="0006015C">
              <w:rPr>
                <w:rFonts w:eastAsia="Times New Roman" w:cs="Times New Roman"/>
                <w:color w:val="000000"/>
                <w:sz w:val="18"/>
                <w:szCs w:val="18"/>
                <w:lang w:eastAsia="en-GB"/>
              </w:rPr>
              <w:t>07 (1</w:t>
            </w:r>
            <w:r w:rsidR="009B49E1" w:rsidRPr="0006015C">
              <w:rPr>
                <w:rFonts w:eastAsia="Times New Roman" w:cs="Times New Roman"/>
                <w:color w:val="000000"/>
                <w:sz w:val="18"/>
                <w:szCs w:val="18"/>
                <w:lang w:eastAsia="en-GB"/>
              </w:rPr>
              <w:t>.</w:t>
            </w:r>
            <w:r w:rsidRPr="0006015C">
              <w:rPr>
                <w:rFonts w:eastAsia="Times New Roman" w:cs="Times New Roman"/>
                <w:color w:val="000000"/>
                <w:sz w:val="18"/>
                <w:szCs w:val="18"/>
                <w:lang w:eastAsia="en-GB"/>
              </w:rPr>
              <w:t>00–1</w:t>
            </w:r>
            <w:r w:rsidR="009B49E1" w:rsidRPr="0006015C">
              <w:rPr>
                <w:rFonts w:eastAsia="Times New Roman" w:cs="Times New Roman"/>
                <w:color w:val="000000"/>
                <w:sz w:val="18"/>
                <w:szCs w:val="18"/>
                <w:lang w:eastAsia="en-GB"/>
              </w:rPr>
              <w:t>.</w:t>
            </w:r>
            <w:r w:rsidRPr="0006015C">
              <w:rPr>
                <w:rFonts w:eastAsia="Times New Roman" w:cs="Times New Roman"/>
                <w:color w:val="000000"/>
                <w:sz w:val="18"/>
                <w:szCs w:val="18"/>
                <w:lang w:eastAsia="en-GB"/>
              </w:rPr>
              <w:t>14)</w:t>
            </w:r>
          </w:p>
        </w:tc>
        <w:tc>
          <w:tcPr>
            <w:tcW w:w="1251" w:type="dxa"/>
            <w:noWrap/>
            <w:vAlign w:val="center"/>
            <w:hideMark/>
          </w:tcPr>
          <w:p w14:paraId="74572715" w14:textId="1E0BB540"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0</w:t>
            </w:r>
            <w:r w:rsidR="009B49E1" w:rsidRPr="0006015C">
              <w:rPr>
                <w:rFonts w:eastAsia="Times New Roman" w:cs="Times New Roman"/>
                <w:color w:val="000000"/>
                <w:sz w:val="18"/>
                <w:szCs w:val="18"/>
                <w:lang w:eastAsia="en-GB"/>
              </w:rPr>
              <w:t>.</w:t>
            </w:r>
            <w:r w:rsidRPr="0006015C">
              <w:rPr>
                <w:rFonts w:eastAsia="Times New Roman" w:cs="Times New Roman"/>
                <w:color w:val="000000"/>
                <w:sz w:val="18"/>
                <w:szCs w:val="18"/>
                <w:lang w:eastAsia="en-GB"/>
              </w:rPr>
              <w:t>054</w:t>
            </w:r>
          </w:p>
        </w:tc>
        <w:tc>
          <w:tcPr>
            <w:tcW w:w="1041" w:type="dxa"/>
            <w:noWrap/>
            <w:vAlign w:val="center"/>
            <w:hideMark/>
          </w:tcPr>
          <w:p w14:paraId="4E833C13" w14:textId="77777777"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479/4,388</w:t>
            </w:r>
          </w:p>
        </w:tc>
        <w:tc>
          <w:tcPr>
            <w:tcW w:w="1372" w:type="dxa"/>
            <w:noWrap/>
            <w:vAlign w:val="center"/>
            <w:hideMark/>
          </w:tcPr>
          <w:p w14:paraId="1BA49107" w14:textId="77777777"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w:t>
            </w:r>
          </w:p>
        </w:tc>
        <w:tc>
          <w:tcPr>
            <w:tcW w:w="1416" w:type="dxa"/>
            <w:noWrap/>
            <w:vAlign w:val="center"/>
            <w:hideMark/>
          </w:tcPr>
          <w:p w14:paraId="135C7125" w14:textId="2D901AE3"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1</w:t>
            </w:r>
            <w:r w:rsidR="009B49E1" w:rsidRPr="0006015C">
              <w:rPr>
                <w:rFonts w:eastAsia="Times New Roman" w:cs="Times New Roman"/>
                <w:color w:val="000000"/>
                <w:sz w:val="18"/>
                <w:szCs w:val="18"/>
                <w:lang w:eastAsia="en-GB"/>
              </w:rPr>
              <w:t>.</w:t>
            </w:r>
            <w:r w:rsidRPr="0006015C">
              <w:rPr>
                <w:rFonts w:eastAsia="Times New Roman" w:cs="Times New Roman"/>
                <w:color w:val="000000"/>
                <w:sz w:val="18"/>
                <w:szCs w:val="18"/>
                <w:lang w:eastAsia="en-GB"/>
              </w:rPr>
              <w:t>10 (1</w:t>
            </w:r>
            <w:r w:rsidR="009B49E1" w:rsidRPr="0006015C">
              <w:rPr>
                <w:rFonts w:eastAsia="Times New Roman" w:cs="Times New Roman"/>
                <w:color w:val="000000"/>
                <w:sz w:val="18"/>
                <w:szCs w:val="18"/>
                <w:lang w:eastAsia="en-GB"/>
              </w:rPr>
              <w:t>.</w:t>
            </w:r>
            <w:r w:rsidRPr="0006015C">
              <w:rPr>
                <w:rFonts w:eastAsia="Times New Roman" w:cs="Times New Roman"/>
                <w:color w:val="000000"/>
                <w:sz w:val="18"/>
                <w:szCs w:val="18"/>
                <w:lang w:eastAsia="en-GB"/>
              </w:rPr>
              <w:t>02–1</w:t>
            </w:r>
            <w:r w:rsidR="009B49E1" w:rsidRPr="0006015C">
              <w:rPr>
                <w:rFonts w:eastAsia="Times New Roman" w:cs="Times New Roman"/>
                <w:color w:val="000000"/>
                <w:sz w:val="18"/>
                <w:szCs w:val="18"/>
                <w:lang w:eastAsia="en-GB"/>
              </w:rPr>
              <w:t>.</w:t>
            </w:r>
            <w:r w:rsidRPr="0006015C">
              <w:rPr>
                <w:rFonts w:eastAsia="Times New Roman" w:cs="Times New Roman"/>
                <w:color w:val="000000"/>
                <w:sz w:val="18"/>
                <w:szCs w:val="18"/>
                <w:lang w:eastAsia="en-GB"/>
              </w:rPr>
              <w:t>18)</w:t>
            </w:r>
          </w:p>
        </w:tc>
        <w:tc>
          <w:tcPr>
            <w:tcW w:w="1003" w:type="dxa"/>
            <w:noWrap/>
            <w:vAlign w:val="center"/>
            <w:hideMark/>
          </w:tcPr>
          <w:p w14:paraId="5C6D4360" w14:textId="0C642F90"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0</w:t>
            </w:r>
            <w:r w:rsidR="009B49E1" w:rsidRPr="0006015C">
              <w:rPr>
                <w:rFonts w:eastAsia="Times New Roman" w:cs="Times New Roman"/>
                <w:color w:val="000000"/>
                <w:sz w:val="18"/>
                <w:szCs w:val="18"/>
                <w:lang w:eastAsia="en-GB"/>
              </w:rPr>
              <w:t>.</w:t>
            </w:r>
            <w:r w:rsidRPr="0006015C">
              <w:rPr>
                <w:rFonts w:eastAsia="Times New Roman" w:cs="Times New Roman"/>
                <w:color w:val="000000"/>
                <w:sz w:val="18"/>
                <w:szCs w:val="18"/>
                <w:lang w:eastAsia="en-GB"/>
              </w:rPr>
              <w:t>0087</w:t>
            </w:r>
          </w:p>
        </w:tc>
      </w:tr>
      <w:tr w:rsidR="00D53FD9" w:rsidRPr="0006015C" w14:paraId="137B97D0" w14:textId="77777777" w:rsidTr="002F2BD1">
        <w:trPr>
          <w:trHeight w:val="300"/>
          <w:jc w:val="center"/>
        </w:trPr>
        <w:tc>
          <w:tcPr>
            <w:cnfStyle w:val="001000000000" w:firstRow="0" w:lastRow="0" w:firstColumn="1" w:lastColumn="0" w:oddVBand="0" w:evenVBand="0" w:oddHBand="0" w:evenHBand="0" w:firstRowFirstColumn="0" w:firstRowLastColumn="0" w:lastRowFirstColumn="0" w:lastRowLastColumn="0"/>
            <w:tcW w:w="2825" w:type="dxa"/>
            <w:noWrap/>
            <w:vAlign w:val="center"/>
            <w:hideMark/>
          </w:tcPr>
          <w:p w14:paraId="38AB7FDA" w14:textId="6118A8CE" w:rsidR="00557409" w:rsidRPr="0006015C" w:rsidRDefault="00557409" w:rsidP="007F3A2D">
            <w:pPr>
              <w:spacing w:line="360" w:lineRule="auto"/>
              <w:rPr>
                <w:rFonts w:eastAsia="Times New Roman" w:cs="Times New Roman"/>
                <w:color w:val="000000"/>
                <w:sz w:val="18"/>
                <w:szCs w:val="18"/>
                <w:lang w:eastAsia="en-GB"/>
              </w:rPr>
            </w:pPr>
            <w:r w:rsidRPr="0006015C">
              <w:rPr>
                <w:rFonts w:eastAsia="Times New Roman" w:cs="Times New Roman"/>
                <w:color w:val="000000"/>
                <w:sz w:val="18"/>
                <w:szCs w:val="18"/>
                <w:lang w:eastAsia="en-GB"/>
              </w:rPr>
              <w:t>HLA-DSA</w:t>
            </w:r>
            <w:r w:rsidR="0004484F" w:rsidRPr="0006015C">
              <w:rPr>
                <w:rFonts w:eastAsia="Times New Roman" w:cs="Times New Roman"/>
                <w:color w:val="000000"/>
                <w:sz w:val="18"/>
                <w:szCs w:val="18"/>
                <w:lang w:eastAsia="en-GB"/>
              </w:rPr>
              <w:t xml:space="preserve"> status</w:t>
            </w:r>
          </w:p>
        </w:tc>
        <w:tc>
          <w:tcPr>
            <w:tcW w:w="993" w:type="dxa"/>
            <w:noWrap/>
            <w:vAlign w:val="center"/>
            <w:hideMark/>
          </w:tcPr>
          <w:p w14:paraId="26549814" w14:textId="77777777"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Negative</w:t>
            </w:r>
          </w:p>
        </w:tc>
        <w:tc>
          <w:tcPr>
            <w:tcW w:w="1134" w:type="dxa"/>
            <w:noWrap/>
            <w:vAlign w:val="center"/>
            <w:hideMark/>
          </w:tcPr>
          <w:p w14:paraId="165AEE7E" w14:textId="77777777"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480/4,407</w:t>
            </w:r>
          </w:p>
        </w:tc>
        <w:tc>
          <w:tcPr>
            <w:tcW w:w="1417" w:type="dxa"/>
            <w:noWrap/>
            <w:vAlign w:val="center"/>
            <w:hideMark/>
          </w:tcPr>
          <w:p w14:paraId="397C063B" w14:textId="77777777"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377/3,945</w:t>
            </w:r>
          </w:p>
        </w:tc>
        <w:tc>
          <w:tcPr>
            <w:tcW w:w="1418" w:type="dxa"/>
            <w:noWrap/>
            <w:vAlign w:val="center"/>
            <w:hideMark/>
          </w:tcPr>
          <w:p w14:paraId="6607D096" w14:textId="7A816A85" w:rsidR="00557409" w:rsidRPr="0006015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Ref.</w:t>
            </w:r>
          </w:p>
        </w:tc>
        <w:tc>
          <w:tcPr>
            <w:tcW w:w="1251" w:type="dxa"/>
            <w:noWrap/>
            <w:vAlign w:val="center"/>
            <w:hideMark/>
          </w:tcPr>
          <w:p w14:paraId="54D9EB73" w14:textId="51E06DE5" w:rsidR="00557409" w:rsidRPr="0006015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Ref.</w:t>
            </w:r>
          </w:p>
        </w:tc>
        <w:tc>
          <w:tcPr>
            <w:tcW w:w="1041" w:type="dxa"/>
            <w:noWrap/>
            <w:vAlign w:val="center"/>
            <w:hideMark/>
          </w:tcPr>
          <w:p w14:paraId="472A7644" w14:textId="77777777"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479/4,388</w:t>
            </w:r>
          </w:p>
        </w:tc>
        <w:tc>
          <w:tcPr>
            <w:tcW w:w="1372" w:type="dxa"/>
            <w:noWrap/>
            <w:vAlign w:val="center"/>
            <w:hideMark/>
          </w:tcPr>
          <w:p w14:paraId="4307E03A" w14:textId="77777777"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376/3,927</w:t>
            </w:r>
          </w:p>
        </w:tc>
        <w:tc>
          <w:tcPr>
            <w:tcW w:w="1416" w:type="dxa"/>
            <w:noWrap/>
            <w:vAlign w:val="center"/>
            <w:hideMark/>
          </w:tcPr>
          <w:p w14:paraId="2031DC86" w14:textId="29E4D484" w:rsidR="00557409" w:rsidRPr="0006015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Ref.</w:t>
            </w:r>
          </w:p>
        </w:tc>
        <w:tc>
          <w:tcPr>
            <w:tcW w:w="1003" w:type="dxa"/>
            <w:noWrap/>
            <w:vAlign w:val="center"/>
            <w:hideMark/>
          </w:tcPr>
          <w:p w14:paraId="33E5D726" w14:textId="4AB99C20" w:rsidR="00557409" w:rsidRPr="0006015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Ref.</w:t>
            </w:r>
          </w:p>
        </w:tc>
      </w:tr>
      <w:tr w:rsidR="00D53FD9" w:rsidRPr="0006015C" w14:paraId="0CA97362" w14:textId="77777777" w:rsidTr="002F2BD1">
        <w:trPr>
          <w:trHeight w:val="300"/>
          <w:jc w:val="center"/>
        </w:trPr>
        <w:tc>
          <w:tcPr>
            <w:cnfStyle w:val="001000000000" w:firstRow="0" w:lastRow="0" w:firstColumn="1" w:lastColumn="0" w:oddVBand="0" w:evenVBand="0" w:oddHBand="0" w:evenHBand="0" w:firstRowFirstColumn="0" w:firstRowLastColumn="0" w:lastRowFirstColumn="0" w:lastRowLastColumn="0"/>
            <w:tcW w:w="2825" w:type="dxa"/>
            <w:noWrap/>
            <w:vAlign w:val="center"/>
          </w:tcPr>
          <w:p w14:paraId="077BB339" w14:textId="59E448C2" w:rsidR="00557409" w:rsidRPr="0006015C" w:rsidRDefault="00557409" w:rsidP="007F3A2D">
            <w:pPr>
              <w:spacing w:line="360" w:lineRule="auto"/>
              <w:rPr>
                <w:rFonts w:eastAsia="Times New Roman" w:cs="Times New Roman"/>
                <w:color w:val="000000"/>
                <w:sz w:val="18"/>
                <w:szCs w:val="18"/>
                <w:lang w:eastAsia="en-GB"/>
              </w:rPr>
            </w:pPr>
          </w:p>
        </w:tc>
        <w:tc>
          <w:tcPr>
            <w:tcW w:w="993" w:type="dxa"/>
            <w:noWrap/>
            <w:vAlign w:val="center"/>
            <w:hideMark/>
          </w:tcPr>
          <w:p w14:paraId="2F974F13" w14:textId="77777777"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Positive</w:t>
            </w:r>
          </w:p>
        </w:tc>
        <w:tc>
          <w:tcPr>
            <w:tcW w:w="1134" w:type="dxa"/>
            <w:noWrap/>
            <w:vAlign w:val="center"/>
          </w:tcPr>
          <w:p w14:paraId="5AC15CAC" w14:textId="16D641B1"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417" w:type="dxa"/>
            <w:noWrap/>
            <w:vAlign w:val="center"/>
            <w:hideMark/>
          </w:tcPr>
          <w:p w14:paraId="470D2B58" w14:textId="77777777"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103/462</w:t>
            </w:r>
          </w:p>
        </w:tc>
        <w:tc>
          <w:tcPr>
            <w:tcW w:w="1418" w:type="dxa"/>
            <w:noWrap/>
            <w:vAlign w:val="center"/>
            <w:hideMark/>
          </w:tcPr>
          <w:p w14:paraId="5F44A848" w14:textId="5630A668"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2</w:t>
            </w:r>
            <w:r w:rsidR="009B49E1" w:rsidRPr="0006015C">
              <w:rPr>
                <w:rFonts w:eastAsia="Times New Roman" w:cs="Times New Roman"/>
                <w:color w:val="000000"/>
                <w:sz w:val="18"/>
                <w:szCs w:val="18"/>
                <w:lang w:eastAsia="en-GB"/>
              </w:rPr>
              <w:t>.</w:t>
            </w:r>
            <w:r w:rsidRPr="0006015C">
              <w:rPr>
                <w:rFonts w:eastAsia="Times New Roman" w:cs="Times New Roman"/>
                <w:color w:val="000000"/>
                <w:sz w:val="18"/>
                <w:szCs w:val="18"/>
                <w:lang w:eastAsia="en-GB"/>
              </w:rPr>
              <w:t>59 (2</w:t>
            </w:r>
            <w:r w:rsidR="009B49E1" w:rsidRPr="0006015C">
              <w:rPr>
                <w:rFonts w:eastAsia="Times New Roman" w:cs="Times New Roman"/>
                <w:color w:val="000000"/>
                <w:sz w:val="18"/>
                <w:szCs w:val="18"/>
                <w:lang w:eastAsia="en-GB"/>
              </w:rPr>
              <w:t>.</w:t>
            </w:r>
            <w:r w:rsidRPr="0006015C">
              <w:rPr>
                <w:rFonts w:eastAsia="Times New Roman" w:cs="Times New Roman"/>
                <w:color w:val="000000"/>
                <w:sz w:val="18"/>
                <w:szCs w:val="18"/>
                <w:lang w:eastAsia="en-GB"/>
              </w:rPr>
              <w:t>08–3</w:t>
            </w:r>
            <w:r w:rsidR="009B49E1" w:rsidRPr="0006015C">
              <w:rPr>
                <w:rFonts w:eastAsia="Times New Roman" w:cs="Times New Roman"/>
                <w:color w:val="000000"/>
                <w:sz w:val="18"/>
                <w:szCs w:val="18"/>
                <w:lang w:eastAsia="en-GB"/>
              </w:rPr>
              <w:t>.</w:t>
            </w:r>
            <w:r w:rsidRPr="0006015C">
              <w:rPr>
                <w:rFonts w:eastAsia="Times New Roman" w:cs="Times New Roman"/>
                <w:color w:val="000000"/>
                <w:sz w:val="18"/>
                <w:szCs w:val="18"/>
                <w:lang w:eastAsia="en-GB"/>
              </w:rPr>
              <w:t>22)</w:t>
            </w:r>
          </w:p>
        </w:tc>
        <w:tc>
          <w:tcPr>
            <w:tcW w:w="1251" w:type="dxa"/>
            <w:noWrap/>
            <w:vAlign w:val="center"/>
            <w:hideMark/>
          </w:tcPr>
          <w:p w14:paraId="67F8BFC6" w14:textId="2FAB5525" w:rsidR="00557409" w:rsidRPr="0006015C" w:rsidRDefault="00D53FD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1.21 × 10</w:t>
            </w:r>
            <w:r w:rsidRPr="0006015C">
              <w:rPr>
                <w:rFonts w:eastAsia="Times New Roman" w:cs="Times New Roman"/>
                <w:color w:val="000000"/>
                <w:sz w:val="18"/>
                <w:szCs w:val="18"/>
                <w:vertAlign w:val="superscript"/>
                <w:lang w:eastAsia="en-GB"/>
              </w:rPr>
              <w:t>-17</w:t>
            </w:r>
          </w:p>
        </w:tc>
        <w:tc>
          <w:tcPr>
            <w:tcW w:w="1041" w:type="dxa"/>
            <w:noWrap/>
            <w:vAlign w:val="center"/>
          </w:tcPr>
          <w:p w14:paraId="4CE2052B" w14:textId="34A2E0F8"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372" w:type="dxa"/>
            <w:noWrap/>
            <w:vAlign w:val="center"/>
            <w:hideMark/>
          </w:tcPr>
          <w:p w14:paraId="15ED0E3A" w14:textId="77777777"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103/461</w:t>
            </w:r>
          </w:p>
        </w:tc>
        <w:tc>
          <w:tcPr>
            <w:tcW w:w="1416" w:type="dxa"/>
            <w:noWrap/>
            <w:vAlign w:val="center"/>
            <w:hideMark/>
          </w:tcPr>
          <w:p w14:paraId="4247851C" w14:textId="7E6BC777"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1</w:t>
            </w:r>
            <w:r w:rsidR="009B49E1" w:rsidRPr="0006015C">
              <w:rPr>
                <w:rFonts w:eastAsia="Times New Roman" w:cs="Times New Roman"/>
                <w:color w:val="000000"/>
                <w:sz w:val="18"/>
                <w:szCs w:val="18"/>
                <w:lang w:eastAsia="en-GB"/>
              </w:rPr>
              <w:t>.</w:t>
            </w:r>
            <w:r w:rsidRPr="0006015C">
              <w:rPr>
                <w:rFonts w:eastAsia="Times New Roman" w:cs="Times New Roman"/>
                <w:color w:val="000000"/>
                <w:sz w:val="18"/>
                <w:szCs w:val="18"/>
                <w:lang w:eastAsia="en-GB"/>
              </w:rPr>
              <w:t>97 (1</w:t>
            </w:r>
            <w:r w:rsidR="009B49E1" w:rsidRPr="0006015C">
              <w:rPr>
                <w:rFonts w:eastAsia="Times New Roman" w:cs="Times New Roman"/>
                <w:color w:val="000000"/>
                <w:sz w:val="18"/>
                <w:szCs w:val="18"/>
                <w:lang w:eastAsia="en-GB"/>
              </w:rPr>
              <w:t>.</w:t>
            </w:r>
            <w:r w:rsidRPr="0006015C">
              <w:rPr>
                <w:rFonts w:eastAsia="Times New Roman" w:cs="Times New Roman"/>
                <w:color w:val="000000"/>
                <w:sz w:val="18"/>
                <w:szCs w:val="18"/>
                <w:lang w:eastAsia="en-GB"/>
              </w:rPr>
              <w:t>53–2</w:t>
            </w:r>
            <w:r w:rsidR="009B49E1" w:rsidRPr="0006015C">
              <w:rPr>
                <w:rFonts w:eastAsia="Times New Roman" w:cs="Times New Roman"/>
                <w:color w:val="000000"/>
                <w:sz w:val="18"/>
                <w:szCs w:val="18"/>
                <w:lang w:eastAsia="en-GB"/>
              </w:rPr>
              <w:t>.</w:t>
            </w:r>
            <w:r w:rsidRPr="0006015C">
              <w:rPr>
                <w:rFonts w:eastAsia="Times New Roman" w:cs="Times New Roman"/>
                <w:color w:val="000000"/>
                <w:sz w:val="18"/>
                <w:szCs w:val="18"/>
                <w:lang w:eastAsia="en-GB"/>
              </w:rPr>
              <w:t>54)</w:t>
            </w:r>
          </w:p>
        </w:tc>
        <w:tc>
          <w:tcPr>
            <w:tcW w:w="1003" w:type="dxa"/>
            <w:noWrap/>
            <w:vAlign w:val="center"/>
            <w:hideMark/>
          </w:tcPr>
          <w:p w14:paraId="4CCA6C4C" w14:textId="4656A676" w:rsidR="00557409" w:rsidRPr="0006015C" w:rsidRDefault="00D53FD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1.21 × 10</w:t>
            </w:r>
            <w:r w:rsidRPr="0006015C">
              <w:rPr>
                <w:rFonts w:eastAsia="Times New Roman" w:cs="Times New Roman"/>
                <w:color w:val="000000"/>
                <w:sz w:val="18"/>
                <w:szCs w:val="18"/>
                <w:vertAlign w:val="superscript"/>
                <w:lang w:eastAsia="en-GB"/>
              </w:rPr>
              <w:t>-7</w:t>
            </w:r>
          </w:p>
        </w:tc>
      </w:tr>
      <w:tr w:rsidR="00D53FD9" w:rsidRPr="0006015C" w14:paraId="286A3F95" w14:textId="77777777" w:rsidTr="002F2BD1">
        <w:trPr>
          <w:trHeight w:val="300"/>
          <w:jc w:val="center"/>
        </w:trPr>
        <w:tc>
          <w:tcPr>
            <w:cnfStyle w:val="001000000000" w:firstRow="0" w:lastRow="0" w:firstColumn="1" w:lastColumn="0" w:oddVBand="0" w:evenVBand="0" w:oddHBand="0" w:evenHBand="0" w:firstRowFirstColumn="0" w:firstRowLastColumn="0" w:lastRowFirstColumn="0" w:lastRowLastColumn="0"/>
            <w:tcW w:w="2825" w:type="dxa"/>
            <w:noWrap/>
            <w:vAlign w:val="center"/>
            <w:hideMark/>
          </w:tcPr>
          <w:p w14:paraId="5BBC2CEC" w14:textId="77777777" w:rsidR="00557409" w:rsidRPr="0006015C" w:rsidRDefault="00557409" w:rsidP="007F3A2D">
            <w:pPr>
              <w:spacing w:line="360" w:lineRule="auto"/>
              <w:rPr>
                <w:rFonts w:eastAsia="Times New Roman" w:cs="Times New Roman"/>
                <w:color w:val="000000"/>
                <w:sz w:val="18"/>
                <w:szCs w:val="18"/>
                <w:lang w:eastAsia="en-GB"/>
              </w:rPr>
            </w:pPr>
            <w:r w:rsidRPr="0006015C">
              <w:rPr>
                <w:rFonts w:eastAsia="Times New Roman" w:cs="Times New Roman"/>
                <w:color w:val="000000"/>
                <w:sz w:val="18"/>
                <w:szCs w:val="18"/>
                <w:lang w:eastAsia="en-GB"/>
              </w:rPr>
              <w:t>Recipient age (per 10 years)</w:t>
            </w:r>
          </w:p>
        </w:tc>
        <w:tc>
          <w:tcPr>
            <w:tcW w:w="993" w:type="dxa"/>
            <w:noWrap/>
            <w:vAlign w:val="center"/>
            <w:hideMark/>
          </w:tcPr>
          <w:p w14:paraId="5D144E06" w14:textId="77777777"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w:t>
            </w:r>
          </w:p>
        </w:tc>
        <w:tc>
          <w:tcPr>
            <w:tcW w:w="1134" w:type="dxa"/>
            <w:noWrap/>
            <w:vAlign w:val="center"/>
            <w:hideMark/>
          </w:tcPr>
          <w:p w14:paraId="6F02126B" w14:textId="77777777"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480/4,411</w:t>
            </w:r>
          </w:p>
        </w:tc>
        <w:tc>
          <w:tcPr>
            <w:tcW w:w="1417" w:type="dxa"/>
            <w:noWrap/>
            <w:vAlign w:val="center"/>
            <w:hideMark/>
          </w:tcPr>
          <w:p w14:paraId="3D8995B2" w14:textId="77777777"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w:t>
            </w:r>
          </w:p>
        </w:tc>
        <w:tc>
          <w:tcPr>
            <w:tcW w:w="1418" w:type="dxa"/>
            <w:noWrap/>
            <w:vAlign w:val="center"/>
            <w:hideMark/>
          </w:tcPr>
          <w:p w14:paraId="6240AD32" w14:textId="36CD2614"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1</w:t>
            </w:r>
            <w:r w:rsidR="009B49E1" w:rsidRPr="0006015C">
              <w:rPr>
                <w:rFonts w:eastAsia="Times New Roman" w:cs="Times New Roman"/>
                <w:color w:val="000000"/>
                <w:sz w:val="18"/>
                <w:szCs w:val="18"/>
                <w:lang w:eastAsia="en-GB"/>
              </w:rPr>
              <w:t>.</w:t>
            </w:r>
            <w:r w:rsidRPr="0006015C">
              <w:rPr>
                <w:rFonts w:eastAsia="Times New Roman" w:cs="Times New Roman"/>
                <w:color w:val="000000"/>
                <w:sz w:val="18"/>
                <w:szCs w:val="18"/>
                <w:lang w:eastAsia="en-GB"/>
              </w:rPr>
              <w:t>03 (0</w:t>
            </w:r>
            <w:r w:rsidR="009B49E1" w:rsidRPr="0006015C">
              <w:rPr>
                <w:rFonts w:eastAsia="Times New Roman" w:cs="Times New Roman"/>
                <w:color w:val="000000"/>
                <w:sz w:val="18"/>
                <w:szCs w:val="18"/>
                <w:lang w:eastAsia="en-GB"/>
              </w:rPr>
              <w:t>.</w:t>
            </w:r>
            <w:r w:rsidRPr="0006015C">
              <w:rPr>
                <w:rFonts w:eastAsia="Times New Roman" w:cs="Times New Roman"/>
                <w:color w:val="000000"/>
                <w:sz w:val="18"/>
                <w:szCs w:val="18"/>
                <w:lang w:eastAsia="en-GB"/>
              </w:rPr>
              <w:t>96–1</w:t>
            </w:r>
            <w:r w:rsidR="009B49E1" w:rsidRPr="0006015C">
              <w:rPr>
                <w:rFonts w:eastAsia="Times New Roman" w:cs="Times New Roman"/>
                <w:color w:val="000000"/>
                <w:sz w:val="18"/>
                <w:szCs w:val="18"/>
                <w:lang w:eastAsia="en-GB"/>
              </w:rPr>
              <w:t>.</w:t>
            </w:r>
            <w:r w:rsidRPr="0006015C">
              <w:rPr>
                <w:rFonts w:eastAsia="Times New Roman" w:cs="Times New Roman"/>
                <w:color w:val="000000"/>
                <w:sz w:val="18"/>
                <w:szCs w:val="18"/>
                <w:lang w:eastAsia="en-GB"/>
              </w:rPr>
              <w:t>10)</w:t>
            </w:r>
          </w:p>
        </w:tc>
        <w:tc>
          <w:tcPr>
            <w:tcW w:w="1251" w:type="dxa"/>
            <w:noWrap/>
            <w:vAlign w:val="center"/>
            <w:hideMark/>
          </w:tcPr>
          <w:p w14:paraId="664147B4" w14:textId="773AA621"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0</w:t>
            </w:r>
            <w:r w:rsidR="009B49E1" w:rsidRPr="0006015C">
              <w:rPr>
                <w:rFonts w:eastAsia="Times New Roman" w:cs="Times New Roman"/>
                <w:color w:val="000000"/>
                <w:sz w:val="18"/>
                <w:szCs w:val="18"/>
                <w:lang w:eastAsia="en-GB"/>
              </w:rPr>
              <w:t>.</w:t>
            </w:r>
            <w:r w:rsidRPr="0006015C">
              <w:rPr>
                <w:rFonts w:eastAsia="Times New Roman" w:cs="Times New Roman"/>
                <w:color w:val="000000"/>
                <w:sz w:val="18"/>
                <w:szCs w:val="18"/>
                <w:lang w:eastAsia="en-GB"/>
              </w:rPr>
              <w:t>39</w:t>
            </w:r>
          </w:p>
        </w:tc>
        <w:tc>
          <w:tcPr>
            <w:tcW w:w="1041" w:type="dxa"/>
            <w:noWrap/>
            <w:vAlign w:val="center"/>
            <w:hideMark/>
          </w:tcPr>
          <w:p w14:paraId="7168BDD9" w14:textId="77777777"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479/4,388</w:t>
            </w:r>
          </w:p>
        </w:tc>
        <w:tc>
          <w:tcPr>
            <w:tcW w:w="1372" w:type="dxa"/>
            <w:noWrap/>
            <w:vAlign w:val="center"/>
            <w:hideMark/>
          </w:tcPr>
          <w:p w14:paraId="5A481887" w14:textId="77777777"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w:t>
            </w:r>
          </w:p>
        </w:tc>
        <w:tc>
          <w:tcPr>
            <w:tcW w:w="1416" w:type="dxa"/>
            <w:noWrap/>
            <w:vAlign w:val="center"/>
            <w:hideMark/>
          </w:tcPr>
          <w:p w14:paraId="1AE1E60F" w14:textId="5143645D"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0</w:t>
            </w:r>
            <w:r w:rsidR="009B49E1" w:rsidRPr="0006015C">
              <w:rPr>
                <w:rFonts w:eastAsia="Times New Roman" w:cs="Times New Roman"/>
                <w:color w:val="000000"/>
                <w:sz w:val="18"/>
                <w:szCs w:val="18"/>
                <w:lang w:eastAsia="en-GB"/>
              </w:rPr>
              <w:t>.</w:t>
            </w:r>
            <w:r w:rsidRPr="0006015C">
              <w:rPr>
                <w:rFonts w:eastAsia="Times New Roman" w:cs="Times New Roman"/>
                <w:color w:val="000000"/>
                <w:sz w:val="18"/>
                <w:szCs w:val="18"/>
                <w:lang w:eastAsia="en-GB"/>
              </w:rPr>
              <w:t>93 (0</w:t>
            </w:r>
            <w:r w:rsidR="009B49E1" w:rsidRPr="0006015C">
              <w:rPr>
                <w:rFonts w:eastAsia="Times New Roman" w:cs="Times New Roman"/>
                <w:color w:val="000000"/>
                <w:sz w:val="18"/>
                <w:szCs w:val="18"/>
                <w:lang w:eastAsia="en-GB"/>
              </w:rPr>
              <w:t>.</w:t>
            </w:r>
            <w:r w:rsidRPr="0006015C">
              <w:rPr>
                <w:rFonts w:eastAsia="Times New Roman" w:cs="Times New Roman"/>
                <w:color w:val="000000"/>
                <w:sz w:val="18"/>
                <w:szCs w:val="18"/>
                <w:lang w:eastAsia="en-GB"/>
              </w:rPr>
              <w:t>86–1</w:t>
            </w:r>
            <w:r w:rsidR="009B49E1" w:rsidRPr="0006015C">
              <w:rPr>
                <w:rFonts w:eastAsia="Times New Roman" w:cs="Times New Roman"/>
                <w:color w:val="000000"/>
                <w:sz w:val="18"/>
                <w:szCs w:val="18"/>
                <w:lang w:eastAsia="en-GB"/>
              </w:rPr>
              <w:t>.</w:t>
            </w:r>
            <w:r w:rsidRPr="0006015C">
              <w:rPr>
                <w:rFonts w:eastAsia="Times New Roman" w:cs="Times New Roman"/>
                <w:color w:val="000000"/>
                <w:sz w:val="18"/>
                <w:szCs w:val="18"/>
                <w:lang w:eastAsia="en-GB"/>
              </w:rPr>
              <w:t>01)</w:t>
            </w:r>
          </w:p>
        </w:tc>
        <w:tc>
          <w:tcPr>
            <w:tcW w:w="1003" w:type="dxa"/>
            <w:noWrap/>
            <w:vAlign w:val="center"/>
            <w:hideMark/>
          </w:tcPr>
          <w:p w14:paraId="6743A051" w14:textId="216E12D6"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0</w:t>
            </w:r>
            <w:r w:rsidR="009B49E1" w:rsidRPr="0006015C">
              <w:rPr>
                <w:rFonts w:eastAsia="Times New Roman" w:cs="Times New Roman"/>
                <w:color w:val="000000"/>
                <w:sz w:val="18"/>
                <w:szCs w:val="18"/>
                <w:lang w:eastAsia="en-GB"/>
              </w:rPr>
              <w:t>.</w:t>
            </w:r>
            <w:r w:rsidRPr="0006015C">
              <w:rPr>
                <w:rFonts w:eastAsia="Times New Roman" w:cs="Times New Roman"/>
                <w:color w:val="000000"/>
                <w:sz w:val="18"/>
                <w:szCs w:val="18"/>
                <w:lang w:eastAsia="en-GB"/>
              </w:rPr>
              <w:t>069</w:t>
            </w:r>
          </w:p>
        </w:tc>
      </w:tr>
      <w:tr w:rsidR="00D53FD9" w:rsidRPr="0006015C" w14:paraId="316F75F8" w14:textId="77777777" w:rsidTr="002F2BD1">
        <w:trPr>
          <w:trHeight w:val="300"/>
          <w:jc w:val="center"/>
        </w:trPr>
        <w:tc>
          <w:tcPr>
            <w:cnfStyle w:val="001000000000" w:firstRow="0" w:lastRow="0" w:firstColumn="1" w:lastColumn="0" w:oddVBand="0" w:evenVBand="0" w:oddHBand="0" w:evenHBand="0" w:firstRowFirstColumn="0" w:firstRowLastColumn="0" w:lastRowFirstColumn="0" w:lastRowLastColumn="0"/>
            <w:tcW w:w="2825" w:type="dxa"/>
            <w:noWrap/>
            <w:vAlign w:val="center"/>
            <w:hideMark/>
          </w:tcPr>
          <w:p w14:paraId="0F161026" w14:textId="77777777" w:rsidR="00557409" w:rsidRPr="0006015C" w:rsidRDefault="00557409" w:rsidP="007F3A2D">
            <w:pPr>
              <w:spacing w:line="360" w:lineRule="auto"/>
              <w:rPr>
                <w:rFonts w:eastAsia="Times New Roman" w:cs="Times New Roman"/>
                <w:color w:val="000000"/>
                <w:sz w:val="18"/>
                <w:szCs w:val="18"/>
                <w:lang w:eastAsia="en-GB"/>
              </w:rPr>
            </w:pPr>
            <w:r w:rsidRPr="0006015C">
              <w:rPr>
                <w:rFonts w:eastAsia="Times New Roman" w:cs="Times New Roman"/>
                <w:color w:val="000000"/>
                <w:sz w:val="18"/>
                <w:szCs w:val="18"/>
                <w:lang w:eastAsia="en-GB"/>
              </w:rPr>
              <w:t>Recipient sex</w:t>
            </w:r>
          </w:p>
        </w:tc>
        <w:tc>
          <w:tcPr>
            <w:tcW w:w="993" w:type="dxa"/>
            <w:noWrap/>
            <w:vAlign w:val="center"/>
            <w:hideMark/>
          </w:tcPr>
          <w:p w14:paraId="5C762D30" w14:textId="5B4AD5F0" w:rsidR="00557409" w:rsidRPr="0006015C" w:rsidRDefault="008807CF"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M</w:t>
            </w:r>
            <w:r w:rsidR="00557409" w:rsidRPr="0006015C">
              <w:rPr>
                <w:rFonts w:eastAsia="Times New Roman" w:cs="Times New Roman"/>
                <w:color w:val="000000"/>
                <w:sz w:val="18"/>
                <w:szCs w:val="18"/>
                <w:lang w:eastAsia="en-GB"/>
              </w:rPr>
              <w:t>ale</w:t>
            </w:r>
          </w:p>
        </w:tc>
        <w:tc>
          <w:tcPr>
            <w:tcW w:w="1134" w:type="dxa"/>
            <w:noWrap/>
            <w:vAlign w:val="center"/>
            <w:hideMark/>
          </w:tcPr>
          <w:p w14:paraId="3CB06ACC" w14:textId="77777777"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480/4,411</w:t>
            </w:r>
          </w:p>
        </w:tc>
        <w:tc>
          <w:tcPr>
            <w:tcW w:w="1417" w:type="dxa"/>
            <w:noWrap/>
            <w:vAlign w:val="center"/>
            <w:hideMark/>
          </w:tcPr>
          <w:p w14:paraId="56FDDE36" w14:textId="1C33594D" w:rsidR="008807CF" w:rsidRPr="0006015C" w:rsidRDefault="008807CF"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273/2,820</w:t>
            </w:r>
          </w:p>
        </w:tc>
        <w:tc>
          <w:tcPr>
            <w:tcW w:w="1418" w:type="dxa"/>
            <w:noWrap/>
            <w:vAlign w:val="center"/>
            <w:hideMark/>
          </w:tcPr>
          <w:p w14:paraId="6442B01B" w14:textId="16D5676C" w:rsidR="00557409" w:rsidRPr="0006015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Ref.</w:t>
            </w:r>
          </w:p>
        </w:tc>
        <w:tc>
          <w:tcPr>
            <w:tcW w:w="1251" w:type="dxa"/>
            <w:noWrap/>
            <w:vAlign w:val="center"/>
            <w:hideMark/>
          </w:tcPr>
          <w:p w14:paraId="6D6AEAA0" w14:textId="13ED5F3F" w:rsidR="00557409" w:rsidRPr="0006015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Ref.</w:t>
            </w:r>
          </w:p>
        </w:tc>
        <w:tc>
          <w:tcPr>
            <w:tcW w:w="1041" w:type="dxa"/>
            <w:noWrap/>
            <w:vAlign w:val="center"/>
            <w:hideMark/>
          </w:tcPr>
          <w:p w14:paraId="39B7EEC4" w14:textId="77777777"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479/4,388</w:t>
            </w:r>
          </w:p>
        </w:tc>
        <w:tc>
          <w:tcPr>
            <w:tcW w:w="1372" w:type="dxa"/>
            <w:noWrap/>
            <w:vAlign w:val="center"/>
            <w:hideMark/>
          </w:tcPr>
          <w:p w14:paraId="604FABBE" w14:textId="58DC496A" w:rsidR="00557409" w:rsidRPr="0006015C" w:rsidRDefault="008807CF"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273/2,806</w:t>
            </w:r>
          </w:p>
        </w:tc>
        <w:tc>
          <w:tcPr>
            <w:tcW w:w="1416" w:type="dxa"/>
            <w:noWrap/>
            <w:vAlign w:val="center"/>
            <w:hideMark/>
          </w:tcPr>
          <w:p w14:paraId="6B7C905B" w14:textId="146BB288" w:rsidR="00557409" w:rsidRPr="0006015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Ref.</w:t>
            </w:r>
          </w:p>
        </w:tc>
        <w:tc>
          <w:tcPr>
            <w:tcW w:w="1003" w:type="dxa"/>
            <w:noWrap/>
            <w:vAlign w:val="center"/>
            <w:hideMark/>
          </w:tcPr>
          <w:p w14:paraId="24BAE853" w14:textId="02ACB931" w:rsidR="00557409" w:rsidRPr="0006015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Ref.</w:t>
            </w:r>
          </w:p>
        </w:tc>
      </w:tr>
      <w:tr w:rsidR="00D53FD9" w:rsidRPr="0006015C" w14:paraId="7E3A9A7A" w14:textId="77777777" w:rsidTr="002F2BD1">
        <w:trPr>
          <w:trHeight w:val="300"/>
          <w:jc w:val="center"/>
        </w:trPr>
        <w:tc>
          <w:tcPr>
            <w:cnfStyle w:val="001000000000" w:firstRow="0" w:lastRow="0" w:firstColumn="1" w:lastColumn="0" w:oddVBand="0" w:evenVBand="0" w:oddHBand="0" w:evenHBand="0" w:firstRowFirstColumn="0" w:firstRowLastColumn="0" w:lastRowFirstColumn="0" w:lastRowLastColumn="0"/>
            <w:tcW w:w="2825" w:type="dxa"/>
            <w:noWrap/>
            <w:vAlign w:val="center"/>
          </w:tcPr>
          <w:p w14:paraId="1C0D7F51" w14:textId="25C83091" w:rsidR="00557409" w:rsidRPr="0006015C" w:rsidRDefault="00557409" w:rsidP="007F3A2D">
            <w:pPr>
              <w:spacing w:line="360" w:lineRule="auto"/>
              <w:rPr>
                <w:rFonts w:eastAsia="Times New Roman" w:cs="Times New Roman"/>
                <w:color w:val="000000"/>
                <w:sz w:val="18"/>
                <w:szCs w:val="18"/>
                <w:lang w:eastAsia="en-GB"/>
              </w:rPr>
            </w:pPr>
          </w:p>
        </w:tc>
        <w:tc>
          <w:tcPr>
            <w:tcW w:w="993" w:type="dxa"/>
            <w:noWrap/>
            <w:vAlign w:val="center"/>
            <w:hideMark/>
          </w:tcPr>
          <w:p w14:paraId="4CDA0032" w14:textId="116B8065" w:rsidR="00557409" w:rsidRPr="0006015C" w:rsidRDefault="008807CF"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Fem</w:t>
            </w:r>
            <w:r w:rsidR="00557409" w:rsidRPr="0006015C">
              <w:rPr>
                <w:rFonts w:eastAsia="Times New Roman" w:cs="Times New Roman"/>
                <w:color w:val="000000"/>
                <w:sz w:val="18"/>
                <w:szCs w:val="18"/>
                <w:lang w:eastAsia="en-GB"/>
              </w:rPr>
              <w:t>ale</w:t>
            </w:r>
          </w:p>
        </w:tc>
        <w:tc>
          <w:tcPr>
            <w:tcW w:w="1134" w:type="dxa"/>
            <w:noWrap/>
            <w:vAlign w:val="center"/>
          </w:tcPr>
          <w:p w14:paraId="624659BA" w14:textId="266C7A83"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417" w:type="dxa"/>
            <w:noWrap/>
            <w:vAlign w:val="center"/>
            <w:hideMark/>
          </w:tcPr>
          <w:p w14:paraId="3FED0D10" w14:textId="03BD7B1B" w:rsidR="00557409" w:rsidRPr="0006015C" w:rsidRDefault="008807CF"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207/1,591</w:t>
            </w:r>
          </w:p>
        </w:tc>
        <w:tc>
          <w:tcPr>
            <w:tcW w:w="1418" w:type="dxa"/>
            <w:noWrap/>
            <w:vAlign w:val="center"/>
            <w:hideMark/>
          </w:tcPr>
          <w:p w14:paraId="041AE626" w14:textId="4A4BCD9B" w:rsidR="00557409" w:rsidRPr="0006015C" w:rsidRDefault="00AC0022"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1</w:t>
            </w:r>
            <w:r w:rsidR="009B49E1" w:rsidRPr="0006015C">
              <w:rPr>
                <w:rFonts w:eastAsia="Times New Roman" w:cs="Times New Roman"/>
                <w:color w:val="000000"/>
                <w:sz w:val="18"/>
                <w:szCs w:val="18"/>
                <w:lang w:eastAsia="en-GB"/>
              </w:rPr>
              <w:t>.</w:t>
            </w:r>
            <w:r w:rsidRPr="0006015C">
              <w:rPr>
                <w:rFonts w:eastAsia="Times New Roman" w:cs="Times New Roman"/>
                <w:color w:val="000000"/>
                <w:sz w:val="18"/>
                <w:szCs w:val="18"/>
                <w:lang w:eastAsia="en-GB"/>
              </w:rPr>
              <w:t>32</w:t>
            </w:r>
            <w:r w:rsidR="00557409" w:rsidRPr="0006015C">
              <w:rPr>
                <w:rFonts w:eastAsia="Times New Roman" w:cs="Times New Roman"/>
                <w:color w:val="000000"/>
                <w:sz w:val="18"/>
                <w:szCs w:val="18"/>
                <w:lang w:eastAsia="en-GB"/>
              </w:rPr>
              <w:t xml:space="preserve"> (</w:t>
            </w:r>
            <w:r w:rsidRPr="0006015C">
              <w:rPr>
                <w:rFonts w:eastAsia="Times New Roman" w:cs="Times New Roman"/>
                <w:color w:val="000000"/>
                <w:sz w:val="18"/>
                <w:szCs w:val="18"/>
                <w:lang w:eastAsia="en-GB"/>
              </w:rPr>
              <w:t>1</w:t>
            </w:r>
            <w:r w:rsidR="009B49E1" w:rsidRPr="0006015C">
              <w:rPr>
                <w:rFonts w:eastAsia="Times New Roman" w:cs="Times New Roman"/>
                <w:color w:val="000000"/>
                <w:sz w:val="18"/>
                <w:szCs w:val="18"/>
                <w:lang w:eastAsia="en-GB"/>
              </w:rPr>
              <w:t>.</w:t>
            </w:r>
            <w:r w:rsidRPr="0006015C">
              <w:rPr>
                <w:rFonts w:eastAsia="Times New Roman" w:cs="Times New Roman"/>
                <w:color w:val="000000"/>
                <w:sz w:val="18"/>
                <w:szCs w:val="18"/>
                <w:lang w:eastAsia="en-GB"/>
              </w:rPr>
              <w:t>10</w:t>
            </w:r>
            <w:r w:rsidR="00557409" w:rsidRPr="0006015C">
              <w:rPr>
                <w:rFonts w:eastAsia="Times New Roman" w:cs="Times New Roman"/>
                <w:color w:val="000000"/>
                <w:sz w:val="18"/>
                <w:szCs w:val="18"/>
                <w:lang w:eastAsia="en-GB"/>
              </w:rPr>
              <w:t>–</w:t>
            </w:r>
            <w:r w:rsidRPr="0006015C">
              <w:rPr>
                <w:rFonts w:eastAsia="Times New Roman" w:cs="Times New Roman"/>
                <w:color w:val="000000"/>
                <w:sz w:val="18"/>
                <w:szCs w:val="18"/>
                <w:lang w:eastAsia="en-GB"/>
              </w:rPr>
              <w:t>1</w:t>
            </w:r>
            <w:r w:rsidR="009B49E1" w:rsidRPr="0006015C">
              <w:rPr>
                <w:rFonts w:eastAsia="Times New Roman" w:cs="Times New Roman"/>
                <w:color w:val="000000"/>
                <w:sz w:val="18"/>
                <w:szCs w:val="18"/>
                <w:lang w:eastAsia="en-GB"/>
              </w:rPr>
              <w:t>.</w:t>
            </w:r>
            <w:r w:rsidRPr="0006015C">
              <w:rPr>
                <w:rFonts w:eastAsia="Times New Roman" w:cs="Times New Roman"/>
                <w:color w:val="000000"/>
                <w:sz w:val="18"/>
                <w:szCs w:val="18"/>
                <w:lang w:eastAsia="en-GB"/>
              </w:rPr>
              <w:t>58</w:t>
            </w:r>
            <w:r w:rsidR="00557409" w:rsidRPr="0006015C">
              <w:rPr>
                <w:rFonts w:eastAsia="Times New Roman" w:cs="Times New Roman"/>
                <w:color w:val="000000"/>
                <w:sz w:val="18"/>
                <w:szCs w:val="18"/>
                <w:lang w:eastAsia="en-GB"/>
              </w:rPr>
              <w:t>)</w:t>
            </w:r>
          </w:p>
        </w:tc>
        <w:tc>
          <w:tcPr>
            <w:tcW w:w="1251" w:type="dxa"/>
            <w:noWrap/>
            <w:vAlign w:val="center"/>
            <w:hideMark/>
          </w:tcPr>
          <w:p w14:paraId="16FBF049" w14:textId="591B9B75"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0</w:t>
            </w:r>
            <w:r w:rsidR="009B49E1" w:rsidRPr="0006015C">
              <w:rPr>
                <w:rFonts w:eastAsia="Times New Roman" w:cs="Times New Roman"/>
                <w:color w:val="000000"/>
                <w:sz w:val="18"/>
                <w:szCs w:val="18"/>
                <w:lang w:eastAsia="en-GB"/>
              </w:rPr>
              <w:t>.</w:t>
            </w:r>
            <w:r w:rsidRPr="0006015C">
              <w:rPr>
                <w:rFonts w:eastAsia="Times New Roman" w:cs="Times New Roman"/>
                <w:color w:val="000000"/>
                <w:sz w:val="18"/>
                <w:szCs w:val="18"/>
                <w:lang w:eastAsia="en-GB"/>
              </w:rPr>
              <w:t>0024</w:t>
            </w:r>
          </w:p>
        </w:tc>
        <w:tc>
          <w:tcPr>
            <w:tcW w:w="1041" w:type="dxa"/>
            <w:noWrap/>
            <w:vAlign w:val="center"/>
          </w:tcPr>
          <w:p w14:paraId="5A3DE800" w14:textId="2AA4C6B0"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372" w:type="dxa"/>
            <w:noWrap/>
            <w:vAlign w:val="center"/>
            <w:hideMark/>
          </w:tcPr>
          <w:p w14:paraId="13FA2CC8" w14:textId="5C5C95E7" w:rsidR="008807CF" w:rsidRPr="0006015C" w:rsidRDefault="008807CF"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206/1,582</w:t>
            </w:r>
          </w:p>
        </w:tc>
        <w:tc>
          <w:tcPr>
            <w:tcW w:w="1416" w:type="dxa"/>
            <w:noWrap/>
            <w:vAlign w:val="center"/>
            <w:hideMark/>
          </w:tcPr>
          <w:p w14:paraId="7F94B3E4" w14:textId="2E3E8412" w:rsidR="00557409" w:rsidRPr="0006015C" w:rsidRDefault="00AC0022"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1</w:t>
            </w:r>
            <w:r w:rsidR="009B49E1" w:rsidRPr="0006015C">
              <w:rPr>
                <w:rFonts w:eastAsia="Times New Roman" w:cs="Times New Roman"/>
                <w:color w:val="000000"/>
                <w:sz w:val="18"/>
                <w:szCs w:val="18"/>
                <w:lang w:eastAsia="en-GB"/>
              </w:rPr>
              <w:t>.</w:t>
            </w:r>
            <w:r w:rsidRPr="0006015C">
              <w:rPr>
                <w:rFonts w:eastAsia="Times New Roman" w:cs="Times New Roman"/>
                <w:color w:val="000000"/>
                <w:sz w:val="18"/>
                <w:szCs w:val="18"/>
                <w:lang w:eastAsia="en-GB"/>
              </w:rPr>
              <w:t>19</w:t>
            </w:r>
            <w:r w:rsidR="00557409" w:rsidRPr="0006015C">
              <w:rPr>
                <w:rFonts w:eastAsia="Times New Roman" w:cs="Times New Roman"/>
                <w:color w:val="000000"/>
                <w:sz w:val="18"/>
                <w:szCs w:val="18"/>
                <w:lang w:eastAsia="en-GB"/>
              </w:rPr>
              <w:t xml:space="preserve"> (0</w:t>
            </w:r>
            <w:r w:rsidR="009B49E1" w:rsidRPr="0006015C">
              <w:rPr>
                <w:rFonts w:eastAsia="Times New Roman" w:cs="Times New Roman"/>
                <w:color w:val="000000"/>
                <w:sz w:val="18"/>
                <w:szCs w:val="18"/>
                <w:lang w:eastAsia="en-GB"/>
              </w:rPr>
              <w:t>.</w:t>
            </w:r>
            <w:r w:rsidRPr="0006015C">
              <w:rPr>
                <w:rFonts w:eastAsia="Times New Roman" w:cs="Times New Roman"/>
                <w:color w:val="000000"/>
                <w:sz w:val="18"/>
                <w:szCs w:val="18"/>
                <w:lang w:eastAsia="en-GB"/>
              </w:rPr>
              <w:t>99</w:t>
            </w:r>
            <w:r w:rsidR="00557409" w:rsidRPr="0006015C">
              <w:rPr>
                <w:rFonts w:eastAsia="Times New Roman" w:cs="Times New Roman"/>
                <w:color w:val="000000"/>
                <w:sz w:val="18"/>
                <w:szCs w:val="18"/>
                <w:lang w:eastAsia="en-GB"/>
              </w:rPr>
              <w:t>–1</w:t>
            </w:r>
            <w:r w:rsidR="009B49E1" w:rsidRPr="0006015C">
              <w:rPr>
                <w:rFonts w:eastAsia="Times New Roman" w:cs="Times New Roman"/>
                <w:color w:val="000000"/>
                <w:sz w:val="18"/>
                <w:szCs w:val="18"/>
                <w:lang w:eastAsia="en-GB"/>
              </w:rPr>
              <w:t>.</w:t>
            </w:r>
            <w:r w:rsidRPr="0006015C">
              <w:rPr>
                <w:rFonts w:eastAsia="Times New Roman" w:cs="Times New Roman"/>
                <w:color w:val="000000"/>
                <w:sz w:val="18"/>
                <w:szCs w:val="18"/>
                <w:lang w:eastAsia="en-GB"/>
              </w:rPr>
              <w:t>43</w:t>
            </w:r>
            <w:r w:rsidR="00557409" w:rsidRPr="0006015C">
              <w:rPr>
                <w:rFonts w:eastAsia="Times New Roman" w:cs="Times New Roman"/>
                <w:color w:val="000000"/>
                <w:sz w:val="18"/>
                <w:szCs w:val="18"/>
                <w:lang w:eastAsia="en-GB"/>
              </w:rPr>
              <w:t>)</w:t>
            </w:r>
          </w:p>
        </w:tc>
        <w:tc>
          <w:tcPr>
            <w:tcW w:w="1003" w:type="dxa"/>
            <w:noWrap/>
            <w:vAlign w:val="center"/>
            <w:hideMark/>
          </w:tcPr>
          <w:p w14:paraId="06C63DB9" w14:textId="2F5D8447"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0</w:t>
            </w:r>
            <w:r w:rsidR="009B49E1" w:rsidRPr="0006015C">
              <w:rPr>
                <w:rFonts w:eastAsia="Times New Roman" w:cs="Times New Roman"/>
                <w:color w:val="000000"/>
                <w:sz w:val="18"/>
                <w:szCs w:val="18"/>
                <w:lang w:eastAsia="en-GB"/>
              </w:rPr>
              <w:t>.</w:t>
            </w:r>
            <w:r w:rsidRPr="0006015C">
              <w:rPr>
                <w:rFonts w:eastAsia="Times New Roman" w:cs="Times New Roman"/>
                <w:color w:val="000000"/>
                <w:sz w:val="18"/>
                <w:szCs w:val="18"/>
                <w:lang w:eastAsia="en-GB"/>
              </w:rPr>
              <w:t>063</w:t>
            </w:r>
          </w:p>
        </w:tc>
      </w:tr>
      <w:tr w:rsidR="00D53FD9" w:rsidRPr="0006015C" w14:paraId="3592300E" w14:textId="77777777" w:rsidTr="002F2BD1">
        <w:trPr>
          <w:trHeight w:val="300"/>
          <w:jc w:val="center"/>
        </w:trPr>
        <w:tc>
          <w:tcPr>
            <w:cnfStyle w:val="001000000000" w:firstRow="0" w:lastRow="0" w:firstColumn="1" w:lastColumn="0" w:oddVBand="0" w:evenVBand="0" w:oddHBand="0" w:evenHBand="0" w:firstRowFirstColumn="0" w:firstRowLastColumn="0" w:lastRowFirstColumn="0" w:lastRowLastColumn="0"/>
            <w:tcW w:w="2825" w:type="dxa"/>
            <w:noWrap/>
            <w:vAlign w:val="center"/>
            <w:hideMark/>
          </w:tcPr>
          <w:p w14:paraId="294523F9" w14:textId="77777777" w:rsidR="00557409" w:rsidRPr="0006015C" w:rsidRDefault="00557409" w:rsidP="007F3A2D">
            <w:pPr>
              <w:spacing w:line="360" w:lineRule="auto"/>
              <w:rPr>
                <w:rFonts w:eastAsia="Times New Roman" w:cs="Times New Roman"/>
                <w:color w:val="000000"/>
                <w:sz w:val="18"/>
                <w:szCs w:val="18"/>
                <w:lang w:eastAsia="en-GB"/>
              </w:rPr>
            </w:pPr>
            <w:r w:rsidRPr="0006015C">
              <w:rPr>
                <w:rFonts w:eastAsia="Times New Roman" w:cs="Times New Roman"/>
                <w:color w:val="000000"/>
                <w:sz w:val="18"/>
                <w:szCs w:val="18"/>
                <w:lang w:eastAsia="en-GB"/>
              </w:rPr>
              <w:t>Repeat transplantation</w:t>
            </w:r>
          </w:p>
        </w:tc>
        <w:tc>
          <w:tcPr>
            <w:tcW w:w="993" w:type="dxa"/>
            <w:noWrap/>
            <w:vAlign w:val="center"/>
            <w:hideMark/>
          </w:tcPr>
          <w:p w14:paraId="5C81BF6D" w14:textId="77777777"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No</w:t>
            </w:r>
          </w:p>
        </w:tc>
        <w:tc>
          <w:tcPr>
            <w:tcW w:w="1134" w:type="dxa"/>
            <w:noWrap/>
            <w:vAlign w:val="center"/>
            <w:hideMark/>
          </w:tcPr>
          <w:p w14:paraId="7899ACBC" w14:textId="77777777"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480/4,411</w:t>
            </w:r>
          </w:p>
        </w:tc>
        <w:tc>
          <w:tcPr>
            <w:tcW w:w="1417" w:type="dxa"/>
            <w:noWrap/>
            <w:vAlign w:val="center"/>
            <w:hideMark/>
          </w:tcPr>
          <w:p w14:paraId="3A8496F7" w14:textId="77777777"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365/3,754</w:t>
            </w:r>
          </w:p>
        </w:tc>
        <w:tc>
          <w:tcPr>
            <w:tcW w:w="1418" w:type="dxa"/>
            <w:noWrap/>
            <w:vAlign w:val="center"/>
            <w:hideMark/>
          </w:tcPr>
          <w:p w14:paraId="0BA06683" w14:textId="31A85430" w:rsidR="00557409" w:rsidRPr="0006015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Ref.</w:t>
            </w:r>
          </w:p>
        </w:tc>
        <w:tc>
          <w:tcPr>
            <w:tcW w:w="1251" w:type="dxa"/>
            <w:noWrap/>
            <w:vAlign w:val="center"/>
            <w:hideMark/>
          </w:tcPr>
          <w:p w14:paraId="23896ED5" w14:textId="21B2785A" w:rsidR="00557409" w:rsidRPr="0006015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Ref.</w:t>
            </w:r>
          </w:p>
        </w:tc>
        <w:tc>
          <w:tcPr>
            <w:tcW w:w="1041" w:type="dxa"/>
            <w:noWrap/>
            <w:vAlign w:val="center"/>
            <w:hideMark/>
          </w:tcPr>
          <w:p w14:paraId="6A6DA08B" w14:textId="77777777"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479/4,388</w:t>
            </w:r>
          </w:p>
        </w:tc>
        <w:tc>
          <w:tcPr>
            <w:tcW w:w="1372" w:type="dxa"/>
            <w:noWrap/>
            <w:vAlign w:val="center"/>
            <w:hideMark/>
          </w:tcPr>
          <w:p w14:paraId="0AB4D30F" w14:textId="77777777"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364/3,731</w:t>
            </w:r>
          </w:p>
        </w:tc>
        <w:tc>
          <w:tcPr>
            <w:tcW w:w="1416" w:type="dxa"/>
            <w:noWrap/>
            <w:vAlign w:val="center"/>
            <w:hideMark/>
          </w:tcPr>
          <w:p w14:paraId="5611A2C4" w14:textId="56BFD00A" w:rsidR="00557409" w:rsidRPr="0006015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Ref.</w:t>
            </w:r>
          </w:p>
        </w:tc>
        <w:tc>
          <w:tcPr>
            <w:tcW w:w="1003" w:type="dxa"/>
            <w:noWrap/>
            <w:vAlign w:val="center"/>
            <w:hideMark/>
          </w:tcPr>
          <w:p w14:paraId="7D9E1B81" w14:textId="179CE414" w:rsidR="00557409" w:rsidRPr="0006015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Ref.</w:t>
            </w:r>
          </w:p>
        </w:tc>
      </w:tr>
      <w:tr w:rsidR="00D53FD9" w:rsidRPr="0006015C" w14:paraId="4E088DCC" w14:textId="77777777" w:rsidTr="002F2BD1">
        <w:trPr>
          <w:trHeight w:val="300"/>
          <w:jc w:val="center"/>
        </w:trPr>
        <w:tc>
          <w:tcPr>
            <w:cnfStyle w:val="001000000000" w:firstRow="0" w:lastRow="0" w:firstColumn="1" w:lastColumn="0" w:oddVBand="0" w:evenVBand="0" w:oddHBand="0" w:evenHBand="0" w:firstRowFirstColumn="0" w:firstRowLastColumn="0" w:lastRowFirstColumn="0" w:lastRowLastColumn="0"/>
            <w:tcW w:w="2825" w:type="dxa"/>
            <w:noWrap/>
            <w:vAlign w:val="center"/>
          </w:tcPr>
          <w:p w14:paraId="444A5D3B" w14:textId="0BFBE858" w:rsidR="00557409" w:rsidRPr="0006015C" w:rsidRDefault="00557409" w:rsidP="007F3A2D">
            <w:pPr>
              <w:spacing w:line="360" w:lineRule="auto"/>
              <w:rPr>
                <w:rFonts w:eastAsia="Times New Roman" w:cs="Times New Roman"/>
                <w:color w:val="000000"/>
                <w:sz w:val="18"/>
                <w:szCs w:val="18"/>
                <w:lang w:eastAsia="en-GB"/>
              </w:rPr>
            </w:pPr>
          </w:p>
        </w:tc>
        <w:tc>
          <w:tcPr>
            <w:tcW w:w="993" w:type="dxa"/>
            <w:noWrap/>
            <w:vAlign w:val="center"/>
            <w:hideMark/>
          </w:tcPr>
          <w:p w14:paraId="73E77998" w14:textId="77777777"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Yes</w:t>
            </w:r>
          </w:p>
        </w:tc>
        <w:tc>
          <w:tcPr>
            <w:tcW w:w="1134" w:type="dxa"/>
            <w:noWrap/>
            <w:vAlign w:val="center"/>
          </w:tcPr>
          <w:p w14:paraId="1230C245" w14:textId="799B6642"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417" w:type="dxa"/>
            <w:noWrap/>
            <w:vAlign w:val="center"/>
            <w:hideMark/>
          </w:tcPr>
          <w:p w14:paraId="739982E4" w14:textId="77777777"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115/657</w:t>
            </w:r>
          </w:p>
        </w:tc>
        <w:tc>
          <w:tcPr>
            <w:tcW w:w="1418" w:type="dxa"/>
            <w:noWrap/>
            <w:vAlign w:val="center"/>
            <w:hideMark/>
          </w:tcPr>
          <w:p w14:paraId="633F5D03" w14:textId="0FE8C471"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1</w:t>
            </w:r>
            <w:r w:rsidR="009B49E1" w:rsidRPr="0006015C">
              <w:rPr>
                <w:rFonts w:eastAsia="Times New Roman" w:cs="Times New Roman"/>
                <w:color w:val="000000"/>
                <w:sz w:val="18"/>
                <w:szCs w:val="18"/>
                <w:lang w:eastAsia="en-GB"/>
              </w:rPr>
              <w:t>.</w:t>
            </w:r>
            <w:r w:rsidRPr="0006015C">
              <w:rPr>
                <w:rFonts w:eastAsia="Times New Roman" w:cs="Times New Roman"/>
                <w:color w:val="000000"/>
                <w:sz w:val="18"/>
                <w:szCs w:val="18"/>
                <w:lang w:eastAsia="en-GB"/>
              </w:rPr>
              <w:t>88 (1</w:t>
            </w:r>
            <w:r w:rsidR="009B49E1" w:rsidRPr="0006015C">
              <w:rPr>
                <w:rFonts w:eastAsia="Times New Roman" w:cs="Times New Roman"/>
                <w:color w:val="000000"/>
                <w:sz w:val="18"/>
                <w:szCs w:val="18"/>
                <w:lang w:eastAsia="en-GB"/>
              </w:rPr>
              <w:t>.</w:t>
            </w:r>
            <w:r w:rsidRPr="0006015C">
              <w:rPr>
                <w:rFonts w:eastAsia="Times New Roman" w:cs="Times New Roman"/>
                <w:color w:val="000000"/>
                <w:sz w:val="18"/>
                <w:szCs w:val="18"/>
                <w:lang w:eastAsia="en-GB"/>
              </w:rPr>
              <w:t>53–2</w:t>
            </w:r>
            <w:r w:rsidR="009B49E1" w:rsidRPr="0006015C">
              <w:rPr>
                <w:rFonts w:eastAsia="Times New Roman" w:cs="Times New Roman"/>
                <w:color w:val="000000"/>
                <w:sz w:val="18"/>
                <w:szCs w:val="18"/>
                <w:lang w:eastAsia="en-GB"/>
              </w:rPr>
              <w:t>.</w:t>
            </w:r>
            <w:r w:rsidRPr="0006015C">
              <w:rPr>
                <w:rFonts w:eastAsia="Times New Roman" w:cs="Times New Roman"/>
                <w:color w:val="000000"/>
                <w:sz w:val="18"/>
                <w:szCs w:val="18"/>
                <w:lang w:eastAsia="en-GB"/>
              </w:rPr>
              <w:t>32)</w:t>
            </w:r>
          </w:p>
        </w:tc>
        <w:tc>
          <w:tcPr>
            <w:tcW w:w="1251" w:type="dxa"/>
            <w:noWrap/>
            <w:vAlign w:val="center"/>
            <w:hideMark/>
          </w:tcPr>
          <w:p w14:paraId="10E0236B" w14:textId="152B6A39" w:rsidR="00557409" w:rsidRPr="0006015C" w:rsidRDefault="00D53FD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3.33 × 10</w:t>
            </w:r>
            <w:r w:rsidRPr="0006015C">
              <w:rPr>
                <w:rFonts w:eastAsia="Times New Roman" w:cs="Times New Roman"/>
                <w:color w:val="000000"/>
                <w:sz w:val="18"/>
                <w:szCs w:val="18"/>
                <w:vertAlign w:val="superscript"/>
                <w:lang w:eastAsia="en-GB"/>
              </w:rPr>
              <w:t>-9</w:t>
            </w:r>
          </w:p>
        </w:tc>
        <w:tc>
          <w:tcPr>
            <w:tcW w:w="1041" w:type="dxa"/>
            <w:noWrap/>
            <w:vAlign w:val="center"/>
          </w:tcPr>
          <w:p w14:paraId="01BB85DC" w14:textId="59AEEA16"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372" w:type="dxa"/>
            <w:noWrap/>
            <w:vAlign w:val="center"/>
            <w:hideMark/>
          </w:tcPr>
          <w:p w14:paraId="120AEF10" w14:textId="77777777"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115/657</w:t>
            </w:r>
          </w:p>
        </w:tc>
        <w:tc>
          <w:tcPr>
            <w:tcW w:w="1416" w:type="dxa"/>
            <w:noWrap/>
            <w:vAlign w:val="center"/>
            <w:hideMark/>
          </w:tcPr>
          <w:p w14:paraId="4881FDC0" w14:textId="4B2524C7"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1</w:t>
            </w:r>
            <w:r w:rsidR="009B49E1" w:rsidRPr="0006015C">
              <w:rPr>
                <w:rFonts w:eastAsia="Times New Roman" w:cs="Times New Roman"/>
                <w:color w:val="000000"/>
                <w:sz w:val="18"/>
                <w:szCs w:val="18"/>
                <w:lang w:eastAsia="en-GB"/>
              </w:rPr>
              <w:t>.</w:t>
            </w:r>
            <w:r w:rsidRPr="0006015C">
              <w:rPr>
                <w:rFonts w:eastAsia="Times New Roman" w:cs="Times New Roman"/>
                <w:color w:val="000000"/>
                <w:sz w:val="18"/>
                <w:szCs w:val="18"/>
                <w:lang w:eastAsia="en-GB"/>
              </w:rPr>
              <w:t>42 (1</w:t>
            </w:r>
            <w:r w:rsidR="009B49E1" w:rsidRPr="0006015C">
              <w:rPr>
                <w:rFonts w:eastAsia="Times New Roman" w:cs="Times New Roman"/>
                <w:color w:val="000000"/>
                <w:sz w:val="18"/>
                <w:szCs w:val="18"/>
                <w:lang w:eastAsia="en-GB"/>
              </w:rPr>
              <w:t>.</w:t>
            </w:r>
            <w:r w:rsidRPr="0006015C">
              <w:rPr>
                <w:rFonts w:eastAsia="Times New Roman" w:cs="Times New Roman"/>
                <w:color w:val="000000"/>
                <w:sz w:val="18"/>
                <w:szCs w:val="18"/>
                <w:lang w:eastAsia="en-GB"/>
              </w:rPr>
              <w:t>12–1</w:t>
            </w:r>
            <w:r w:rsidR="009B49E1" w:rsidRPr="0006015C">
              <w:rPr>
                <w:rFonts w:eastAsia="Times New Roman" w:cs="Times New Roman"/>
                <w:color w:val="000000"/>
                <w:sz w:val="18"/>
                <w:szCs w:val="18"/>
                <w:lang w:eastAsia="en-GB"/>
              </w:rPr>
              <w:t>.</w:t>
            </w:r>
            <w:r w:rsidRPr="0006015C">
              <w:rPr>
                <w:rFonts w:eastAsia="Times New Roman" w:cs="Times New Roman"/>
                <w:color w:val="000000"/>
                <w:sz w:val="18"/>
                <w:szCs w:val="18"/>
                <w:lang w:eastAsia="en-GB"/>
              </w:rPr>
              <w:t>81)</w:t>
            </w:r>
          </w:p>
        </w:tc>
        <w:tc>
          <w:tcPr>
            <w:tcW w:w="1003" w:type="dxa"/>
            <w:noWrap/>
            <w:vAlign w:val="center"/>
            <w:hideMark/>
          </w:tcPr>
          <w:p w14:paraId="3DF07D6D" w14:textId="6B00B484" w:rsidR="00557409" w:rsidRPr="0006015C" w:rsidRDefault="0055740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06015C">
              <w:rPr>
                <w:rFonts w:eastAsia="Times New Roman" w:cs="Times New Roman"/>
                <w:color w:val="000000"/>
                <w:sz w:val="18"/>
                <w:szCs w:val="18"/>
                <w:lang w:eastAsia="en-GB"/>
              </w:rPr>
              <w:t>0</w:t>
            </w:r>
            <w:r w:rsidR="009B49E1" w:rsidRPr="0006015C">
              <w:rPr>
                <w:rFonts w:eastAsia="Times New Roman" w:cs="Times New Roman"/>
                <w:color w:val="000000"/>
                <w:sz w:val="18"/>
                <w:szCs w:val="18"/>
                <w:lang w:eastAsia="en-GB"/>
              </w:rPr>
              <w:t>.</w:t>
            </w:r>
            <w:r w:rsidRPr="0006015C">
              <w:rPr>
                <w:rFonts w:eastAsia="Times New Roman" w:cs="Times New Roman"/>
                <w:color w:val="000000"/>
                <w:sz w:val="18"/>
                <w:szCs w:val="18"/>
                <w:lang w:eastAsia="en-GB"/>
              </w:rPr>
              <w:t>0041</w:t>
            </w:r>
          </w:p>
        </w:tc>
      </w:tr>
    </w:tbl>
    <w:p w14:paraId="3138CB9E" w14:textId="04889C97" w:rsidR="00785146" w:rsidRPr="004B723C" w:rsidRDefault="00785146" w:rsidP="00785146">
      <w:pPr>
        <w:spacing w:before="240" w:line="360" w:lineRule="auto"/>
      </w:pPr>
      <w:r w:rsidRPr="004B723C">
        <w:t xml:space="preserve">Values are hazard ratios (HRs) with 95% confidence intervals (CIs) from univariable and multivariable Cox proportional-hazards models. Total events and events per subgroup are presented as n/N, where n denotes the number of events and N the number of participants with non-missing data for the respective covariate. Multivariable models were adjusted for recipient age and sex, donor age and type (living, donation after circulatory death, donation after brain death), repeat transplantation, calendar year of transplantation, HLA mismatch, HLA-DSA status at transplantation, cold </w:t>
      </w:r>
      <w:r w:rsidR="00370E45" w:rsidRPr="004B723C">
        <w:t>ischemia</w:t>
      </w:r>
      <w:r w:rsidRPr="004B723C">
        <w:t xml:space="preserve"> time, and transplant </w:t>
      </w:r>
      <w:r w:rsidR="00370E45" w:rsidRPr="004B723C">
        <w:t>center</w:t>
      </w:r>
      <w:r w:rsidRPr="004B723C">
        <w:t>.</w:t>
      </w:r>
    </w:p>
    <w:p w14:paraId="6AE8396C" w14:textId="5B28D09C" w:rsidR="00785146" w:rsidRPr="004B723C" w:rsidRDefault="00785146" w:rsidP="00785146">
      <w:pPr>
        <w:spacing w:before="240" w:line="360" w:lineRule="auto"/>
      </w:pPr>
      <w:r w:rsidRPr="004B723C">
        <w:t xml:space="preserve">Abbreviations: CMV, cytomegalovirus; D, donor; DSA, donor-specific antibody; HLA, human leukocyte antigen; R, recipient; </w:t>
      </w:r>
      <w:r w:rsidR="00D45F56" w:rsidRPr="004B723C">
        <w:t>Ref.</w:t>
      </w:r>
      <w:r w:rsidRPr="004B723C">
        <w:t>, reference.</w:t>
      </w:r>
    </w:p>
    <w:p w14:paraId="6FCCC1E9" w14:textId="77777777" w:rsidR="00897C03" w:rsidRPr="004B723C" w:rsidRDefault="00897C03" w:rsidP="007F3A2D">
      <w:pPr>
        <w:spacing w:line="360" w:lineRule="auto"/>
      </w:pPr>
    </w:p>
    <w:p w14:paraId="33954301" w14:textId="77777777" w:rsidR="008F2DD5" w:rsidRPr="004B723C" w:rsidRDefault="008F2DD5" w:rsidP="007F3A2D">
      <w:pPr>
        <w:spacing w:line="360" w:lineRule="auto"/>
        <w:sectPr w:rsidR="008F2DD5" w:rsidRPr="004B723C" w:rsidSect="00380509">
          <w:pgSz w:w="16838" w:h="11906" w:orient="landscape"/>
          <w:pgMar w:top="1417" w:right="1417" w:bottom="1417" w:left="1417" w:header="708" w:footer="708" w:gutter="0"/>
          <w:cols w:space="708"/>
          <w:docGrid w:linePitch="360"/>
        </w:sectPr>
      </w:pPr>
    </w:p>
    <w:p w14:paraId="37031AB3" w14:textId="30B33E6E" w:rsidR="000842A0" w:rsidRPr="004B723C" w:rsidRDefault="000842A0" w:rsidP="007F3A2D">
      <w:pPr>
        <w:pStyle w:val="Heading2"/>
        <w:spacing w:line="360" w:lineRule="auto"/>
        <w:rPr>
          <w:rFonts w:cs="Times New Roman"/>
          <w:sz w:val="22"/>
          <w:szCs w:val="22"/>
        </w:rPr>
      </w:pPr>
      <w:bookmarkStart w:id="14" w:name="_Toc216645096"/>
      <w:r w:rsidRPr="004B723C">
        <w:rPr>
          <w:rFonts w:cs="Times New Roman"/>
          <w:sz w:val="22"/>
          <w:szCs w:val="22"/>
        </w:rPr>
        <w:lastRenderedPageBreak/>
        <w:t xml:space="preserve">Table </w:t>
      </w:r>
      <w:r w:rsidR="00267FED" w:rsidRPr="004B723C">
        <w:rPr>
          <w:rFonts w:cs="Times New Roman"/>
          <w:sz w:val="22"/>
          <w:szCs w:val="22"/>
        </w:rPr>
        <w:t>S11</w:t>
      </w:r>
      <w:r w:rsidR="004F11FF" w:rsidRPr="004B723C">
        <w:rPr>
          <w:rFonts w:cs="Times New Roman"/>
          <w:sz w:val="22"/>
          <w:szCs w:val="22"/>
        </w:rPr>
        <w:t>:</w:t>
      </w:r>
      <w:r w:rsidRPr="004B723C">
        <w:rPr>
          <w:rFonts w:cs="Times New Roman"/>
          <w:sz w:val="22"/>
          <w:szCs w:val="22"/>
        </w:rPr>
        <w:t xml:space="preserve"> </w:t>
      </w:r>
      <w:r w:rsidR="00BA3843" w:rsidRPr="004B723C">
        <w:rPr>
          <w:rFonts w:cs="Times New Roman"/>
          <w:sz w:val="22"/>
          <w:szCs w:val="22"/>
        </w:rPr>
        <w:t>Mediation analysis of the association between CMV serostatus, HLA–DSA status, HLA mismatch and graft failure</w:t>
      </w:r>
      <w:bookmarkEnd w:id="14"/>
    </w:p>
    <w:tbl>
      <w:tblPr>
        <w:tblStyle w:val="Nature"/>
        <w:tblW w:w="0" w:type="auto"/>
        <w:jc w:val="center"/>
        <w:tblLayout w:type="fixed"/>
        <w:tblLook w:val="04A0" w:firstRow="1" w:lastRow="0" w:firstColumn="1" w:lastColumn="0" w:noHBand="0" w:noVBand="1"/>
      </w:tblPr>
      <w:tblGrid>
        <w:gridCol w:w="1550"/>
        <w:gridCol w:w="708"/>
        <w:gridCol w:w="851"/>
        <w:gridCol w:w="1417"/>
        <w:gridCol w:w="1134"/>
        <w:gridCol w:w="1418"/>
        <w:gridCol w:w="1134"/>
        <w:gridCol w:w="2410"/>
        <w:gridCol w:w="1296"/>
        <w:gridCol w:w="2066"/>
      </w:tblGrid>
      <w:tr w:rsidR="001670D7" w:rsidRPr="004B723C" w14:paraId="258E561F" w14:textId="77777777" w:rsidTr="00DD6327">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50" w:type="dxa"/>
            <w:noWrap/>
            <w:vAlign w:val="center"/>
            <w:hideMark/>
          </w:tcPr>
          <w:p w14:paraId="591B1B63" w14:textId="4FF43AF2" w:rsidR="00DA1143" w:rsidRPr="004B723C" w:rsidRDefault="004B5585" w:rsidP="007F3A2D">
            <w:pPr>
              <w:spacing w:line="360" w:lineRule="auto"/>
              <w:jc w:val="center"/>
              <w:rPr>
                <w:rFonts w:eastAsia="Times New Roman" w:cs="Times New Roman"/>
                <w:b/>
                <w:bCs/>
                <w:i w:val="0"/>
                <w:iCs w:val="0"/>
                <w:color w:val="000000"/>
                <w:sz w:val="18"/>
                <w:szCs w:val="18"/>
                <w:lang w:eastAsia="en-GB"/>
              </w:rPr>
            </w:pPr>
            <w:r>
              <w:rPr>
                <w:rFonts w:eastAsia="Times New Roman" w:cs="Times New Roman"/>
                <w:b/>
                <w:bCs/>
                <w:color w:val="000000"/>
                <w:sz w:val="18"/>
                <w:szCs w:val="18"/>
                <w:lang w:eastAsia="en-GB"/>
              </w:rPr>
              <w:t>Factors</w:t>
            </w:r>
          </w:p>
        </w:tc>
        <w:tc>
          <w:tcPr>
            <w:tcW w:w="708" w:type="dxa"/>
            <w:noWrap/>
            <w:vAlign w:val="center"/>
            <w:hideMark/>
          </w:tcPr>
          <w:p w14:paraId="7FF68C83" w14:textId="77777777" w:rsidR="00DA1143" w:rsidRPr="004B723C" w:rsidRDefault="00DA1143" w:rsidP="007F3A2D">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i w:val="0"/>
                <w:iCs w:val="0"/>
                <w:color w:val="000000"/>
                <w:sz w:val="18"/>
                <w:szCs w:val="18"/>
                <w:lang w:eastAsia="en-GB"/>
              </w:rPr>
            </w:pPr>
            <w:r w:rsidRPr="004B723C">
              <w:rPr>
                <w:rFonts w:eastAsia="Times New Roman" w:cs="Times New Roman"/>
                <w:b/>
                <w:bCs/>
                <w:color w:val="000000"/>
                <w:sz w:val="18"/>
                <w:szCs w:val="18"/>
                <w:lang w:eastAsia="en-GB"/>
              </w:rPr>
              <w:t>N</w:t>
            </w:r>
          </w:p>
        </w:tc>
        <w:tc>
          <w:tcPr>
            <w:tcW w:w="851" w:type="dxa"/>
            <w:noWrap/>
            <w:vAlign w:val="center"/>
            <w:hideMark/>
          </w:tcPr>
          <w:p w14:paraId="30797ED8" w14:textId="77777777" w:rsidR="00DA1143" w:rsidRPr="004B723C" w:rsidRDefault="00DA1143" w:rsidP="007F3A2D">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i w:val="0"/>
                <w:iCs w:val="0"/>
                <w:color w:val="000000"/>
                <w:sz w:val="18"/>
                <w:szCs w:val="18"/>
                <w:lang w:eastAsia="en-GB"/>
              </w:rPr>
            </w:pPr>
            <w:r w:rsidRPr="004B723C">
              <w:rPr>
                <w:rFonts w:eastAsia="Times New Roman" w:cs="Times New Roman"/>
                <w:b/>
                <w:bCs/>
                <w:color w:val="000000"/>
                <w:sz w:val="18"/>
                <w:szCs w:val="18"/>
                <w:lang w:eastAsia="en-GB"/>
              </w:rPr>
              <w:t>Events</w:t>
            </w:r>
          </w:p>
        </w:tc>
        <w:tc>
          <w:tcPr>
            <w:tcW w:w="1417" w:type="dxa"/>
            <w:noWrap/>
            <w:vAlign w:val="center"/>
            <w:hideMark/>
          </w:tcPr>
          <w:p w14:paraId="4003E4AF" w14:textId="20AD9CB0" w:rsidR="00DA1143" w:rsidRPr="004B723C" w:rsidRDefault="00DA1143" w:rsidP="007F3A2D">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i w:val="0"/>
                <w:iCs w:val="0"/>
                <w:color w:val="000000"/>
                <w:sz w:val="18"/>
                <w:szCs w:val="18"/>
                <w:lang w:eastAsia="en-GB"/>
              </w:rPr>
            </w:pPr>
            <w:r w:rsidRPr="004B723C">
              <w:rPr>
                <w:rFonts w:eastAsia="Times New Roman" w:cs="Times New Roman"/>
                <w:b/>
                <w:bCs/>
                <w:color w:val="000000"/>
                <w:sz w:val="18"/>
                <w:szCs w:val="18"/>
                <w:lang w:eastAsia="en-GB"/>
              </w:rPr>
              <w:t>Total effect</w:t>
            </w:r>
            <w:r w:rsidRPr="004B723C">
              <w:rPr>
                <w:rFonts w:eastAsia="Times New Roman" w:cs="Times New Roman"/>
                <w:b/>
                <w:bCs/>
                <w:color w:val="000000"/>
                <w:sz w:val="18"/>
                <w:szCs w:val="18"/>
                <w:lang w:eastAsia="en-GB"/>
              </w:rPr>
              <w:br/>
              <w:t>HR (95% CI)</w:t>
            </w:r>
          </w:p>
        </w:tc>
        <w:tc>
          <w:tcPr>
            <w:tcW w:w="1134" w:type="dxa"/>
            <w:noWrap/>
            <w:vAlign w:val="center"/>
            <w:hideMark/>
          </w:tcPr>
          <w:p w14:paraId="7068DA99" w14:textId="0B389F0C" w:rsidR="00DA1143" w:rsidRPr="004B723C" w:rsidRDefault="008A5B77" w:rsidP="007F3A2D">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i w:val="0"/>
                <w:iCs w:val="0"/>
                <w:color w:val="000000"/>
                <w:sz w:val="18"/>
                <w:szCs w:val="18"/>
                <w:lang w:eastAsia="en-GB"/>
              </w:rPr>
            </w:pPr>
            <w:r>
              <w:rPr>
                <w:rFonts w:eastAsia="Times New Roman" w:cs="Times New Roman"/>
                <w:b/>
                <w:bCs/>
                <w:color w:val="000000"/>
                <w:sz w:val="18"/>
                <w:szCs w:val="18"/>
                <w:lang w:eastAsia="en-GB"/>
              </w:rPr>
              <w:t>P</w:t>
            </w:r>
            <w:r w:rsidR="00DA1143" w:rsidRPr="004B723C">
              <w:rPr>
                <w:rFonts w:eastAsia="Times New Roman" w:cs="Times New Roman"/>
                <w:b/>
                <w:bCs/>
                <w:color w:val="000000"/>
                <w:sz w:val="18"/>
                <w:szCs w:val="18"/>
                <w:lang w:eastAsia="en-GB"/>
              </w:rPr>
              <w:t xml:space="preserve"> value</w:t>
            </w:r>
          </w:p>
        </w:tc>
        <w:tc>
          <w:tcPr>
            <w:tcW w:w="1418" w:type="dxa"/>
            <w:noWrap/>
            <w:vAlign w:val="center"/>
            <w:hideMark/>
          </w:tcPr>
          <w:p w14:paraId="0197154C" w14:textId="7EBB8A3E" w:rsidR="00DA1143" w:rsidRPr="004B723C" w:rsidRDefault="00DA1143" w:rsidP="007F3A2D">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i w:val="0"/>
                <w:iCs w:val="0"/>
                <w:color w:val="000000"/>
                <w:sz w:val="18"/>
                <w:szCs w:val="18"/>
                <w:lang w:eastAsia="en-GB"/>
              </w:rPr>
            </w:pPr>
            <w:r w:rsidRPr="004B723C">
              <w:rPr>
                <w:rFonts w:eastAsia="Times New Roman" w:cs="Times New Roman"/>
                <w:b/>
                <w:bCs/>
                <w:color w:val="000000"/>
                <w:sz w:val="18"/>
                <w:szCs w:val="18"/>
                <w:lang w:eastAsia="en-GB"/>
              </w:rPr>
              <w:t>Direct effect</w:t>
            </w:r>
            <w:r w:rsidRPr="004B723C">
              <w:rPr>
                <w:rFonts w:eastAsia="Times New Roman" w:cs="Times New Roman"/>
                <w:b/>
                <w:bCs/>
                <w:color w:val="000000"/>
                <w:sz w:val="18"/>
                <w:szCs w:val="18"/>
                <w:lang w:eastAsia="en-GB"/>
              </w:rPr>
              <w:br/>
              <w:t>HR (95% CI)</w:t>
            </w:r>
          </w:p>
        </w:tc>
        <w:tc>
          <w:tcPr>
            <w:tcW w:w="1134" w:type="dxa"/>
            <w:noWrap/>
            <w:vAlign w:val="center"/>
            <w:hideMark/>
          </w:tcPr>
          <w:p w14:paraId="1C18C5E0" w14:textId="5359A677" w:rsidR="00DA1143" w:rsidRPr="004B723C" w:rsidRDefault="008A5B77" w:rsidP="007F3A2D">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i w:val="0"/>
                <w:iCs w:val="0"/>
                <w:color w:val="000000"/>
                <w:sz w:val="18"/>
                <w:szCs w:val="18"/>
                <w:lang w:eastAsia="en-GB"/>
              </w:rPr>
            </w:pPr>
            <w:r>
              <w:rPr>
                <w:rFonts w:eastAsia="Times New Roman" w:cs="Times New Roman"/>
                <w:b/>
                <w:bCs/>
                <w:color w:val="000000"/>
                <w:sz w:val="18"/>
                <w:szCs w:val="18"/>
                <w:lang w:eastAsia="en-GB"/>
              </w:rPr>
              <w:t>P</w:t>
            </w:r>
            <w:r w:rsidR="00DA1143" w:rsidRPr="004B723C">
              <w:rPr>
                <w:rFonts w:eastAsia="Times New Roman" w:cs="Times New Roman"/>
                <w:b/>
                <w:bCs/>
                <w:color w:val="000000"/>
                <w:sz w:val="18"/>
                <w:szCs w:val="18"/>
                <w:lang w:eastAsia="en-GB"/>
              </w:rPr>
              <w:t xml:space="preserve"> value </w:t>
            </w:r>
          </w:p>
        </w:tc>
        <w:tc>
          <w:tcPr>
            <w:tcW w:w="2410" w:type="dxa"/>
            <w:noWrap/>
            <w:vAlign w:val="center"/>
            <w:hideMark/>
          </w:tcPr>
          <w:p w14:paraId="7D6BDDDE" w14:textId="45CF7EB0" w:rsidR="00DA1143" w:rsidRPr="004B723C" w:rsidRDefault="001670D7" w:rsidP="007F3A2D">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i w:val="0"/>
                <w:iCs w:val="0"/>
                <w:color w:val="000000"/>
                <w:sz w:val="18"/>
                <w:szCs w:val="18"/>
                <w:lang w:eastAsia="en-GB"/>
              </w:rPr>
            </w:pPr>
            <w:r w:rsidRPr="004B723C">
              <w:rPr>
                <w:rFonts w:eastAsia="Times New Roman" w:cs="Times New Roman"/>
                <w:b/>
                <w:bCs/>
                <w:color w:val="000000"/>
                <w:sz w:val="18"/>
                <w:szCs w:val="18"/>
                <w:lang w:eastAsia="en-GB"/>
              </w:rPr>
              <w:t>MVI (time-dependent)</w:t>
            </w:r>
            <w:r w:rsidRPr="004B723C">
              <w:rPr>
                <w:rFonts w:eastAsia="Times New Roman" w:cs="Times New Roman"/>
                <w:b/>
                <w:bCs/>
                <w:color w:val="000000"/>
                <w:sz w:val="18"/>
                <w:szCs w:val="18"/>
                <w:lang w:eastAsia="en-GB"/>
              </w:rPr>
              <w:br/>
            </w:r>
            <w:r w:rsidR="00DA1143" w:rsidRPr="004B723C">
              <w:rPr>
                <w:rFonts w:eastAsia="Times New Roman" w:cs="Times New Roman"/>
                <w:b/>
                <w:bCs/>
                <w:color w:val="000000"/>
                <w:sz w:val="18"/>
                <w:szCs w:val="18"/>
                <w:lang w:eastAsia="en-GB"/>
              </w:rPr>
              <w:t>HR (95% CI)</w:t>
            </w:r>
          </w:p>
        </w:tc>
        <w:tc>
          <w:tcPr>
            <w:tcW w:w="1296" w:type="dxa"/>
            <w:noWrap/>
            <w:vAlign w:val="center"/>
            <w:hideMark/>
          </w:tcPr>
          <w:p w14:paraId="2E2B7B88" w14:textId="010BCB97" w:rsidR="00DA1143" w:rsidRPr="004B723C" w:rsidRDefault="008A5B77" w:rsidP="007F3A2D">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i w:val="0"/>
                <w:iCs w:val="0"/>
                <w:color w:val="000000"/>
                <w:sz w:val="18"/>
                <w:szCs w:val="18"/>
                <w:lang w:eastAsia="en-GB"/>
              </w:rPr>
            </w:pPr>
            <w:r>
              <w:rPr>
                <w:rFonts w:eastAsia="Times New Roman" w:cs="Times New Roman"/>
                <w:b/>
                <w:bCs/>
                <w:color w:val="000000"/>
                <w:sz w:val="18"/>
                <w:szCs w:val="18"/>
                <w:lang w:eastAsia="en-GB"/>
              </w:rPr>
              <w:t>P</w:t>
            </w:r>
            <w:r w:rsidR="00DA1143" w:rsidRPr="004B723C">
              <w:rPr>
                <w:rFonts w:eastAsia="Times New Roman" w:cs="Times New Roman"/>
                <w:b/>
                <w:bCs/>
                <w:color w:val="000000"/>
                <w:sz w:val="18"/>
                <w:szCs w:val="18"/>
                <w:lang w:eastAsia="en-GB"/>
              </w:rPr>
              <w:t xml:space="preserve"> value</w:t>
            </w:r>
          </w:p>
        </w:tc>
        <w:tc>
          <w:tcPr>
            <w:tcW w:w="2066" w:type="dxa"/>
            <w:noWrap/>
            <w:vAlign w:val="center"/>
            <w:hideMark/>
          </w:tcPr>
          <w:p w14:paraId="552EE599" w14:textId="66D18A16" w:rsidR="00DA1143" w:rsidRPr="004B723C" w:rsidRDefault="00DA1143" w:rsidP="007F3A2D">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i w:val="0"/>
                <w:iCs w:val="0"/>
                <w:color w:val="000000"/>
                <w:sz w:val="18"/>
                <w:szCs w:val="18"/>
                <w:lang w:eastAsia="en-GB"/>
              </w:rPr>
            </w:pPr>
            <w:r w:rsidRPr="004B723C">
              <w:rPr>
                <w:rFonts w:eastAsia="Times New Roman" w:cs="Times New Roman"/>
                <w:b/>
                <w:bCs/>
                <w:color w:val="000000"/>
                <w:sz w:val="18"/>
                <w:szCs w:val="18"/>
                <w:lang w:eastAsia="en-GB"/>
              </w:rPr>
              <w:t xml:space="preserve">Attenuation </w:t>
            </w:r>
            <w:r w:rsidR="001670D7" w:rsidRPr="004B723C">
              <w:rPr>
                <w:rFonts w:eastAsia="Times New Roman" w:cs="Times New Roman"/>
                <w:b/>
                <w:bCs/>
                <w:color w:val="000000"/>
                <w:sz w:val="18"/>
                <w:szCs w:val="18"/>
                <w:lang w:eastAsia="en-GB"/>
              </w:rPr>
              <w:t>%</w:t>
            </w:r>
            <w:r w:rsidRPr="004B723C">
              <w:rPr>
                <w:rFonts w:eastAsia="Times New Roman" w:cs="Times New Roman"/>
                <w:b/>
                <w:bCs/>
                <w:color w:val="000000"/>
                <w:sz w:val="18"/>
                <w:szCs w:val="18"/>
                <w:lang w:eastAsia="en-GB"/>
              </w:rPr>
              <w:br/>
              <w:t>(boot 95% CI)</w:t>
            </w:r>
          </w:p>
        </w:tc>
      </w:tr>
      <w:tr w:rsidR="001670D7" w:rsidRPr="004B723C" w14:paraId="1793D267" w14:textId="77777777" w:rsidTr="00DD6327">
        <w:trPr>
          <w:trHeight w:val="300"/>
          <w:jc w:val="center"/>
        </w:trPr>
        <w:tc>
          <w:tcPr>
            <w:cnfStyle w:val="001000000000" w:firstRow="0" w:lastRow="0" w:firstColumn="1" w:lastColumn="0" w:oddVBand="0" w:evenVBand="0" w:oddHBand="0" w:evenHBand="0" w:firstRowFirstColumn="0" w:firstRowLastColumn="0" w:lastRowFirstColumn="0" w:lastRowLastColumn="0"/>
            <w:tcW w:w="1550" w:type="dxa"/>
            <w:noWrap/>
            <w:vAlign w:val="center"/>
            <w:hideMark/>
          </w:tcPr>
          <w:p w14:paraId="608A9A43" w14:textId="77777777" w:rsidR="00DA1143" w:rsidRPr="004B723C" w:rsidRDefault="00DA1143" w:rsidP="007F3A2D">
            <w:pPr>
              <w:spacing w:line="360" w:lineRule="auto"/>
              <w:jc w:val="center"/>
              <w:rPr>
                <w:rFonts w:eastAsia="Times New Roman" w:cs="Times New Roman"/>
                <w:color w:val="000000"/>
                <w:sz w:val="18"/>
                <w:szCs w:val="18"/>
                <w:lang w:eastAsia="en-GB"/>
              </w:rPr>
            </w:pPr>
            <w:r w:rsidRPr="004B723C">
              <w:rPr>
                <w:rFonts w:eastAsia="Times New Roman" w:cs="Times New Roman"/>
                <w:color w:val="000000"/>
                <w:sz w:val="18"/>
                <w:szCs w:val="18"/>
                <w:lang w:eastAsia="en-GB"/>
              </w:rPr>
              <w:t>D+/R−</w:t>
            </w:r>
          </w:p>
        </w:tc>
        <w:tc>
          <w:tcPr>
            <w:tcW w:w="708" w:type="dxa"/>
            <w:noWrap/>
            <w:vAlign w:val="center"/>
            <w:hideMark/>
          </w:tcPr>
          <w:p w14:paraId="404CD342" w14:textId="77777777" w:rsidR="00DA1143" w:rsidRPr="004B723C" w:rsidRDefault="00DA1143"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1467</w:t>
            </w:r>
          </w:p>
        </w:tc>
        <w:tc>
          <w:tcPr>
            <w:tcW w:w="851" w:type="dxa"/>
            <w:noWrap/>
            <w:vAlign w:val="center"/>
            <w:hideMark/>
          </w:tcPr>
          <w:p w14:paraId="5E51596D" w14:textId="77777777" w:rsidR="00DA1143" w:rsidRPr="004B723C" w:rsidRDefault="00DA1143"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149</w:t>
            </w:r>
          </w:p>
        </w:tc>
        <w:tc>
          <w:tcPr>
            <w:tcW w:w="1417" w:type="dxa"/>
            <w:noWrap/>
            <w:vAlign w:val="center"/>
            <w:hideMark/>
          </w:tcPr>
          <w:p w14:paraId="71E08B41" w14:textId="5FBFA742" w:rsidR="00DA1143" w:rsidRPr="004B723C" w:rsidRDefault="00DA1143"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rPr>
              <w:t>1</w:t>
            </w:r>
            <w:r w:rsidR="00EC0B3D" w:rsidRPr="004B723C">
              <w:rPr>
                <w:rFonts w:eastAsia="Times New Roman" w:cs="Times New Roman"/>
                <w:color w:val="000000"/>
                <w:sz w:val="18"/>
                <w:szCs w:val="18"/>
              </w:rPr>
              <w:t>.</w:t>
            </w:r>
            <w:r w:rsidRPr="004B723C">
              <w:rPr>
                <w:rFonts w:eastAsia="Times New Roman" w:cs="Times New Roman"/>
                <w:color w:val="000000"/>
                <w:sz w:val="18"/>
                <w:szCs w:val="18"/>
              </w:rPr>
              <w:t>77 (1.28-2.46)</w:t>
            </w:r>
          </w:p>
        </w:tc>
        <w:tc>
          <w:tcPr>
            <w:tcW w:w="1134" w:type="dxa"/>
            <w:noWrap/>
            <w:vAlign w:val="center"/>
            <w:hideMark/>
          </w:tcPr>
          <w:p w14:paraId="4E4B2297" w14:textId="6783FC53" w:rsidR="00DA1143" w:rsidRPr="004B723C" w:rsidRDefault="00D53FD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sz w:val="18"/>
                <w:szCs w:val="18"/>
              </w:rPr>
              <w:t>6.09 × 10</w:t>
            </w:r>
            <w:r w:rsidRPr="004B723C">
              <w:rPr>
                <w:rFonts w:cs="Times New Roman"/>
                <w:sz w:val="18"/>
                <w:szCs w:val="18"/>
                <w:vertAlign w:val="superscript"/>
              </w:rPr>
              <w:t>-4</w:t>
            </w:r>
          </w:p>
        </w:tc>
        <w:tc>
          <w:tcPr>
            <w:tcW w:w="1418" w:type="dxa"/>
            <w:noWrap/>
            <w:vAlign w:val="center"/>
            <w:hideMark/>
          </w:tcPr>
          <w:p w14:paraId="337ADCF0" w14:textId="4D73F9CE" w:rsidR="00DA1143" w:rsidRPr="004B723C" w:rsidRDefault="00DA1143"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rPr>
              <w:t>1,57 (1.13-2.18)</w:t>
            </w:r>
          </w:p>
        </w:tc>
        <w:tc>
          <w:tcPr>
            <w:tcW w:w="1134" w:type="dxa"/>
            <w:noWrap/>
            <w:vAlign w:val="center"/>
            <w:hideMark/>
          </w:tcPr>
          <w:p w14:paraId="0B7AB41D" w14:textId="49769A8F" w:rsidR="00DA1143" w:rsidRPr="004B723C" w:rsidRDefault="00DA1143"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rPr>
              <w:t>0.0077</w:t>
            </w:r>
          </w:p>
        </w:tc>
        <w:tc>
          <w:tcPr>
            <w:tcW w:w="2410" w:type="dxa"/>
            <w:noWrap/>
            <w:vAlign w:val="center"/>
          </w:tcPr>
          <w:p w14:paraId="7D5C769A" w14:textId="309AF053" w:rsidR="00DA1143" w:rsidRPr="004B723C" w:rsidRDefault="00DA1143"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rPr>
              <w:t>4</w:t>
            </w:r>
            <w:r w:rsidR="00EC0B3D" w:rsidRPr="004B723C">
              <w:rPr>
                <w:rFonts w:eastAsia="Times New Roman" w:cs="Times New Roman"/>
                <w:color w:val="000000"/>
                <w:sz w:val="18"/>
                <w:szCs w:val="18"/>
              </w:rPr>
              <w:t>.</w:t>
            </w:r>
            <w:r w:rsidRPr="004B723C">
              <w:rPr>
                <w:rFonts w:eastAsia="Times New Roman" w:cs="Times New Roman"/>
                <w:color w:val="000000"/>
                <w:sz w:val="18"/>
                <w:szCs w:val="18"/>
              </w:rPr>
              <w:t>32 (3.02-6.17)</w:t>
            </w:r>
          </w:p>
        </w:tc>
        <w:tc>
          <w:tcPr>
            <w:tcW w:w="1296" w:type="dxa"/>
            <w:noWrap/>
            <w:vAlign w:val="center"/>
          </w:tcPr>
          <w:p w14:paraId="5F3EE961" w14:textId="4E5FD5DB" w:rsidR="00DA1143" w:rsidRPr="004B723C" w:rsidRDefault="00D53FD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rPr>
              <w:t>9.92 × 10</w:t>
            </w:r>
            <w:r w:rsidRPr="004B723C">
              <w:rPr>
                <w:rFonts w:eastAsia="Times New Roman" w:cs="Times New Roman"/>
                <w:color w:val="000000"/>
                <w:sz w:val="18"/>
                <w:szCs w:val="18"/>
                <w:vertAlign w:val="superscript"/>
              </w:rPr>
              <w:t>-16</w:t>
            </w:r>
          </w:p>
        </w:tc>
        <w:tc>
          <w:tcPr>
            <w:tcW w:w="2066" w:type="dxa"/>
            <w:noWrap/>
            <w:vAlign w:val="center"/>
            <w:hideMark/>
          </w:tcPr>
          <w:p w14:paraId="0B8C1CC3" w14:textId="74A32D19" w:rsidR="00DA1143" w:rsidRPr="004B723C" w:rsidRDefault="00DA1143"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rPr>
              <w:t>21</w:t>
            </w:r>
            <w:r w:rsidR="00EC0B3D" w:rsidRPr="004B723C">
              <w:rPr>
                <w:rFonts w:eastAsia="Times New Roman" w:cs="Times New Roman"/>
                <w:color w:val="000000"/>
                <w:sz w:val="18"/>
                <w:szCs w:val="18"/>
              </w:rPr>
              <w:t>.</w:t>
            </w:r>
            <w:r w:rsidRPr="004B723C">
              <w:rPr>
                <w:rFonts w:eastAsia="Times New Roman" w:cs="Times New Roman"/>
                <w:color w:val="000000"/>
                <w:sz w:val="18"/>
                <w:szCs w:val="18"/>
              </w:rPr>
              <w:t>7% (4.8-58.4)</w:t>
            </w:r>
          </w:p>
        </w:tc>
      </w:tr>
      <w:tr w:rsidR="001670D7" w:rsidRPr="004B723C" w14:paraId="5EBA8A23" w14:textId="77777777" w:rsidTr="00DD6327">
        <w:trPr>
          <w:trHeight w:val="300"/>
          <w:jc w:val="center"/>
        </w:trPr>
        <w:tc>
          <w:tcPr>
            <w:cnfStyle w:val="001000000000" w:firstRow="0" w:lastRow="0" w:firstColumn="1" w:lastColumn="0" w:oddVBand="0" w:evenVBand="0" w:oddHBand="0" w:evenHBand="0" w:firstRowFirstColumn="0" w:firstRowLastColumn="0" w:lastRowFirstColumn="0" w:lastRowLastColumn="0"/>
            <w:tcW w:w="1550" w:type="dxa"/>
            <w:noWrap/>
            <w:vAlign w:val="center"/>
            <w:hideMark/>
          </w:tcPr>
          <w:p w14:paraId="1CFB7BF5" w14:textId="77777777" w:rsidR="00DA1143" w:rsidRPr="004B723C" w:rsidRDefault="00DA1143" w:rsidP="007F3A2D">
            <w:pPr>
              <w:spacing w:line="360" w:lineRule="auto"/>
              <w:jc w:val="center"/>
              <w:rPr>
                <w:rFonts w:eastAsia="Times New Roman" w:cs="Times New Roman"/>
                <w:color w:val="000000"/>
                <w:sz w:val="18"/>
                <w:szCs w:val="18"/>
                <w:lang w:eastAsia="en-GB"/>
              </w:rPr>
            </w:pPr>
            <w:r w:rsidRPr="004B723C">
              <w:rPr>
                <w:rFonts w:eastAsia="Times New Roman" w:cs="Times New Roman"/>
                <w:color w:val="000000"/>
                <w:sz w:val="18"/>
                <w:szCs w:val="18"/>
                <w:lang w:eastAsia="en-GB"/>
              </w:rPr>
              <w:t>D−/R+</w:t>
            </w:r>
          </w:p>
        </w:tc>
        <w:tc>
          <w:tcPr>
            <w:tcW w:w="708" w:type="dxa"/>
            <w:noWrap/>
            <w:vAlign w:val="center"/>
            <w:hideMark/>
          </w:tcPr>
          <w:p w14:paraId="76CF24DE" w14:textId="77777777" w:rsidR="00DA1143" w:rsidRPr="004B723C" w:rsidRDefault="00DA1143"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1617</w:t>
            </w:r>
          </w:p>
        </w:tc>
        <w:tc>
          <w:tcPr>
            <w:tcW w:w="851" w:type="dxa"/>
            <w:noWrap/>
            <w:vAlign w:val="center"/>
            <w:hideMark/>
          </w:tcPr>
          <w:p w14:paraId="03C641B4" w14:textId="77777777" w:rsidR="00DA1143" w:rsidRPr="004B723C" w:rsidRDefault="00DA1143"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171</w:t>
            </w:r>
          </w:p>
        </w:tc>
        <w:tc>
          <w:tcPr>
            <w:tcW w:w="1417" w:type="dxa"/>
            <w:noWrap/>
            <w:vAlign w:val="center"/>
            <w:hideMark/>
          </w:tcPr>
          <w:p w14:paraId="67D33CFA" w14:textId="1AC5ED23" w:rsidR="00DA1143" w:rsidRPr="004B723C" w:rsidRDefault="00DA1143"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rPr>
              <w:t>1</w:t>
            </w:r>
            <w:r w:rsidR="00EC0B3D" w:rsidRPr="004B723C">
              <w:rPr>
                <w:rFonts w:eastAsia="Times New Roman" w:cs="Times New Roman"/>
                <w:color w:val="000000"/>
                <w:sz w:val="18"/>
                <w:szCs w:val="18"/>
              </w:rPr>
              <w:t>.</w:t>
            </w:r>
            <w:r w:rsidRPr="004B723C">
              <w:rPr>
                <w:rFonts w:eastAsia="Times New Roman" w:cs="Times New Roman"/>
                <w:color w:val="000000"/>
                <w:sz w:val="18"/>
                <w:szCs w:val="18"/>
              </w:rPr>
              <w:t>7 (1.24-2.33)</w:t>
            </w:r>
          </w:p>
        </w:tc>
        <w:tc>
          <w:tcPr>
            <w:tcW w:w="1134" w:type="dxa"/>
            <w:noWrap/>
            <w:vAlign w:val="center"/>
            <w:hideMark/>
          </w:tcPr>
          <w:p w14:paraId="2DD73191" w14:textId="1A53558D" w:rsidR="00DA1143" w:rsidRPr="004B723C" w:rsidRDefault="00D53FD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sz w:val="18"/>
                <w:szCs w:val="18"/>
              </w:rPr>
              <w:t>8.80 × 10</w:t>
            </w:r>
            <w:r w:rsidRPr="004B723C">
              <w:rPr>
                <w:rFonts w:cs="Times New Roman"/>
                <w:sz w:val="18"/>
                <w:szCs w:val="18"/>
                <w:vertAlign w:val="superscript"/>
              </w:rPr>
              <w:t>-4</w:t>
            </w:r>
          </w:p>
        </w:tc>
        <w:tc>
          <w:tcPr>
            <w:tcW w:w="1418" w:type="dxa"/>
            <w:noWrap/>
            <w:vAlign w:val="center"/>
            <w:hideMark/>
          </w:tcPr>
          <w:p w14:paraId="33954CFC" w14:textId="1A460C9D" w:rsidR="00DA1143" w:rsidRPr="004B723C" w:rsidRDefault="00DA1143"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rPr>
              <w:t>1</w:t>
            </w:r>
            <w:r w:rsidR="00EC0B3D" w:rsidRPr="004B723C">
              <w:rPr>
                <w:rFonts w:eastAsia="Times New Roman" w:cs="Times New Roman"/>
                <w:color w:val="000000"/>
                <w:sz w:val="18"/>
                <w:szCs w:val="18"/>
              </w:rPr>
              <w:t>.</w:t>
            </w:r>
            <w:r w:rsidRPr="004B723C">
              <w:rPr>
                <w:rFonts w:eastAsia="Times New Roman" w:cs="Times New Roman"/>
                <w:color w:val="000000"/>
                <w:sz w:val="18"/>
                <w:szCs w:val="18"/>
              </w:rPr>
              <w:t>39 (1.01-1.91)</w:t>
            </w:r>
          </w:p>
        </w:tc>
        <w:tc>
          <w:tcPr>
            <w:tcW w:w="1134" w:type="dxa"/>
            <w:noWrap/>
            <w:vAlign w:val="center"/>
            <w:hideMark/>
          </w:tcPr>
          <w:p w14:paraId="01B73A10" w14:textId="78DBE06B" w:rsidR="00DA1143" w:rsidRPr="004B723C" w:rsidRDefault="00DA1143"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rPr>
              <w:t>0.044</w:t>
            </w:r>
          </w:p>
        </w:tc>
        <w:tc>
          <w:tcPr>
            <w:tcW w:w="2410" w:type="dxa"/>
            <w:noWrap/>
            <w:vAlign w:val="center"/>
          </w:tcPr>
          <w:p w14:paraId="6D3B3B78" w14:textId="19BBD4B2" w:rsidR="00DA1143" w:rsidRPr="004B723C" w:rsidRDefault="00DA1143"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rPr>
              <w:t>4</w:t>
            </w:r>
            <w:r w:rsidR="00EC0B3D" w:rsidRPr="004B723C">
              <w:rPr>
                <w:rFonts w:eastAsia="Times New Roman" w:cs="Times New Roman"/>
                <w:color w:val="000000"/>
                <w:sz w:val="18"/>
                <w:szCs w:val="18"/>
              </w:rPr>
              <w:t>.</w:t>
            </w:r>
            <w:r w:rsidRPr="004B723C">
              <w:rPr>
                <w:rFonts w:eastAsia="Times New Roman" w:cs="Times New Roman"/>
                <w:color w:val="000000"/>
                <w:sz w:val="18"/>
                <w:szCs w:val="18"/>
              </w:rPr>
              <w:t>55 (3.27-6.33)</w:t>
            </w:r>
          </w:p>
        </w:tc>
        <w:tc>
          <w:tcPr>
            <w:tcW w:w="1296" w:type="dxa"/>
            <w:noWrap/>
            <w:vAlign w:val="center"/>
          </w:tcPr>
          <w:p w14:paraId="14656BA0" w14:textId="5B9236C7" w:rsidR="00DA1143" w:rsidRPr="004B723C" w:rsidRDefault="00D53FD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rPr>
              <w:t>2.06 × 10</w:t>
            </w:r>
            <w:r w:rsidRPr="004B723C">
              <w:rPr>
                <w:rFonts w:eastAsia="Times New Roman" w:cs="Times New Roman"/>
                <w:color w:val="000000"/>
                <w:sz w:val="18"/>
                <w:szCs w:val="18"/>
                <w:vertAlign w:val="superscript"/>
              </w:rPr>
              <w:t>-19</w:t>
            </w:r>
          </w:p>
        </w:tc>
        <w:tc>
          <w:tcPr>
            <w:tcW w:w="2066" w:type="dxa"/>
            <w:noWrap/>
            <w:vAlign w:val="center"/>
            <w:hideMark/>
          </w:tcPr>
          <w:p w14:paraId="11DE9B71" w14:textId="70A52D71" w:rsidR="00DA1143" w:rsidRPr="004B723C" w:rsidRDefault="00DA1143"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rPr>
              <w:t>38</w:t>
            </w:r>
            <w:r w:rsidR="00EC0B3D" w:rsidRPr="004B723C">
              <w:rPr>
                <w:rFonts w:eastAsia="Times New Roman" w:cs="Times New Roman"/>
                <w:color w:val="000000"/>
                <w:sz w:val="18"/>
                <w:szCs w:val="18"/>
              </w:rPr>
              <w:t>.</w:t>
            </w:r>
            <w:r w:rsidRPr="004B723C">
              <w:rPr>
                <w:rFonts w:eastAsia="Times New Roman" w:cs="Times New Roman"/>
                <w:color w:val="000000"/>
                <w:sz w:val="18"/>
                <w:szCs w:val="18"/>
              </w:rPr>
              <w:t>4% (17.5-94.7)</w:t>
            </w:r>
          </w:p>
        </w:tc>
      </w:tr>
      <w:tr w:rsidR="001670D7" w:rsidRPr="004B723C" w14:paraId="593E8344" w14:textId="77777777" w:rsidTr="00DD6327">
        <w:trPr>
          <w:trHeight w:val="300"/>
          <w:jc w:val="center"/>
        </w:trPr>
        <w:tc>
          <w:tcPr>
            <w:cnfStyle w:val="001000000000" w:firstRow="0" w:lastRow="0" w:firstColumn="1" w:lastColumn="0" w:oddVBand="0" w:evenVBand="0" w:oddHBand="0" w:evenHBand="0" w:firstRowFirstColumn="0" w:firstRowLastColumn="0" w:lastRowFirstColumn="0" w:lastRowLastColumn="0"/>
            <w:tcW w:w="1550" w:type="dxa"/>
            <w:noWrap/>
            <w:vAlign w:val="center"/>
            <w:hideMark/>
          </w:tcPr>
          <w:p w14:paraId="355252C2" w14:textId="77777777" w:rsidR="00DA1143" w:rsidRPr="004B723C" w:rsidRDefault="00DA1143" w:rsidP="007F3A2D">
            <w:pPr>
              <w:spacing w:line="360" w:lineRule="auto"/>
              <w:jc w:val="center"/>
              <w:rPr>
                <w:rFonts w:eastAsia="Times New Roman" w:cs="Times New Roman"/>
                <w:color w:val="000000"/>
                <w:sz w:val="18"/>
                <w:szCs w:val="18"/>
                <w:lang w:eastAsia="en-GB"/>
              </w:rPr>
            </w:pPr>
            <w:r w:rsidRPr="004B723C">
              <w:rPr>
                <w:rFonts w:eastAsia="Times New Roman" w:cs="Times New Roman"/>
                <w:color w:val="000000"/>
                <w:sz w:val="18"/>
                <w:szCs w:val="18"/>
                <w:lang w:eastAsia="en-GB"/>
              </w:rPr>
              <w:t>D+/R+</w:t>
            </w:r>
          </w:p>
        </w:tc>
        <w:tc>
          <w:tcPr>
            <w:tcW w:w="708" w:type="dxa"/>
            <w:noWrap/>
            <w:vAlign w:val="center"/>
            <w:hideMark/>
          </w:tcPr>
          <w:p w14:paraId="323DA17D" w14:textId="77777777" w:rsidR="00DA1143" w:rsidRPr="004B723C" w:rsidRDefault="00DA1143"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2115</w:t>
            </w:r>
          </w:p>
        </w:tc>
        <w:tc>
          <w:tcPr>
            <w:tcW w:w="851" w:type="dxa"/>
            <w:noWrap/>
            <w:vAlign w:val="center"/>
            <w:hideMark/>
          </w:tcPr>
          <w:p w14:paraId="0168F70E" w14:textId="77777777" w:rsidR="00DA1143" w:rsidRPr="004B723C" w:rsidRDefault="00DA1143"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210</w:t>
            </w:r>
          </w:p>
        </w:tc>
        <w:tc>
          <w:tcPr>
            <w:tcW w:w="1417" w:type="dxa"/>
            <w:noWrap/>
            <w:vAlign w:val="center"/>
            <w:hideMark/>
          </w:tcPr>
          <w:p w14:paraId="32DA81DE" w14:textId="4FCD0123" w:rsidR="00DA1143" w:rsidRPr="004B723C" w:rsidRDefault="00DA1143"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rPr>
              <w:t>1</w:t>
            </w:r>
            <w:r w:rsidR="00EC0B3D" w:rsidRPr="004B723C">
              <w:rPr>
                <w:rFonts w:eastAsia="Times New Roman" w:cs="Times New Roman"/>
                <w:color w:val="000000"/>
                <w:sz w:val="18"/>
                <w:szCs w:val="18"/>
              </w:rPr>
              <w:t>.</w:t>
            </w:r>
            <w:r w:rsidRPr="004B723C">
              <w:rPr>
                <w:rFonts w:eastAsia="Times New Roman" w:cs="Times New Roman"/>
                <w:color w:val="000000"/>
                <w:sz w:val="18"/>
                <w:szCs w:val="18"/>
              </w:rPr>
              <w:t>73 (1.28-2.34)</w:t>
            </w:r>
          </w:p>
        </w:tc>
        <w:tc>
          <w:tcPr>
            <w:tcW w:w="1134" w:type="dxa"/>
            <w:noWrap/>
            <w:vAlign w:val="center"/>
            <w:hideMark/>
          </w:tcPr>
          <w:p w14:paraId="03B4FAD1" w14:textId="5832B9D8" w:rsidR="00DA1143" w:rsidRPr="004B723C" w:rsidRDefault="00D53FD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sz w:val="18"/>
                <w:szCs w:val="18"/>
              </w:rPr>
              <w:t>3.70 × 10</w:t>
            </w:r>
            <w:r w:rsidRPr="004B723C">
              <w:rPr>
                <w:rFonts w:cs="Times New Roman"/>
                <w:sz w:val="18"/>
                <w:szCs w:val="18"/>
                <w:vertAlign w:val="superscript"/>
              </w:rPr>
              <w:t>-4</w:t>
            </w:r>
          </w:p>
        </w:tc>
        <w:tc>
          <w:tcPr>
            <w:tcW w:w="1418" w:type="dxa"/>
            <w:noWrap/>
            <w:vAlign w:val="center"/>
            <w:hideMark/>
          </w:tcPr>
          <w:p w14:paraId="5106E8BF" w14:textId="6A667F8F" w:rsidR="00DA1143" w:rsidRPr="004B723C" w:rsidRDefault="00DA1143"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rPr>
              <w:t>1</w:t>
            </w:r>
            <w:r w:rsidR="00EC0B3D" w:rsidRPr="004B723C">
              <w:rPr>
                <w:rFonts w:eastAsia="Times New Roman" w:cs="Times New Roman"/>
                <w:color w:val="000000"/>
                <w:sz w:val="18"/>
                <w:szCs w:val="18"/>
              </w:rPr>
              <w:t>.</w:t>
            </w:r>
            <w:r w:rsidRPr="004B723C">
              <w:rPr>
                <w:rFonts w:eastAsia="Times New Roman" w:cs="Times New Roman"/>
                <w:color w:val="000000"/>
                <w:sz w:val="18"/>
                <w:szCs w:val="18"/>
              </w:rPr>
              <w:t>52 (1.12-2.06)</w:t>
            </w:r>
          </w:p>
        </w:tc>
        <w:tc>
          <w:tcPr>
            <w:tcW w:w="1134" w:type="dxa"/>
            <w:noWrap/>
            <w:vAlign w:val="center"/>
            <w:hideMark/>
          </w:tcPr>
          <w:p w14:paraId="111BCE27" w14:textId="1CE41C83" w:rsidR="00DA1143" w:rsidRPr="004B723C" w:rsidRDefault="00DA1143"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rPr>
              <w:t>0.0068</w:t>
            </w:r>
          </w:p>
        </w:tc>
        <w:tc>
          <w:tcPr>
            <w:tcW w:w="2410" w:type="dxa"/>
            <w:noWrap/>
            <w:vAlign w:val="center"/>
          </w:tcPr>
          <w:p w14:paraId="72C07965" w14:textId="40F83AE8" w:rsidR="00DA1143" w:rsidRPr="004B723C" w:rsidRDefault="00DA1143"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rPr>
              <w:t>3</w:t>
            </w:r>
            <w:r w:rsidR="00EC0B3D" w:rsidRPr="004B723C">
              <w:rPr>
                <w:rFonts w:eastAsia="Times New Roman" w:cs="Times New Roman"/>
                <w:color w:val="000000"/>
                <w:sz w:val="18"/>
                <w:szCs w:val="18"/>
              </w:rPr>
              <w:t>.</w:t>
            </w:r>
            <w:r w:rsidRPr="004B723C">
              <w:rPr>
                <w:rFonts w:eastAsia="Times New Roman" w:cs="Times New Roman"/>
                <w:color w:val="000000"/>
                <w:sz w:val="18"/>
                <w:szCs w:val="18"/>
              </w:rPr>
              <w:t>44 (2.54-4.67)</w:t>
            </w:r>
          </w:p>
        </w:tc>
        <w:tc>
          <w:tcPr>
            <w:tcW w:w="1296" w:type="dxa"/>
            <w:noWrap/>
            <w:vAlign w:val="center"/>
          </w:tcPr>
          <w:p w14:paraId="5CFDFF9E" w14:textId="156A4AE4" w:rsidR="00DA1143" w:rsidRPr="004B723C" w:rsidRDefault="00D53FD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rPr>
              <w:t>2.18 × 10</w:t>
            </w:r>
            <w:r w:rsidRPr="004B723C">
              <w:rPr>
                <w:rFonts w:eastAsia="Times New Roman" w:cs="Times New Roman"/>
                <w:color w:val="000000"/>
                <w:sz w:val="18"/>
                <w:szCs w:val="18"/>
                <w:vertAlign w:val="superscript"/>
              </w:rPr>
              <w:t>-15</w:t>
            </w:r>
          </w:p>
        </w:tc>
        <w:tc>
          <w:tcPr>
            <w:tcW w:w="2066" w:type="dxa"/>
            <w:noWrap/>
            <w:vAlign w:val="center"/>
            <w:hideMark/>
          </w:tcPr>
          <w:p w14:paraId="174427D8" w14:textId="6E4ECBD6" w:rsidR="00DA1143" w:rsidRPr="004B723C" w:rsidRDefault="00DA1143"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rPr>
              <w:t>23</w:t>
            </w:r>
            <w:r w:rsidR="00EC0B3D" w:rsidRPr="004B723C">
              <w:rPr>
                <w:rFonts w:eastAsia="Times New Roman" w:cs="Times New Roman"/>
                <w:color w:val="000000"/>
                <w:sz w:val="18"/>
                <w:szCs w:val="18"/>
              </w:rPr>
              <w:t>.</w:t>
            </w:r>
            <w:r w:rsidRPr="004B723C">
              <w:rPr>
                <w:rFonts w:eastAsia="Times New Roman" w:cs="Times New Roman"/>
                <w:color w:val="000000"/>
                <w:sz w:val="18"/>
                <w:szCs w:val="18"/>
              </w:rPr>
              <w:t>5</w:t>
            </w:r>
            <w:r w:rsidR="00EC0B3D" w:rsidRPr="004B723C">
              <w:rPr>
                <w:rFonts w:eastAsia="Times New Roman" w:cs="Times New Roman"/>
                <w:color w:val="000000"/>
                <w:sz w:val="18"/>
                <w:szCs w:val="18"/>
              </w:rPr>
              <w:t>%</w:t>
            </w:r>
            <w:r w:rsidRPr="004B723C">
              <w:rPr>
                <w:rFonts w:eastAsia="Times New Roman" w:cs="Times New Roman"/>
                <w:color w:val="000000"/>
                <w:sz w:val="18"/>
                <w:szCs w:val="18"/>
              </w:rPr>
              <w:t xml:space="preserve"> (10.1-54.5)</w:t>
            </w:r>
          </w:p>
        </w:tc>
      </w:tr>
      <w:tr w:rsidR="00EB1E14" w:rsidRPr="004B723C" w14:paraId="11EF3077" w14:textId="77777777" w:rsidTr="00DD6327">
        <w:trPr>
          <w:trHeight w:val="300"/>
          <w:jc w:val="center"/>
        </w:trPr>
        <w:tc>
          <w:tcPr>
            <w:cnfStyle w:val="001000000000" w:firstRow="0" w:lastRow="0" w:firstColumn="1" w:lastColumn="0" w:oddVBand="0" w:evenVBand="0" w:oddHBand="0" w:evenHBand="0" w:firstRowFirstColumn="0" w:firstRowLastColumn="0" w:lastRowFirstColumn="0" w:lastRowLastColumn="0"/>
            <w:tcW w:w="1550" w:type="dxa"/>
            <w:noWrap/>
            <w:vAlign w:val="center"/>
          </w:tcPr>
          <w:p w14:paraId="277FE6CB" w14:textId="45C1CFC3" w:rsidR="00DA1143" w:rsidRPr="004B723C" w:rsidRDefault="00DA1143" w:rsidP="005C4B3E">
            <w:pPr>
              <w:spacing w:line="360" w:lineRule="auto"/>
              <w:jc w:val="center"/>
              <w:rPr>
                <w:rFonts w:eastAsia="Times New Roman" w:cs="Times New Roman"/>
                <w:color w:val="000000"/>
                <w:sz w:val="18"/>
                <w:szCs w:val="18"/>
                <w:lang w:eastAsia="en-GB"/>
              </w:rPr>
            </w:pPr>
            <w:r w:rsidRPr="004B723C">
              <w:rPr>
                <w:rFonts w:eastAsia="Times New Roman" w:cs="Times New Roman"/>
                <w:color w:val="000000"/>
                <w:sz w:val="18"/>
                <w:szCs w:val="18"/>
                <w:lang w:eastAsia="en-GB"/>
              </w:rPr>
              <w:t>Any CMV+</w:t>
            </w:r>
          </w:p>
        </w:tc>
        <w:tc>
          <w:tcPr>
            <w:tcW w:w="708" w:type="dxa"/>
            <w:noWrap/>
            <w:vAlign w:val="center"/>
          </w:tcPr>
          <w:p w14:paraId="70C5B191" w14:textId="0F102679" w:rsidR="00DA1143" w:rsidRPr="004B723C" w:rsidRDefault="00DA1143" w:rsidP="005C4B3E">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rPr>
              <w:t>3713</w:t>
            </w:r>
          </w:p>
        </w:tc>
        <w:tc>
          <w:tcPr>
            <w:tcW w:w="851" w:type="dxa"/>
            <w:noWrap/>
            <w:vAlign w:val="center"/>
          </w:tcPr>
          <w:p w14:paraId="6B39EDE0" w14:textId="22E38230" w:rsidR="00DA1143" w:rsidRPr="004B723C" w:rsidRDefault="00DA1143" w:rsidP="005C4B3E">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rPr>
              <w:t>408</w:t>
            </w:r>
          </w:p>
        </w:tc>
        <w:tc>
          <w:tcPr>
            <w:tcW w:w="1417" w:type="dxa"/>
            <w:noWrap/>
            <w:vAlign w:val="center"/>
          </w:tcPr>
          <w:p w14:paraId="2867A14A" w14:textId="5FEEB06D" w:rsidR="00DA1143" w:rsidRPr="004B723C" w:rsidRDefault="00DA1143" w:rsidP="005C4B3E">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4B723C">
              <w:rPr>
                <w:rFonts w:eastAsia="Times New Roman" w:cs="Times New Roman"/>
                <w:color w:val="000000"/>
                <w:sz w:val="18"/>
                <w:szCs w:val="18"/>
              </w:rPr>
              <w:t>1</w:t>
            </w:r>
            <w:r w:rsidR="00EC0B3D" w:rsidRPr="004B723C">
              <w:rPr>
                <w:rFonts w:eastAsia="Times New Roman" w:cs="Times New Roman"/>
                <w:color w:val="000000"/>
                <w:sz w:val="18"/>
                <w:szCs w:val="18"/>
              </w:rPr>
              <w:t>.</w:t>
            </w:r>
            <w:r w:rsidRPr="004B723C">
              <w:rPr>
                <w:rFonts w:eastAsia="Times New Roman" w:cs="Times New Roman"/>
                <w:color w:val="000000"/>
                <w:sz w:val="18"/>
                <w:szCs w:val="18"/>
              </w:rPr>
              <w:t>71 (1.3-2.25)</w:t>
            </w:r>
          </w:p>
        </w:tc>
        <w:tc>
          <w:tcPr>
            <w:tcW w:w="1134" w:type="dxa"/>
            <w:noWrap/>
            <w:vAlign w:val="center"/>
          </w:tcPr>
          <w:p w14:paraId="2AA3518D" w14:textId="62F31DC9" w:rsidR="00DA1143" w:rsidRPr="004B723C" w:rsidRDefault="00D53FD9" w:rsidP="005C4B3E">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sz w:val="18"/>
                <w:szCs w:val="18"/>
              </w:rPr>
              <w:t>1.10 × 10</w:t>
            </w:r>
            <w:r w:rsidRPr="004B723C">
              <w:rPr>
                <w:rFonts w:cs="Times New Roman"/>
                <w:sz w:val="18"/>
                <w:szCs w:val="18"/>
                <w:vertAlign w:val="superscript"/>
              </w:rPr>
              <w:t>-4</w:t>
            </w:r>
          </w:p>
        </w:tc>
        <w:tc>
          <w:tcPr>
            <w:tcW w:w="1418" w:type="dxa"/>
            <w:noWrap/>
            <w:vAlign w:val="center"/>
          </w:tcPr>
          <w:p w14:paraId="567C5481" w14:textId="23CAA035" w:rsidR="00DA1143" w:rsidRPr="004B723C" w:rsidRDefault="00DA1143" w:rsidP="005C4B3E">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rPr>
              <w:t>1</w:t>
            </w:r>
            <w:r w:rsidR="00EC0B3D" w:rsidRPr="004B723C">
              <w:rPr>
                <w:rFonts w:eastAsia="Times New Roman" w:cs="Times New Roman"/>
                <w:color w:val="000000"/>
                <w:sz w:val="18"/>
                <w:szCs w:val="18"/>
              </w:rPr>
              <w:t>.</w:t>
            </w:r>
            <w:r w:rsidRPr="004B723C">
              <w:rPr>
                <w:rFonts w:eastAsia="Times New Roman" w:cs="Times New Roman"/>
                <w:color w:val="000000"/>
                <w:sz w:val="18"/>
                <w:szCs w:val="18"/>
              </w:rPr>
              <w:t>49 (1.13-1.96)</w:t>
            </w:r>
          </w:p>
        </w:tc>
        <w:tc>
          <w:tcPr>
            <w:tcW w:w="1134" w:type="dxa"/>
            <w:noWrap/>
            <w:vAlign w:val="center"/>
          </w:tcPr>
          <w:p w14:paraId="7AC2C13C" w14:textId="537B66AE" w:rsidR="00DA1143" w:rsidRPr="004B723C" w:rsidRDefault="00DA1143" w:rsidP="005C4B3E">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rPr>
              <w:t>0.0044</w:t>
            </w:r>
          </w:p>
        </w:tc>
        <w:tc>
          <w:tcPr>
            <w:tcW w:w="2410" w:type="dxa"/>
            <w:noWrap/>
            <w:vAlign w:val="center"/>
          </w:tcPr>
          <w:p w14:paraId="1C7C1BFA" w14:textId="2F70D238" w:rsidR="00DA1143" w:rsidRPr="004B723C" w:rsidRDefault="00DA1143" w:rsidP="005C4B3E">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rPr>
              <w:t>3</w:t>
            </w:r>
            <w:r w:rsidR="00EC0B3D" w:rsidRPr="004B723C">
              <w:rPr>
                <w:rFonts w:eastAsia="Times New Roman" w:cs="Times New Roman"/>
                <w:color w:val="000000"/>
                <w:sz w:val="18"/>
                <w:szCs w:val="18"/>
              </w:rPr>
              <w:t>.</w:t>
            </w:r>
            <w:r w:rsidRPr="004B723C">
              <w:rPr>
                <w:rFonts w:eastAsia="Times New Roman" w:cs="Times New Roman"/>
                <w:color w:val="000000"/>
                <w:sz w:val="18"/>
                <w:szCs w:val="18"/>
              </w:rPr>
              <w:t>66 (2.95-4.53)</w:t>
            </w:r>
          </w:p>
        </w:tc>
        <w:tc>
          <w:tcPr>
            <w:tcW w:w="1296" w:type="dxa"/>
            <w:noWrap/>
            <w:vAlign w:val="center"/>
          </w:tcPr>
          <w:p w14:paraId="6049FEFD" w14:textId="163D7454" w:rsidR="00DA1143" w:rsidRPr="004B723C" w:rsidRDefault="00D53FD9" w:rsidP="005C4B3E">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rPr>
              <w:t>1.47 × 10</w:t>
            </w:r>
            <w:r w:rsidRPr="004B723C">
              <w:rPr>
                <w:rFonts w:eastAsia="Times New Roman" w:cs="Times New Roman"/>
                <w:color w:val="000000"/>
                <w:sz w:val="18"/>
                <w:szCs w:val="18"/>
                <w:vertAlign w:val="superscript"/>
              </w:rPr>
              <w:t>-32</w:t>
            </w:r>
          </w:p>
        </w:tc>
        <w:tc>
          <w:tcPr>
            <w:tcW w:w="2066" w:type="dxa"/>
            <w:noWrap/>
            <w:vAlign w:val="center"/>
          </w:tcPr>
          <w:p w14:paraId="11C82075" w14:textId="4EA48704" w:rsidR="00DA1143" w:rsidRPr="004B723C" w:rsidRDefault="00DA1143" w:rsidP="005C4B3E">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rPr>
              <w:t>25</w:t>
            </w:r>
            <w:r w:rsidR="00EC0B3D" w:rsidRPr="004B723C">
              <w:rPr>
                <w:rFonts w:eastAsia="Times New Roman" w:cs="Times New Roman"/>
                <w:color w:val="000000"/>
                <w:sz w:val="18"/>
                <w:szCs w:val="18"/>
              </w:rPr>
              <w:t>.</w:t>
            </w:r>
            <w:r w:rsidRPr="004B723C">
              <w:rPr>
                <w:rFonts w:eastAsia="Times New Roman" w:cs="Times New Roman"/>
                <w:color w:val="000000"/>
                <w:sz w:val="18"/>
                <w:szCs w:val="18"/>
              </w:rPr>
              <w:t>9</w:t>
            </w:r>
            <w:r w:rsidR="00EC0B3D" w:rsidRPr="004B723C">
              <w:rPr>
                <w:rFonts w:eastAsia="Times New Roman" w:cs="Times New Roman"/>
                <w:color w:val="000000"/>
                <w:sz w:val="18"/>
                <w:szCs w:val="18"/>
              </w:rPr>
              <w:t>%</w:t>
            </w:r>
            <w:r w:rsidRPr="004B723C">
              <w:rPr>
                <w:rFonts w:eastAsia="Times New Roman" w:cs="Times New Roman"/>
                <w:color w:val="000000"/>
                <w:sz w:val="18"/>
                <w:szCs w:val="18"/>
              </w:rPr>
              <w:t xml:space="preserve"> (13.3-50.5)</w:t>
            </w:r>
          </w:p>
        </w:tc>
      </w:tr>
      <w:tr w:rsidR="001670D7" w:rsidRPr="004B723C" w14:paraId="3593A0F2" w14:textId="77777777" w:rsidTr="00DD6327">
        <w:trPr>
          <w:trHeight w:val="300"/>
          <w:jc w:val="center"/>
        </w:trPr>
        <w:tc>
          <w:tcPr>
            <w:cnfStyle w:val="001000000000" w:firstRow="0" w:lastRow="0" w:firstColumn="1" w:lastColumn="0" w:oddVBand="0" w:evenVBand="0" w:oddHBand="0" w:evenHBand="0" w:firstRowFirstColumn="0" w:firstRowLastColumn="0" w:lastRowFirstColumn="0" w:lastRowLastColumn="0"/>
            <w:tcW w:w="1550" w:type="dxa"/>
            <w:noWrap/>
            <w:vAlign w:val="center"/>
            <w:hideMark/>
          </w:tcPr>
          <w:p w14:paraId="4E3EB04D" w14:textId="333C7549" w:rsidR="00DA1143" w:rsidRPr="004B723C" w:rsidRDefault="00EC0B3D" w:rsidP="007F3A2D">
            <w:pPr>
              <w:spacing w:line="360" w:lineRule="auto"/>
              <w:jc w:val="center"/>
              <w:rPr>
                <w:rFonts w:eastAsia="Times New Roman" w:cs="Times New Roman"/>
                <w:color w:val="000000"/>
                <w:sz w:val="18"/>
                <w:szCs w:val="18"/>
                <w:lang w:eastAsia="en-GB"/>
              </w:rPr>
            </w:pPr>
            <w:r w:rsidRPr="004B723C">
              <w:rPr>
                <w:rFonts w:eastAsia="Times New Roman" w:cs="Times New Roman"/>
                <w:color w:val="000000"/>
                <w:sz w:val="18"/>
                <w:szCs w:val="18"/>
                <w:lang w:eastAsia="en-GB"/>
              </w:rPr>
              <w:t>HLA-DSA status</w:t>
            </w:r>
          </w:p>
        </w:tc>
        <w:tc>
          <w:tcPr>
            <w:tcW w:w="708" w:type="dxa"/>
            <w:noWrap/>
            <w:vAlign w:val="center"/>
            <w:hideMark/>
          </w:tcPr>
          <w:p w14:paraId="55FE69B1" w14:textId="77777777" w:rsidR="00DA1143" w:rsidRPr="004B723C" w:rsidRDefault="00DA1143"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3709</w:t>
            </w:r>
          </w:p>
        </w:tc>
        <w:tc>
          <w:tcPr>
            <w:tcW w:w="851" w:type="dxa"/>
            <w:noWrap/>
            <w:vAlign w:val="center"/>
            <w:hideMark/>
          </w:tcPr>
          <w:p w14:paraId="1C297E79" w14:textId="77777777" w:rsidR="00DA1143" w:rsidRPr="004B723C" w:rsidRDefault="00DA1143"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408</w:t>
            </w:r>
          </w:p>
        </w:tc>
        <w:tc>
          <w:tcPr>
            <w:tcW w:w="1417" w:type="dxa"/>
            <w:noWrap/>
            <w:vAlign w:val="center"/>
            <w:hideMark/>
          </w:tcPr>
          <w:p w14:paraId="7EE5B342" w14:textId="1548D9A4" w:rsidR="00DA1143" w:rsidRPr="004B723C" w:rsidRDefault="00DA1143"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rPr>
              <w:t>2</w:t>
            </w:r>
            <w:r w:rsidR="00EC0B3D" w:rsidRPr="004B723C">
              <w:rPr>
                <w:rFonts w:eastAsia="Times New Roman" w:cs="Times New Roman"/>
                <w:color w:val="000000"/>
                <w:sz w:val="18"/>
                <w:szCs w:val="18"/>
              </w:rPr>
              <w:t>.</w:t>
            </w:r>
            <w:r w:rsidRPr="004B723C">
              <w:rPr>
                <w:rFonts w:eastAsia="Times New Roman" w:cs="Times New Roman"/>
                <w:color w:val="000000"/>
                <w:sz w:val="18"/>
                <w:szCs w:val="18"/>
              </w:rPr>
              <w:t>44 (1.92-3.1)</w:t>
            </w:r>
          </w:p>
        </w:tc>
        <w:tc>
          <w:tcPr>
            <w:tcW w:w="1134" w:type="dxa"/>
            <w:noWrap/>
            <w:vAlign w:val="center"/>
            <w:hideMark/>
          </w:tcPr>
          <w:p w14:paraId="4D1AD9DF" w14:textId="384AA211" w:rsidR="00DA1143" w:rsidRPr="004B723C" w:rsidRDefault="00D53FD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sz w:val="18"/>
                <w:szCs w:val="18"/>
              </w:rPr>
              <w:t>3.26 × 10</w:t>
            </w:r>
            <w:r w:rsidRPr="004B723C">
              <w:rPr>
                <w:rFonts w:cs="Times New Roman"/>
                <w:sz w:val="18"/>
                <w:szCs w:val="18"/>
                <w:vertAlign w:val="superscript"/>
              </w:rPr>
              <w:t>-13</w:t>
            </w:r>
          </w:p>
        </w:tc>
        <w:tc>
          <w:tcPr>
            <w:tcW w:w="1418" w:type="dxa"/>
            <w:noWrap/>
            <w:vAlign w:val="center"/>
            <w:hideMark/>
          </w:tcPr>
          <w:p w14:paraId="1A251342" w14:textId="64A3381D" w:rsidR="00DA1143" w:rsidRPr="004B723C" w:rsidRDefault="00DA1143"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rPr>
              <w:t>1</w:t>
            </w:r>
            <w:r w:rsidR="00EC0B3D" w:rsidRPr="004B723C">
              <w:rPr>
                <w:rFonts w:eastAsia="Times New Roman" w:cs="Times New Roman"/>
                <w:color w:val="000000"/>
                <w:sz w:val="18"/>
                <w:szCs w:val="18"/>
              </w:rPr>
              <w:t>.</w:t>
            </w:r>
            <w:r w:rsidRPr="004B723C">
              <w:rPr>
                <w:rFonts w:eastAsia="Times New Roman" w:cs="Times New Roman"/>
                <w:color w:val="000000"/>
                <w:sz w:val="18"/>
                <w:szCs w:val="18"/>
              </w:rPr>
              <w:t>64 (1.27-2.12)</w:t>
            </w:r>
          </w:p>
        </w:tc>
        <w:tc>
          <w:tcPr>
            <w:tcW w:w="1134" w:type="dxa"/>
            <w:noWrap/>
            <w:vAlign w:val="center"/>
            <w:hideMark/>
          </w:tcPr>
          <w:p w14:paraId="1B609D40" w14:textId="73E293F4" w:rsidR="00DA1143" w:rsidRPr="004B723C" w:rsidRDefault="00D53FD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rPr>
              <w:t>1.26 × 10</w:t>
            </w:r>
            <w:r w:rsidRPr="004B723C">
              <w:rPr>
                <w:rFonts w:eastAsia="Times New Roman" w:cs="Times New Roman"/>
                <w:color w:val="000000"/>
                <w:sz w:val="18"/>
                <w:szCs w:val="18"/>
                <w:vertAlign w:val="superscript"/>
              </w:rPr>
              <w:t>-4</w:t>
            </w:r>
          </w:p>
        </w:tc>
        <w:tc>
          <w:tcPr>
            <w:tcW w:w="2410" w:type="dxa"/>
            <w:noWrap/>
            <w:vAlign w:val="center"/>
          </w:tcPr>
          <w:p w14:paraId="647D64A8" w14:textId="444EF56E" w:rsidR="00DA1143" w:rsidRPr="004B723C" w:rsidRDefault="00DA1143"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rPr>
              <w:t>3</w:t>
            </w:r>
            <w:r w:rsidR="00EC0B3D" w:rsidRPr="004B723C">
              <w:rPr>
                <w:rFonts w:eastAsia="Times New Roman" w:cs="Times New Roman"/>
                <w:color w:val="000000"/>
                <w:sz w:val="18"/>
                <w:szCs w:val="18"/>
              </w:rPr>
              <w:t>.</w:t>
            </w:r>
            <w:r w:rsidRPr="004B723C">
              <w:rPr>
                <w:rFonts w:eastAsia="Times New Roman" w:cs="Times New Roman"/>
                <w:color w:val="000000"/>
                <w:sz w:val="18"/>
                <w:szCs w:val="18"/>
              </w:rPr>
              <w:t>36 (2.68-4.2)</w:t>
            </w:r>
          </w:p>
        </w:tc>
        <w:tc>
          <w:tcPr>
            <w:tcW w:w="1296" w:type="dxa"/>
            <w:noWrap/>
            <w:vAlign w:val="center"/>
          </w:tcPr>
          <w:p w14:paraId="398B7B04" w14:textId="07FA6085" w:rsidR="00DA1143" w:rsidRPr="004B723C" w:rsidRDefault="00D53FD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rPr>
              <w:t>4.57 × 10</w:t>
            </w:r>
            <w:r w:rsidRPr="004B723C">
              <w:rPr>
                <w:rFonts w:eastAsia="Times New Roman" w:cs="Times New Roman"/>
                <w:color w:val="000000"/>
                <w:sz w:val="18"/>
                <w:szCs w:val="18"/>
                <w:vertAlign w:val="superscript"/>
              </w:rPr>
              <w:t>-26</w:t>
            </w:r>
          </w:p>
        </w:tc>
        <w:tc>
          <w:tcPr>
            <w:tcW w:w="2066" w:type="dxa"/>
            <w:noWrap/>
            <w:vAlign w:val="center"/>
            <w:hideMark/>
          </w:tcPr>
          <w:p w14:paraId="36FB1734" w14:textId="085E9192" w:rsidR="00DA1143" w:rsidRPr="004B723C" w:rsidRDefault="00DA1143"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rPr>
              <w:t>44</w:t>
            </w:r>
            <w:r w:rsidR="00EC0B3D" w:rsidRPr="004B723C">
              <w:rPr>
                <w:rFonts w:eastAsia="Times New Roman" w:cs="Times New Roman"/>
                <w:color w:val="000000"/>
                <w:sz w:val="18"/>
                <w:szCs w:val="18"/>
              </w:rPr>
              <w:t>.</w:t>
            </w:r>
            <w:r w:rsidRPr="004B723C">
              <w:rPr>
                <w:rFonts w:eastAsia="Times New Roman" w:cs="Times New Roman"/>
                <w:color w:val="000000"/>
                <w:sz w:val="18"/>
                <w:szCs w:val="18"/>
              </w:rPr>
              <w:t>3</w:t>
            </w:r>
            <w:r w:rsidR="00EC0B3D" w:rsidRPr="004B723C">
              <w:rPr>
                <w:rFonts w:eastAsia="Times New Roman" w:cs="Times New Roman"/>
                <w:color w:val="000000"/>
                <w:sz w:val="18"/>
                <w:szCs w:val="18"/>
              </w:rPr>
              <w:t>%</w:t>
            </w:r>
            <w:r w:rsidRPr="004B723C">
              <w:rPr>
                <w:rFonts w:eastAsia="Times New Roman" w:cs="Times New Roman"/>
                <w:color w:val="000000"/>
                <w:sz w:val="18"/>
                <w:szCs w:val="18"/>
              </w:rPr>
              <w:t xml:space="preserve"> (30.2-66.2)</w:t>
            </w:r>
          </w:p>
        </w:tc>
      </w:tr>
      <w:tr w:rsidR="001670D7" w:rsidRPr="004B723C" w14:paraId="6F8AA37B" w14:textId="77777777" w:rsidTr="00DD6327">
        <w:trPr>
          <w:trHeight w:val="300"/>
          <w:jc w:val="center"/>
        </w:trPr>
        <w:tc>
          <w:tcPr>
            <w:cnfStyle w:val="001000000000" w:firstRow="0" w:lastRow="0" w:firstColumn="1" w:lastColumn="0" w:oddVBand="0" w:evenVBand="0" w:oddHBand="0" w:evenHBand="0" w:firstRowFirstColumn="0" w:firstRowLastColumn="0" w:lastRowFirstColumn="0" w:lastRowLastColumn="0"/>
            <w:tcW w:w="1550" w:type="dxa"/>
            <w:noWrap/>
            <w:vAlign w:val="center"/>
            <w:hideMark/>
          </w:tcPr>
          <w:p w14:paraId="7B92210D" w14:textId="77777777" w:rsidR="00DA1143" w:rsidRPr="004B723C" w:rsidRDefault="00DA1143" w:rsidP="007F3A2D">
            <w:pPr>
              <w:spacing w:line="360" w:lineRule="auto"/>
              <w:jc w:val="center"/>
              <w:rPr>
                <w:rFonts w:eastAsia="Times New Roman" w:cs="Times New Roman"/>
                <w:color w:val="000000"/>
                <w:sz w:val="18"/>
                <w:szCs w:val="18"/>
                <w:lang w:eastAsia="en-GB"/>
              </w:rPr>
            </w:pPr>
            <w:r w:rsidRPr="004B723C">
              <w:rPr>
                <w:rFonts w:eastAsia="Times New Roman" w:cs="Times New Roman"/>
                <w:color w:val="000000"/>
                <w:sz w:val="18"/>
                <w:szCs w:val="18"/>
                <w:lang w:eastAsia="en-GB"/>
              </w:rPr>
              <w:t>HLA Mismatch</w:t>
            </w:r>
          </w:p>
        </w:tc>
        <w:tc>
          <w:tcPr>
            <w:tcW w:w="708" w:type="dxa"/>
            <w:noWrap/>
            <w:vAlign w:val="center"/>
            <w:hideMark/>
          </w:tcPr>
          <w:p w14:paraId="300AF851" w14:textId="77777777" w:rsidR="00DA1143" w:rsidRPr="004B723C" w:rsidRDefault="00DA1143"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3713</w:t>
            </w:r>
          </w:p>
        </w:tc>
        <w:tc>
          <w:tcPr>
            <w:tcW w:w="851" w:type="dxa"/>
            <w:noWrap/>
            <w:vAlign w:val="center"/>
            <w:hideMark/>
          </w:tcPr>
          <w:p w14:paraId="2FE51A5C" w14:textId="77777777" w:rsidR="00DA1143" w:rsidRPr="004B723C" w:rsidRDefault="00DA1143"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408</w:t>
            </w:r>
          </w:p>
        </w:tc>
        <w:tc>
          <w:tcPr>
            <w:tcW w:w="1417" w:type="dxa"/>
            <w:noWrap/>
            <w:vAlign w:val="center"/>
            <w:hideMark/>
          </w:tcPr>
          <w:p w14:paraId="03311A96" w14:textId="6CC55B60" w:rsidR="00DA1143" w:rsidRPr="004B723C" w:rsidRDefault="00DA1143"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rPr>
              <w:t>1</w:t>
            </w:r>
            <w:r w:rsidR="00EC0B3D" w:rsidRPr="004B723C">
              <w:rPr>
                <w:rFonts w:eastAsia="Times New Roman" w:cs="Times New Roman"/>
                <w:color w:val="000000"/>
                <w:sz w:val="18"/>
                <w:szCs w:val="18"/>
              </w:rPr>
              <w:t>.</w:t>
            </w:r>
            <w:r w:rsidRPr="004B723C">
              <w:rPr>
                <w:rFonts w:eastAsia="Times New Roman" w:cs="Times New Roman"/>
                <w:color w:val="000000"/>
                <w:sz w:val="18"/>
                <w:szCs w:val="18"/>
              </w:rPr>
              <w:t>1 (1.02-1.18)</w:t>
            </w:r>
          </w:p>
        </w:tc>
        <w:tc>
          <w:tcPr>
            <w:tcW w:w="1134" w:type="dxa"/>
            <w:noWrap/>
            <w:vAlign w:val="center"/>
            <w:hideMark/>
          </w:tcPr>
          <w:p w14:paraId="0DD593D5" w14:textId="378E6EB2" w:rsidR="00DA1143" w:rsidRPr="004B723C" w:rsidRDefault="00DA1143"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sz w:val="18"/>
                <w:szCs w:val="18"/>
              </w:rPr>
              <w:t>0.011</w:t>
            </w:r>
          </w:p>
        </w:tc>
        <w:tc>
          <w:tcPr>
            <w:tcW w:w="1418" w:type="dxa"/>
            <w:noWrap/>
            <w:vAlign w:val="center"/>
            <w:hideMark/>
          </w:tcPr>
          <w:p w14:paraId="559513B8" w14:textId="2B8493E7" w:rsidR="00DA1143" w:rsidRPr="004B723C" w:rsidRDefault="00DA1143"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rPr>
              <w:t>1</w:t>
            </w:r>
            <w:r w:rsidR="00EC0B3D" w:rsidRPr="004B723C">
              <w:rPr>
                <w:rFonts w:eastAsia="Times New Roman" w:cs="Times New Roman"/>
                <w:color w:val="000000"/>
                <w:sz w:val="18"/>
                <w:szCs w:val="18"/>
              </w:rPr>
              <w:t>.</w:t>
            </w:r>
            <w:r w:rsidRPr="004B723C">
              <w:rPr>
                <w:rFonts w:eastAsia="Times New Roman" w:cs="Times New Roman"/>
                <w:color w:val="000000"/>
                <w:sz w:val="18"/>
                <w:szCs w:val="18"/>
              </w:rPr>
              <w:t>06 (0.99-1.14)</w:t>
            </w:r>
          </w:p>
        </w:tc>
        <w:tc>
          <w:tcPr>
            <w:tcW w:w="1134" w:type="dxa"/>
            <w:noWrap/>
            <w:vAlign w:val="center"/>
            <w:hideMark/>
          </w:tcPr>
          <w:p w14:paraId="5322534F" w14:textId="78E1CDCF" w:rsidR="00DA1143" w:rsidRPr="004B723C" w:rsidRDefault="00DA1143"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rPr>
              <w:t>0.092</w:t>
            </w:r>
          </w:p>
        </w:tc>
        <w:tc>
          <w:tcPr>
            <w:tcW w:w="2410" w:type="dxa"/>
            <w:noWrap/>
            <w:vAlign w:val="center"/>
          </w:tcPr>
          <w:p w14:paraId="66E2D2E4" w14:textId="14B458FF" w:rsidR="00DA1143" w:rsidRPr="004B723C" w:rsidRDefault="00DA1143"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rPr>
              <w:t>3</w:t>
            </w:r>
            <w:r w:rsidR="00EC0B3D" w:rsidRPr="004B723C">
              <w:rPr>
                <w:rFonts w:eastAsia="Times New Roman" w:cs="Times New Roman"/>
                <w:color w:val="000000"/>
                <w:sz w:val="18"/>
                <w:szCs w:val="18"/>
              </w:rPr>
              <w:t>.</w:t>
            </w:r>
            <w:r w:rsidRPr="004B723C">
              <w:rPr>
                <w:rFonts w:eastAsia="Times New Roman" w:cs="Times New Roman"/>
                <w:color w:val="000000"/>
                <w:sz w:val="18"/>
                <w:szCs w:val="18"/>
              </w:rPr>
              <w:t>75 (3.03-4.64)</w:t>
            </w:r>
          </w:p>
        </w:tc>
        <w:tc>
          <w:tcPr>
            <w:tcW w:w="1296" w:type="dxa"/>
            <w:noWrap/>
            <w:vAlign w:val="center"/>
          </w:tcPr>
          <w:p w14:paraId="26C162D3" w14:textId="1B7851B7" w:rsidR="00DA1143" w:rsidRPr="004B723C" w:rsidRDefault="00D53FD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rPr>
              <w:t>7.39 × 10</w:t>
            </w:r>
            <w:r w:rsidRPr="004B723C">
              <w:rPr>
                <w:rFonts w:eastAsia="Times New Roman" w:cs="Times New Roman"/>
                <w:color w:val="000000"/>
                <w:sz w:val="18"/>
                <w:szCs w:val="18"/>
                <w:vertAlign w:val="superscript"/>
              </w:rPr>
              <w:t>-34</w:t>
            </w:r>
          </w:p>
        </w:tc>
        <w:tc>
          <w:tcPr>
            <w:tcW w:w="2066" w:type="dxa"/>
            <w:noWrap/>
            <w:vAlign w:val="center"/>
            <w:hideMark/>
          </w:tcPr>
          <w:p w14:paraId="63F90501" w14:textId="453E1B2A" w:rsidR="00DA1143" w:rsidRPr="004B723C" w:rsidRDefault="00DA1143"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rPr>
              <w:t>33</w:t>
            </w:r>
            <w:r w:rsidR="00EC0B3D" w:rsidRPr="004B723C">
              <w:rPr>
                <w:rFonts w:eastAsia="Times New Roman" w:cs="Times New Roman"/>
                <w:color w:val="000000"/>
                <w:sz w:val="18"/>
                <w:szCs w:val="18"/>
              </w:rPr>
              <w:t>.</w:t>
            </w:r>
            <w:r w:rsidRPr="004B723C">
              <w:rPr>
                <w:rFonts w:eastAsia="Times New Roman" w:cs="Times New Roman"/>
                <w:color w:val="000000"/>
                <w:sz w:val="18"/>
                <w:szCs w:val="18"/>
              </w:rPr>
              <w:t>2</w:t>
            </w:r>
            <w:r w:rsidR="00EC0B3D" w:rsidRPr="004B723C">
              <w:rPr>
                <w:rFonts w:eastAsia="Times New Roman" w:cs="Times New Roman"/>
                <w:color w:val="000000"/>
                <w:sz w:val="18"/>
                <w:szCs w:val="18"/>
              </w:rPr>
              <w:t>%</w:t>
            </w:r>
            <w:r w:rsidRPr="004B723C">
              <w:rPr>
                <w:rFonts w:eastAsia="Times New Roman" w:cs="Times New Roman"/>
                <w:color w:val="000000"/>
                <w:sz w:val="18"/>
                <w:szCs w:val="18"/>
              </w:rPr>
              <w:t xml:space="preserve"> (11.5-132.2)</w:t>
            </w:r>
          </w:p>
        </w:tc>
      </w:tr>
    </w:tbl>
    <w:p w14:paraId="18C32AE4" w14:textId="2450EF1C" w:rsidR="001670D7" w:rsidRPr="004B723C" w:rsidRDefault="001670D7" w:rsidP="00BF0A42">
      <w:pPr>
        <w:spacing w:before="240" w:line="360" w:lineRule="auto"/>
      </w:pPr>
      <w:r w:rsidRPr="004B723C">
        <w:t xml:space="preserve">Total effect HRs were derived from Cox proportional-hazards models including the risk factor of interest without adjustment for MVI. Direct effect HRs were derived from models additionally adjusting for MVI modelled as a time-dependent covariate. </w:t>
      </w:r>
      <w:r w:rsidR="00EC0B3D" w:rsidRPr="004B723C">
        <w:t xml:space="preserve">Mediation was quantified as the proportional attenuation of the </w:t>
      </w:r>
      <w:r w:rsidRPr="004B723C">
        <w:t xml:space="preserve">risk factor </w:t>
      </w:r>
      <w:r w:rsidR="00EC0B3D" w:rsidRPr="004B723C">
        <w:t>coefficient on the log-hazard scale, calculated as (β</w:t>
      </w:r>
      <w:r w:rsidR="00EC0B3D" w:rsidRPr="004B723C">
        <w:rPr>
          <w:vertAlign w:val="subscript"/>
        </w:rPr>
        <w:t>base</w:t>
      </w:r>
      <w:r w:rsidR="00EC0B3D" w:rsidRPr="004B723C">
        <w:t xml:space="preserve"> − β</w:t>
      </w:r>
      <w:r w:rsidR="00EC0B3D" w:rsidRPr="004B723C">
        <w:rPr>
          <w:vertAlign w:val="subscript"/>
        </w:rPr>
        <w:t>adjusted</w:t>
      </w:r>
      <w:r w:rsidR="00EC0B3D" w:rsidRPr="004B723C">
        <w:t>) / β</w:t>
      </w:r>
      <w:r w:rsidR="00EC0B3D" w:rsidRPr="004B723C">
        <w:rPr>
          <w:vertAlign w:val="subscript"/>
        </w:rPr>
        <w:t>base</w:t>
      </w:r>
      <w:r w:rsidR="00EC0B3D" w:rsidRPr="004B723C">
        <w:t>, where β denotes the Cox regression coefficient from models without and with time-dependent MVI, respectively. Confidence intervals were derived using nonparametric bootstrap resampling (1,000 iterations; seed = 123).</w:t>
      </w:r>
    </w:p>
    <w:p w14:paraId="6C805258" w14:textId="5F80D124" w:rsidR="00EC0B3D" w:rsidRPr="004B723C" w:rsidRDefault="00EC0B3D" w:rsidP="007F3A2D">
      <w:pPr>
        <w:spacing w:before="240" w:line="360" w:lineRule="auto"/>
      </w:pPr>
      <w:r w:rsidRPr="004B723C">
        <w:t>Abbreviations: CMV, cytomegalovirus; D, donor; DSA, donor-specific antibody; HLA, human leukocyte antigen; MVI, microvascular inflammation; R, recipient.</w:t>
      </w:r>
    </w:p>
    <w:p w14:paraId="2CF0A232" w14:textId="77777777" w:rsidR="008F2DD5" w:rsidRPr="004B723C" w:rsidRDefault="008F2DD5" w:rsidP="007F3A2D">
      <w:pPr>
        <w:spacing w:line="360" w:lineRule="auto"/>
        <w:sectPr w:rsidR="008F2DD5" w:rsidRPr="004B723C" w:rsidSect="00380509">
          <w:pgSz w:w="16838" w:h="11906" w:orient="landscape"/>
          <w:pgMar w:top="1417" w:right="1417" w:bottom="1417" w:left="1417" w:header="708" w:footer="708" w:gutter="0"/>
          <w:cols w:space="708"/>
          <w:docGrid w:linePitch="360"/>
        </w:sectPr>
      </w:pPr>
    </w:p>
    <w:p w14:paraId="0B520BB7" w14:textId="2CF0BE60" w:rsidR="00F42071" w:rsidRPr="004B723C" w:rsidRDefault="00F42071" w:rsidP="00F42071">
      <w:pPr>
        <w:pStyle w:val="Heading2"/>
      </w:pPr>
      <w:bookmarkStart w:id="15" w:name="_Toc216645097"/>
      <w:r w:rsidRPr="004B723C">
        <w:lastRenderedPageBreak/>
        <w:t>Table S1</w:t>
      </w:r>
      <w:r w:rsidR="00267FED" w:rsidRPr="004B723C">
        <w:t>2</w:t>
      </w:r>
      <w:r w:rsidRPr="004B723C">
        <w:t>: Cox proportional hazards models for post-transplant CMV replication</w:t>
      </w:r>
    </w:p>
    <w:tbl>
      <w:tblPr>
        <w:tblStyle w:val="Nature"/>
        <w:tblW w:w="0" w:type="auto"/>
        <w:jc w:val="center"/>
        <w:tblLayout w:type="fixed"/>
        <w:tblLook w:val="04A0" w:firstRow="1" w:lastRow="0" w:firstColumn="1" w:lastColumn="0" w:noHBand="0" w:noVBand="1"/>
      </w:tblPr>
      <w:tblGrid>
        <w:gridCol w:w="2542"/>
        <w:gridCol w:w="992"/>
        <w:gridCol w:w="1134"/>
        <w:gridCol w:w="1276"/>
        <w:gridCol w:w="1417"/>
        <w:gridCol w:w="1134"/>
        <w:gridCol w:w="1134"/>
        <w:gridCol w:w="1276"/>
        <w:gridCol w:w="1701"/>
        <w:gridCol w:w="1378"/>
      </w:tblGrid>
      <w:tr w:rsidR="00F42071" w:rsidRPr="004B723C" w14:paraId="74279D2F" w14:textId="77777777" w:rsidTr="00DA4AEB">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542" w:type="dxa"/>
            <w:noWrap/>
            <w:vAlign w:val="center"/>
            <w:hideMark/>
          </w:tcPr>
          <w:p w14:paraId="65981C08" w14:textId="44EAB30B" w:rsidR="00F42071" w:rsidRPr="004B723C" w:rsidRDefault="00DA4AEB" w:rsidP="0025243F">
            <w:pPr>
              <w:spacing w:line="360" w:lineRule="auto"/>
              <w:jc w:val="center"/>
              <w:rPr>
                <w:rFonts w:eastAsia="Times New Roman" w:cs="Times New Roman"/>
                <w:b/>
                <w:bCs/>
                <w:color w:val="000000"/>
                <w:sz w:val="18"/>
                <w:szCs w:val="18"/>
                <w:lang w:eastAsia="en-GB"/>
              </w:rPr>
            </w:pPr>
            <w:r>
              <w:rPr>
                <w:rFonts w:eastAsia="Times New Roman" w:cs="Times New Roman"/>
                <w:b/>
                <w:bCs/>
                <w:color w:val="000000"/>
                <w:sz w:val="18"/>
                <w:szCs w:val="18"/>
                <w:lang w:eastAsia="en-GB"/>
              </w:rPr>
              <w:t>Factors</w:t>
            </w:r>
          </w:p>
        </w:tc>
        <w:tc>
          <w:tcPr>
            <w:tcW w:w="992" w:type="dxa"/>
            <w:noWrap/>
            <w:vAlign w:val="center"/>
            <w:hideMark/>
          </w:tcPr>
          <w:p w14:paraId="177853B9" w14:textId="77777777" w:rsidR="00F42071" w:rsidRPr="004B723C" w:rsidRDefault="00F42071" w:rsidP="0025243F">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eastAsia="en-GB"/>
              </w:rPr>
            </w:pPr>
            <w:r w:rsidRPr="004B723C">
              <w:rPr>
                <w:rFonts w:eastAsia="Times New Roman" w:cs="Times New Roman"/>
                <w:b/>
                <w:bCs/>
                <w:color w:val="000000"/>
                <w:sz w:val="18"/>
                <w:szCs w:val="18"/>
                <w:lang w:eastAsia="en-GB"/>
              </w:rPr>
              <w:t>Level</w:t>
            </w:r>
          </w:p>
        </w:tc>
        <w:tc>
          <w:tcPr>
            <w:tcW w:w="1134" w:type="dxa"/>
            <w:noWrap/>
            <w:vAlign w:val="center"/>
            <w:hideMark/>
          </w:tcPr>
          <w:p w14:paraId="7E309A7F" w14:textId="006E06AB" w:rsidR="00F42071" w:rsidRPr="004B723C" w:rsidRDefault="00F42071" w:rsidP="0025243F">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eastAsia="en-GB"/>
              </w:rPr>
            </w:pPr>
            <w:r w:rsidRPr="004B723C">
              <w:rPr>
                <w:rFonts w:eastAsia="Times New Roman" w:cs="Times New Roman"/>
                <w:b/>
                <w:bCs/>
                <w:color w:val="000000"/>
                <w:sz w:val="18"/>
                <w:szCs w:val="18"/>
                <w:lang w:eastAsia="en-GB"/>
              </w:rPr>
              <w:t>Events/</w:t>
            </w:r>
            <w:r w:rsidRPr="004B723C">
              <w:rPr>
                <w:rFonts w:eastAsia="Times New Roman" w:cs="Times New Roman"/>
                <w:b/>
                <w:bCs/>
                <w:color w:val="000000"/>
                <w:sz w:val="18"/>
                <w:szCs w:val="18"/>
                <w:lang w:eastAsia="en-GB"/>
              </w:rPr>
              <w:br/>
              <w:t xml:space="preserve">N </w:t>
            </w:r>
            <w:r w:rsidR="00C519B9" w:rsidRPr="004B723C">
              <w:rPr>
                <w:rFonts w:eastAsia="Times New Roman" w:cs="Times New Roman"/>
                <w:b/>
                <w:bCs/>
                <w:color w:val="000000"/>
                <w:sz w:val="18"/>
                <w:szCs w:val="18"/>
                <w:lang w:eastAsia="en-GB"/>
              </w:rPr>
              <w:t>analyzed</w:t>
            </w:r>
          </w:p>
        </w:tc>
        <w:tc>
          <w:tcPr>
            <w:tcW w:w="1276" w:type="dxa"/>
            <w:noWrap/>
            <w:vAlign w:val="center"/>
            <w:hideMark/>
          </w:tcPr>
          <w:p w14:paraId="29A4067B" w14:textId="77777777" w:rsidR="00F42071" w:rsidRPr="004B723C" w:rsidRDefault="00F42071" w:rsidP="0025243F">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eastAsia="en-GB"/>
              </w:rPr>
            </w:pPr>
            <w:r w:rsidRPr="004B723C">
              <w:rPr>
                <w:rFonts w:eastAsia="Times New Roman" w:cs="Times New Roman"/>
                <w:b/>
                <w:bCs/>
                <w:color w:val="000000"/>
                <w:sz w:val="18"/>
                <w:szCs w:val="18"/>
                <w:lang w:eastAsia="en-GB"/>
              </w:rPr>
              <w:t>Events (group)/</w:t>
            </w:r>
            <w:r w:rsidRPr="004B723C">
              <w:rPr>
                <w:rFonts w:eastAsia="Times New Roman" w:cs="Times New Roman"/>
                <w:b/>
                <w:bCs/>
                <w:color w:val="000000"/>
                <w:sz w:val="18"/>
                <w:szCs w:val="18"/>
                <w:lang w:eastAsia="en-GB"/>
              </w:rPr>
              <w:br/>
              <w:t>N (group)</w:t>
            </w:r>
          </w:p>
        </w:tc>
        <w:tc>
          <w:tcPr>
            <w:tcW w:w="1417" w:type="dxa"/>
            <w:noWrap/>
            <w:vAlign w:val="center"/>
            <w:hideMark/>
          </w:tcPr>
          <w:p w14:paraId="14995868" w14:textId="77777777" w:rsidR="00F42071" w:rsidRPr="004B723C" w:rsidRDefault="00F42071" w:rsidP="0025243F">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eastAsia="en-GB"/>
              </w:rPr>
            </w:pPr>
            <w:r w:rsidRPr="004B723C">
              <w:rPr>
                <w:rFonts w:eastAsia="Times New Roman" w:cs="Times New Roman"/>
                <w:b/>
                <w:bCs/>
                <w:color w:val="000000"/>
                <w:sz w:val="18"/>
                <w:szCs w:val="18"/>
                <w:lang w:eastAsia="en-GB"/>
              </w:rPr>
              <w:t>HR</w:t>
            </w:r>
            <w:r w:rsidRPr="004B723C">
              <w:rPr>
                <w:rFonts w:eastAsia="Times New Roman" w:cs="Times New Roman"/>
                <w:b/>
                <w:bCs/>
                <w:color w:val="000000"/>
                <w:sz w:val="18"/>
                <w:szCs w:val="18"/>
                <w:lang w:eastAsia="en-GB"/>
              </w:rPr>
              <w:br/>
              <w:t>(95% CI)</w:t>
            </w:r>
          </w:p>
        </w:tc>
        <w:tc>
          <w:tcPr>
            <w:tcW w:w="1134" w:type="dxa"/>
            <w:noWrap/>
            <w:vAlign w:val="center"/>
            <w:hideMark/>
          </w:tcPr>
          <w:p w14:paraId="59E13857" w14:textId="06D2BE2E" w:rsidR="00F42071" w:rsidRPr="004B723C" w:rsidRDefault="00DA4AEB" w:rsidP="0025243F">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eastAsia="en-GB"/>
              </w:rPr>
            </w:pPr>
            <w:r>
              <w:rPr>
                <w:rFonts w:eastAsia="Times New Roman" w:cs="Times New Roman"/>
                <w:b/>
                <w:bCs/>
                <w:color w:val="000000"/>
                <w:sz w:val="18"/>
                <w:szCs w:val="18"/>
                <w:lang w:eastAsia="en-GB"/>
              </w:rPr>
              <w:t>P</w:t>
            </w:r>
            <w:r w:rsidRPr="004B723C">
              <w:rPr>
                <w:rFonts w:eastAsia="Times New Roman" w:cs="Times New Roman"/>
                <w:b/>
                <w:bCs/>
                <w:color w:val="000000"/>
                <w:sz w:val="18"/>
                <w:szCs w:val="18"/>
                <w:lang w:eastAsia="en-GB"/>
              </w:rPr>
              <w:t xml:space="preserve"> value</w:t>
            </w:r>
          </w:p>
        </w:tc>
        <w:tc>
          <w:tcPr>
            <w:tcW w:w="1134" w:type="dxa"/>
            <w:noWrap/>
            <w:vAlign w:val="center"/>
            <w:hideMark/>
          </w:tcPr>
          <w:p w14:paraId="303B420A" w14:textId="4121996B" w:rsidR="00F42071" w:rsidRPr="004B723C" w:rsidRDefault="00F42071" w:rsidP="0025243F">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eastAsia="en-GB"/>
              </w:rPr>
            </w:pPr>
            <w:r w:rsidRPr="004B723C">
              <w:rPr>
                <w:rFonts w:eastAsia="Times New Roman" w:cs="Times New Roman"/>
                <w:b/>
                <w:bCs/>
                <w:color w:val="000000"/>
                <w:sz w:val="18"/>
                <w:szCs w:val="18"/>
                <w:lang w:eastAsia="en-GB"/>
              </w:rPr>
              <w:t>Events/</w:t>
            </w:r>
            <w:r w:rsidRPr="004B723C">
              <w:rPr>
                <w:rFonts w:eastAsia="Times New Roman" w:cs="Times New Roman"/>
                <w:b/>
                <w:bCs/>
                <w:color w:val="000000"/>
                <w:sz w:val="18"/>
                <w:szCs w:val="18"/>
                <w:lang w:eastAsia="en-GB"/>
              </w:rPr>
              <w:br/>
              <w:t xml:space="preserve">N </w:t>
            </w:r>
            <w:r w:rsidR="00C519B9" w:rsidRPr="004B723C">
              <w:rPr>
                <w:rFonts w:eastAsia="Times New Roman" w:cs="Times New Roman"/>
                <w:b/>
                <w:bCs/>
                <w:color w:val="000000"/>
                <w:sz w:val="18"/>
                <w:szCs w:val="18"/>
                <w:lang w:eastAsia="en-GB"/>
              </w:rPr>
              <w:t>analyzed</w:t>
            </w:r>
          </w:p>
        </w:tc>
        <w:tc>
          <w:tcPr>
            <w:tcW w:w="1276" w:type="dxa"/>
            <w:noWrap/>
            <w:vAlign w:val="center"/>
            <w:hideMark/>
          </w:tcPr>
          <w:p w14:paraId="6C614AB4" w14:textId="77777777" w:rsidR="00F42071" w:rsidRPr="004B723C" w:rsidRDefault="00F42071" w:rsidP="0025243F">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eastAsia="en-GB"/>
              </w:rPr>
            </w:pPr>
            <w:r w:rsidRPr="004B723C">
              <w:rPr>
                <w:rFonts w:eastAsia="Times New Roman" w:cs="Times New Roman"/>
                <w:b/>
                <w:bCs/>
                <w:color w:val="000000"/>
                <w:sz w:val="18"/>
                <w:szCs w:val="18"/>
                <w:lang w:eastAsia="en-GB"/>
              </w:rPr>
              <w:t>Events (group)/</w:t>
            </w:r>
            <w:r w:rsidRPr="004B723C">
              <w:rPr>
                <w:rFonts w:eastAsia="Times New Roman" w:cs="Times New Roman"/>
                <w:b/>
                <w:bCs/>
                <w:color w:val="000000"/>
                <w:sz w:val="18"/>
                <w:szCs w:val="18"/>
                <w:lang w:eastAsia="en-GB"/>
              </w:rPr>
              <w:br/>
              <w:t>N (group)</w:t>
            </w:r>
          </w:p>
        </w:tc>
        <w:tc>
          <w:tcPr>
            <w:tcW w:w="1701" w:type="dxa"/>
            <w:noWrap/>
            <w:vAlign w:val="center"/>
            <w:hideMark/>
          </w:tcPr>
          <w:p w14:paraId="6B7BC9C2" w14:textId="77777777" w:rsidR="00F42071" w:rsidRPr="004B723C" w:rsidRDefault="00F42071" w:rsidP="0025243F">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eastAsia="en-GB"/>
              </w:rPr>
            </w:pPr>
            <w:r w:rsidRPr="004B723C">
              <w:rPr>
                <w:rFonts w:eastAsia="Times New Roman" w:cs="Times New Roman"/>
                <w:b/>
                <w:bCs/>
                <w:color w:val="000000"/>
                <w:sz w:val="18"/>
                <w:szCs w:val="18"/>
                <w:lang w:eastAsia="en-GB"/>
              </w:rPr>
              <w:t>Adjusted HR</w:t>
            </w:r>
            <w:r w:rsidRPr="004B723C">
              <w:rPr>
                <w:rFonts w:eastAsia="Times New Roman" w:cs="Times New Roman"/>
                <w:b/>
                <w:bCs/>
                <w:color w:val="000000"/>
                <w:sz w:val="18"/>
                <w:szCs w:val="18"/>
                <w:lang w:eastAsia="en-GB"/>
              </w:rPr>
              <w:br/>
              <w:t>(95% CI)</w:t>
            </w:r>
          </w:p>
        </w:tc>
        <w:tc>
          <w:tcPr>
            <w:tcW w:w="1378" w:type="dxa"/>
            <w:noWrap/>
            <w:vAlign w:val="center"/>
            <w:hideMark/>
          </w:tcPr>
          <w:p w14:paraId="06F806C0" w14:textId="0C461736" w:rsidR="00F42071" w:rsidRPr="004B723C" w:rsidRDefault="00DA4AEB" w:rsidP="0025243F">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eastAsia="en-GB"/>
              </w:rPr>
            </w:pPr>
            <w:r>
              <w:rPr>
                <w:rFonts w:eastAsia="Times New Roman" w:cs="Times New Roman"/>
                <w:b/>
                <w:bCs/>
                <w:color w:val="000000"/>
                <w:sz w:val="18"/>
                <w:szCs w:val="18"/>
                <w:lang w:eastAsia="en-GB"/>
              </w:rPr>
              <w:t>P</w:t>
            </w:r>
            <w:r w:rsidRPr="004B723C">
              <w:rPr>
                <w:rFonts w:eastAsia="Times New Roman" w:cs="Times New Roman"/>
                <w:b/>
                <w:bCs/>
                <w:color w:val="000000"/>
                <w:sz w:val="18"/>
                <w:szCs w:val="18"/>
                <w:lang w:eastAsia="en-GB"/>
              </w:rPr>
              <w:t xml:space="preserve"> value</w:t>
            </w:r>
          </w:p>
        </w:tc>
      </w:tr>
      <w:tr w:rsidR="00F42071" w:rsidRPr="004B723C" w14:paraId="02CB17FB" w14:textId="77777777" w:rsidTr="00DA4AEB">
        <w:trPr>
          <w:trHeight w:val="300"/>
          <w:jc w:val="center"/>
        </w:trPr>
        <w:tc>
          <w:tcPr>
            <w:cnfStyle w:val="001000000000" w:firstRow="0" w:lastRow="0" w:firstColumn="1" w:lastColumn="0" w:oddVBand="0" w:evenVBand="0" w:oddHBand="0" w:evenHBand="0" w:firstRowFirstColumn="0" w:firstRowLastColumn="0" w:lastRowFirstColumn="0" w:lastRowLastColumn="0"/>
            <w:tcW w:w="2542" w:type="dxa"/>
            <w:noWrap/>
            <w:vAlign w:val="center"/>
          </w:tcPr>
          <w:p w14:paraId="2EC5FF13" w14:textId="77777777" w:rsidR="00F42071" w:rsidRPr="004B723C" w:rsidRDefault="00F42071" w:rsidP="0025243F">
            <w:pPr>
              <w:spacing w:line="360" w:lineRule="auto"/>
              <w:jc w:val="center"/>
              <w:rPr>
                <w:rFonts w:eastAsia="Times New Roman" w:cs="Times New Roman"/>
                <w:color w:val="000000"/>
                <w:sz w:val="18"/>
                <w:szCs w:val="18"/>
                <w:lang w:eastAsia="en-GB"/>
              </w:rPr>
            </w:pPr>
          </w:p>
        </w:tc>
        <w:tc>
          <w:tcPr>
            <w:tcW w:w="992" w:type="dxa"/>
            <w:noWrap/>
            <w:vAlign w:val="center"/>
          </w:tcPr>
          <w:p w14:paraId="7CD73E10"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4961" w:type="dxa"/>
            <w:gridSpan w:val="4"/>
            <w:noWrap/>
            <w:vAlign w:val="center"/>
          </w:tcPr>
          <w:p w14:paraId="6874D48F"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b/>
                <w:bCs/>
                <w:color w:val="000000"/>
                <w:sz w:val="18"/>
                <w:szCs w:val="18"/>
                <w:lang w:eastAsia="en-GB"/>
              </w:rPr>
              <w:t>UNIVARIABLE ANALYSIS</w:t>
            </w:r>
          </w:p>
        </w:tc>
        <w:tc>
          <w:tcPr>
            <w:tcW w:w="5489" w:type="dxa"/>
            <w:gridSpan w:val="4"/>
            <w:noWrap/>
            <w:vAlign w:val="center"/>
          </w:tcPr>
          <w:p w14:paraId="650B6FC0"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b/>
                <w:bCs/>
                <w:color w:val="000000"/>
                <w:sz w:val="18"/>
                <w:szCs w:val="18"/>
                <w:lang w:eastAsia="en-GB"/>
              </w:rPr>
              <w:t>MULTIVARIABLE ANALYSIS</w:t>
            </w:r>
          </w:p>
        </w:tc>
      </w:tr>
      <w:tr w:rsidR="00F42071" w:rsidRPr="004B723C" w14:paraId="4835E751" w14:textId="77777777" w:rsidTr="00DA4AEB">
        <w:trPr>
          <w:trHeight w:val="300"/>
          <w:jc w:val="center"/>
        </w:trPr>
        <w:tc>
          <w:tcPr>
            <w:cnfStyle w:val="001000000000" w:firstRow="0" w:lastRow="0" w:firstColumn="1" w:lastColumn="0" w:oddVBand="0" w:evenVBand="0" w:oddHBand="0" w:evenHBand="0" w:firstRowFirstColumn="0" w:firstRowLastColumn="0" w:lastRowFirstColumn="0" w:lastRowLastColumn="0"/>
            <w:tcW w:w="2542" w:type="dxa"/>
            <w:noWrap/>
            <w:vAlign w:val="center"/>
            <w:hideMark/>
          </w:tcPr>
          <w:p w14:paraId="4463BBFE" w14:textId="77777777" w:rsidR="00F42071" w:rsidRPr="004B723C" w:rsidRDefault="00F42071" w:rsidP="0025243F">
            <w:pPr>
              <w:spacing w:line="360" w:lineRule="auto"/>
              <w:rPr>
                <w:rFonts w:eastAsia="Times New Roman" w:cs="Times New Roman"/>
                <w:color w:val="000000"/>
                <w:sz w:val="18"/>
                <w:szCs w:val="18"/>
                <w:lang w:eastAsia="en-GB"/>
              </w:rPr>
            </w:pPr>
            <w:r w:rsidRPr="004B723C">
              <w:rPr>
                <w:rFonts w:eastAsia="Times New Roman" w:cs="Times New Roman"/>
                <w:color w:val="000000"/>
                <w:sz w:val="18"/>
                <w:szCs w:val="18"/>
                <w:lang w:eastAsia="en-GB"/>
              </w:rPr>
              <w:t>Calendar year of transplantation (per year)</w:t>
            </w:r>
          </w:p>
        </w:tc>
        <w:tc>
          <w:tcPr>
            <w:tcW w:w="992" w:type="dxa"/>
            <w:noWrap/>
            <w:vAlign w:val="center"/>
            <w:hideMark/>
          </w:tcPr>
          <w:p w14:paraId="412FE7E0"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w:t>
            </w:r>
          </w:p>
        </w:tc>
        <w:tc>
          <w:tcPr>
            <w:tcW w:w="1134" w:type="dxa"/>
            <w:noWrap/>
            <w:vAlign w:val="center"/>
          </w:tcPr>
          <w:p w14:paraId="65DF5CBB"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698/2,314</w:t>
            </w:r>
          </w:p>
        </w:tc>
        <w:tc>
          <w:tcPr>
            <w:tcW w:w="1276" w:type="dxa"/>
            <w:noWrap/>
            <w:vAlign w:val="center"/>
          </w:tcPr>
          <w:p w14:paraId="44F56267"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w:t>
            </w:r>
          </w:p>
        </w:tc>
        <w:tc>
          <w:tcPr>
            <w:tcW w:w="1417" w:type="dxa"/>
            <w:noWrap/>
            <w:vAlign w:val="center"/>
          </w:tcPr>
          <w:p w14:paraId="14CCD58C"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1.01 (1.00–1.03)</w:t>
            </w:r>
          </w:p>
        </w:tc>
        <w:tc>
          <w:tcPr>
            <w:tcW w:w="1134" w:type="dxa"/>
            <w:noWrap/>
            <w:vAlign w:val="center"/>
          </w:tcPr>
          <w:p w14:paraId="11292451"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0.13</w:t>
            </w:r>
          </w:p>
        </w:tc>
        <w:tc>
          <w:tcPr>
            <w:tcW w:w="1134" w:type="dxa"/>
            <w:noWrap/>
            <w:vAlign w:val="center"/>
          </w:tcPr>
          <w:p w14:paraId="726303B3"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697/2,313</w:t>
            </w:r>
          </w:p>
        </w:tc>
        <w:tc>
          <w:tcPr>
            <w:tcW w:w="1276" w:type="dxa"/>
            <w:noWrap/>
            <w:vAlign w:val="center"/>
          </w:tcPr>
          <w:p w14:paraId="5B91E6C8"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w:t>
            </w:r>
          </w:p>
        </w:tc>
        <w:tc>
          <w:tcPr>
            <w:tcW w:w="1701" w:type="dxa"/>
            <w:noWrap/>
            <w:vAlign w:val="center"/>
          </w:tcPr>
          <w:p w14:paraId="074F7122"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1.00 (0.99–1.02)</w:t>
            </w:r>
          </w:p>
        </w:tc>
        <w:tc>
          <w:tcPr>
            <w:tcW w:w="1378" w:type="dxa"/>
            <w:noWrap/>
            <w:vAlign w:val="center"/>
          </w:tcPr>
          <w:p w14:paraId="0DB3DD1A"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0.76</w:t>
            </w:r>
          </w:p>
        </w:tc>
      </w:tr>
      <w:tr w:rsidR="00F42071" w:rsidRPr="004B723C" w14:paraId="5E1FA31D" w14:textId="77777777" w:rsidTr="00DA4AEB">
        <w:trPr>
          <w:trHeight w:val="300"/>
          <w:jc w:val="center"/>
        </w:trPr>
        <w:tc>
          <w:tcPr>
            <w:cnfStyle w:val="001000000000" w:firstRow="0" w:lastRow="0" w:firstColumn="1" w:lastColumn="0" w:oddVBand="0" w:evenVBand="0" w:oddHBand="0" w:evenHBand="0" w:firstRowFirstColumn="0" w:firstRowLastColumn="0" w:lastRowFirstColumn="0" w:lastRowLastColumn="0"/>
            <w:tcW w:w="2542" w:type="dxa"/>
            <w:noWrap/>
            <w:vAlign w:val="center"/>
            <w:hideMark/>
          </w:tcPr>
          <w:p w14:paraId="56F7E318" w14:textId="77777777" w:rsidR="00F42071" w:rsidRPr="004B723C" w:rsidRDefault="00F42071" w:rsidP="0025243F">
            <w:pPr>
              <w:spacing w:line="360" w:lineRule="auto"/>
              <w:rPr>
                <w:rFonts w:eastAsia="Times New Roman" w:cs="Times New Roman"/>
                <w:color w:val="000000"/>
                <w:sz w:val="18"/>
                <w:szCs w:val="18"/>
                <w:lang w:eastAsia="en-GB"/>
              </w:rPr>
            </w:pPr>
            <w:r w:rsidRPr="004B723C">
              <w:rPr>
                <w:rFonts w:eastAsia="Times New Roman" w:cs="Times New Roman"/>
                <w:color w:val="000000"/>
                <w:sz w:val="18"/>
                <w:szCs w:val="18"/>
                <w:lang w:eastAsia="en-GB"/>
              </w:rPr>
              <w:t>Centre</w:t>
            </w:r>
          </w:p>
        </w:tc>
        <w:tc>
          <w:tcPr>
            <w:tcW w:w="992" w:type="dxa"/>
            <w:noWrap/>
            <w:vAlign w:val="center"/>
            <w:hideMark/>
          </w:tcPr>
          <w:p w14:paraId="7ECFF34C"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Basel</w:t>
            </w:r>
          </w:p>
        </w:tc>
        <w:tc>
          <w:tcPr>
            <w:tcW w:w="1134" w:type="dxa"/>
            <w:noWrap/>
            <w:vAlign w:val="center"/>
          </w:tcPr>
          <w:p w14:paraId="0AB593D0"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698/2,314</w:t>
            </w:r>
          </w:p>
        </w:tc>
        <w:tc>
          <w:tcPr>
            <w:tcW w:w="1276" w:type="dxa"/>
            <w:noWrap/>
            <w:vAlign w:val="center"/>
          </w:tcPr>
          <w:p w14:paraId="72F446EF"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133/423</w:t>
            </w:r>
          </w:p>
        </w:tc>
        <w:tc>
          <w:tcPr>
            <w:tcW w:w="1417" w:type="dxa"/>
            <w:noWrap/>
            <w:vAlign w:val="center"/>
          </w:tcPr>
          <w:p w14:paraId="20523DC1" w14:textId="412C9F76" w:rsidR="00F42071" w:rsidRPr="004B723C" w:rsidRDefault="00D45F56"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1134" w:type="dxa"/>
            <w:noWrap/>
            <w:vAlign w:val="center"/>
          </w:tcPr>
          <w:p w14:paraId="0E17E391" w14:textId="3D95DC83" w:rsidR="00F42071" w:rsidRPr="004B723C" w:rsidRDefault="00D45F56"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1134" w:type="dxa"/>
            <w:noWrap/>
            <w:vAlign w:val="center"/>
          </w:tcPr>
          <w:p w14:paraId="4581EBF8"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697/2,313</w:t>
            </w:r>
          </w:p>
        </w:tc>
        <w:tc>
          <w:tcPr>
            <w:tcW w:w="1276" w:type="dxa"/>
            <w:noWrap/>
            <w:vAlign w:val="center"/>
          </w:tcPr>
          <w:p w14:paraId="24466F13"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133/423</w:t>
            </w:r>
          </w:p>
        </w:tc>
        <w:tc>
          <w:tcPr>
            <w:tcW w:w="1701" w:type="dxa"/>
            <w:noWrap/>
            <w:vAlign w:val="center"/>
          </w:tcPr>
          <w:p w14:paraId="3D1FE78C" w14:textId="67115D5C" w:rsidR="00F42071" w:rsidRPr="004B723C" w:rsidRDefault="00D45F56"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1378" w:type="dxa"/>
            <w:noWrap/>
            <w:vAlign w:val="center"/>
          </w:tcPr>
          <w:p w14:paraId="0C02AFD1" w14:textId="0C1B372B" w:rsidR="00F42071" w:rsidRPr="004B723C" w:rsidRDefault="00D45F56"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r>
      <w:tr w:rsidR="00F42071" w:rsidRPr="004B723C" w14:paraId="36C40F64" w14:textId="77777777" w:rsidTr="00DA4AEB">
        <w:trPr>
          <w:trHeight w:val="300"/>
          <w:jc w:val="center"/>
        </w:trPr>
        <w:tc>
          <w:tcPr>
            <w:cnfStyle w:val="001000000000" w:firstRow="0" w:lastRow="0" w:firstColumn="1" w:lastColumn="0" w:oddVBand="0" w:evenVBand="0" w:oddHBand="0" w:evenHBand="0" w:firstRowFirstColumn="0" w:firstRowLastColumn="0" w:lastRowFirstColumn="0" w:lastRowLastColumn="0"/>
            <w:tcW w:w="2542" w:type="dxa"/>
            <w:noWrap/>
            <w:vAlign w:val="center"/>
          </w:tcPr>
          <w:p w14:paraId="7EC18698" w14:textId="77777777" w:rsidR="00F42071" w:rsidRPr="004B723C" w:rsidRDefault="00F42071" w:rsidP="0025243F">
            <w:pPr>
              <w:spacing w:line="360" w:lineRule="auto"/>
              <w:rPr>
                <w:rFonts w:eastAsia="Times New Roman" w:cs="Times New Roman"/>
                <w:color w:val="000000"/>
                <w:sz w:val="18"/>
                <w:szCs w:val="18"/>
                <w:lang w:eastAsia="en-GB"/>
              </w:rPr>
            </w:pPr>
          </w:p>
        </w:tc>
        <w:tc>
          <w:tcPr>
            <w:tcW w:w="992" w:type="dxa"/>
            <w:noWrap/>
            <w:vAlign w:val="center"/>
            <w:hideMark/>
          </w:tcPr>
          <w:p w14:paraId="6155671C"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Leuven</w:t>
            </w:r>
          </w:p>
        </w:tc>
        <w:tc>
          <w:tcPr>
            <w:tcW w:w="1134" w:type="dxa"/>
            <w:noWrap/>
            <w:vAlign w:val="center"/>
          </w:tcPr>
          <w:p w14:paraId="24617A9C"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w:t>
            </w:r>
          </w:p>
        </w:tc>
        <w:tc>
          <w:tcPr>
            <w:tcW w:w="1276" w:type="dxa"/>
            <w:noWrap/>
            <w:vAlign w:val="center"/>
          </w:tcPr>
          <w:p w14:paraId="4AA9798E"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565/1,891</w:t>
            </w:r>
          </w:p>
        </w:tc>
        <w:tc>
          <w:tcPr>
            <w:tcW w:w="1417" w:type="dxa"/>
            <w:noWrap/>
            <w:vAlign w:val="center"/>
          </w:tcPr>
          <w:p w14:paraId="62A90FFB"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0.86 (0.71–1.03)</w:t>
            </w:r>
          </w:p>
        </w:tc>
        <w:tc>
          <w:tcPr>
            <w:tcW w:w="1134" w:type="dxa"/>
            <w:noWrap/>
            <w:vAlign w:val="center"/>
          </w:tcPr>
          <w:p w14:paraId="0AD6F065"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0.11</w:t>
            </w:r>
          </w:p>
        </w:tc>
        <w:tc>
          <w:tcPr>
            <w:tcW w:w="1134" w:type="dxa"/>
            <w:noWrap/>
            <w:vAlign w:val="center"/>
          </w:tcPr>
          <w:p w14:paraId="72D10EDB"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w:t>
            </w:r>
          </w:p>
        </w:tc>
        <w:tc>
          <w:tcPr>
            <w:tcW w:w="1276" w:type="dxa"/>
            <w:noWrap/>
            <w:vAlign w:val="center"/>
          </w:tcPr>
          <w:p w14:paraId="5933E24A"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564/1,890</w:t>
            </w:r>
          </w:p>
        </w:tc>
        <w:tc>
          <w:tcPr>
            <w:tcW w:w="1701" w:type="dxa"/>
            <w:noWrap/>
            <w:vAlign w:val="center"/>
          </w:tcPr>
          <w:p w14:paraId="367D1F1A"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0.94 (0.74–1.19)</w:t>
            </w:r>
          </w:p>
        </w:tc>
        <w:tc>
          <w:tcPr>
            <w:tcW w:w="1378" w:type="dxa"/>
            <w:noWrap/>
            <w:vAlign w:val="center"/>
          </w:tcPr>
          <w:p w14:paraId="791F09B3"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0.58</w:t>
            </w:r>
          </w:p>
        </w:tc>
      </w:tr>
      <w:tr w:rsidR="00F42071" w:rsidRPr="004B723C" w14:paraId="0415D1DE" w14:textId="77777777" w:rsidTr="00DA4AEB">
        <w:trPr>
          <w:trHeight w:val="300"/>
          <w:jc w:val="center"/>
        </w:trPr>
        <w:tc>
          <w:tcPr>
            <w:cnfStyle w:val="001000000000" w:firstRow="0" w:lastRow="0" w:firstColumn="1" w:lastColumn="0" w:oddVBand="0" w:evenVBand="0" w:oddHBand="0" w:evenHBand="0" w:firstRowFirstColumn="0" w:firstRowLastColumn="0" w:lastRowFirstColumn="0" w:lastRowLastColumn="0"/>
            <w:tcW w:w="2542" w:type="dxa"/>
            <w:noWrap/>
            <w:vAlign w:val="center"/>
            <w:hideMark/>
          </w:tcPr>
          <w:p w14:paraId="1A8F3072" w14:textId="7A8F4213" w:rsidR="00F42071" w:rsidRPr="004B723C" w:rsidRDefault="00F42071" w:rsidP="0025243F">
            <w:pPr>
              <w:spacing w:line="360" w:lineRule="auto"/>
              <w:rPr>
                <w:rFonts w:eastAsia="Times New Roman" w:cs="Times New Roman"/>
                <w:color w:val="000000"/>
                <w:sz w:val="18"/>
                <w:szCs w:val="18"/>
                <w:lang w:eastAsia="en-GB"/>
              </w:rPr>
            </w:pPr>
            <w:r w:rsidRPr="004B723C">
              <w:rPr>
                <w:rFonts w:eastAsia="Times New Roman" w:cs="Times New Roman"/>
                <w:color w:val="000000"/>
                <w:sz w:val="18"/>
                <w:szCs w:val="18"/>
                <w:lang w:eastAsia="en-GB"/>
              </w:rPr>
              <w:t xml:space="preserve">Cold </w:t>
            </w:r>
            <w:r w:rsidR="00C519B9" w:rsidRPr="004B723C">
              <w:rPr>
                <w:rFonts w:eastAsia="Times New Roman" w:cs="Times New Roman"/>
                <w:color w:val="000000"/>
                <w:sz w:val="18"/>
                <w:szCs w:val="18"/>
                <w:lang w:eastAsia="en-GB"/>
              </w:rPr>
              <w:t>ischemia</w:t>
            </w:r>
            <w:r w:rsidRPr="004B723C">
              <w:rPr>
                <w:rFonts w:eastAsia="Times New Roman" w:cs="Times New Roman"/>
                <w:color w:val="000000"/>
                <w:sz w:val="18"/>
                <w:szCs w:val="18"/>
                <w:lang w:eastAsia="en-GB"/>
              </w:rPr>
              <w:t xml:space="preserve"> time (per 5 hours)</w:t>
            </w:r>
          </w:p>
        </w:tc>
        <w:tc>
          <w:tcPr>
            <w:tcW w:w="992" w:type="dxa"/>
            <w:noWrap/>
            <w:vAlign w:val="center"/>
            <w:hideMark/>
          </w:tcPr>
          <w:p w14:paraId="024232F9"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w:t>
            </w:r>
          </w:p>
        </w:tc>
        <w:tc>
          <w:tcPr>
            <w:tcW w:w="1134" w:type="dxa"/>
            <w:noWrap/>
            <w:vAlign w:val="center"/>
          </w:tcPr>
          <w:p w14:paraId="40AA3EB8"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697/2,313</w:t>
            </w:r>
          </w:p>
        </w:tc>
        <w:tc>
          <w:tcPr>
            <w:tcW w:w="1276" w:type="dxa"/>
            <w:noWrap/>
            <w:vAlign w:val="center"/>
          </w:tcPr>
          <w:p w14:paraId="5E34DE87"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w:t>
            </w:r>
          </w:p>
        </w:tc>
        <w:tc>
          <w:tcPr>
            <w:tcW w:w="1417" w:type="dxa"/>
            <w:noWrap/>
            <w:vAlign w:val="center"/>
          </w:tcPr>
          <w:p w14:paraId="2D49CF0A"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1.03 (0.97–1.09)</w:t>
            </w:r>
          </w:p>
        </w:tc>
        <w:tc>
          <w:tcPr>
            <w:tcW w:w="1134" w:type="dxa"/>
            <w:noWrap/>
            <w:vAlign w:val="center"/>
          </w:tcPr>
          <w:p w14:paraId="03987EFD"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0.32</w:t>
            </w:r>
          </w:p>
        </w:tc>
        <w:tc>
          <w:tcPr>
            <w:tcW w:w="1134" w:type="dxa"/>
            <w:noWrap/>
            <w:vAlign w:val="center"/>
          </w:tcPr>
          <w:p w14:paraId="0C4C66E9"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697/2,313</w:t>
            </w:r>
          </w:p>
        </w:tc>
        <w:tc>
          <w:tcPr>
            <w:tcW w:w="1276" w:type="dxa"/>
            <w:noWrap/>
            <w:vAlign w:val="center"/>
          </w:tcPr>
          <w:p w14:paraId="6A14B88E"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w:t>
            </w:r>
          </w:p>
        </w:tc>
        <w:tc>
          <w:tcPr>
            <w:tcW w:w="1701" w:type="dxa"/>
            <w:noWrap/>
            <w:vAlign w:val="center"/>
          </w:tcPr>
          <w:p w14:paraId="37F91D77"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0.93 (0.85–1.01)</w:t>
            </w:r>
          </w:p>
        </w:tc>
        <w:tc>
          <w:tcPr>
            <w:tcW w:w="1378" w:type="dxa"/>
            <w:noWrap/>
            <w:vAlign w:val="center"/>
          </w:tcPr>
          <w:p w14:paraId="6AEC3E10"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0.079</w:t>
            </w:r>
          </w:p>
        </w:tc>
      </w:tr>
      <w:tr w:rsidR="00F42071" w:rsidRPr="004B723C" w14:paraId="42D5E26B" w14:textId="77777777" w:rsidTr="00DA4AEB">
        <w:trPr>
          <w:trHeight w:val="300"/>
          <w:jc w:val="center"/>
        </w:trPr>
        <w:tc>
          <w:tcPr>
            <w:cnfStyle w:val="001000000000" w:firstRow="0" w:lastRow="0" w:firstColumn="1" w:lastColumn="0" w:oddVBand="0" w:evenVBand="0" w:oddHBand="0" w:evenHBand="0" w:firstRowFirstColumn="0" w:firstRowLastColumn="0" w:lastRowFirstColumn="0" w:lastRowLastColumn="0"/>
            <w:tcW w:w="2542" w:type="dxa"/>
            <w:noWrap/>
            <w:vAlign w:val="center"/>
            <w:hideMark/>
          </w:tcPr>
          <w:p w14:paraId="5420F469" w14:textId="77777777" w:rsidR="00F42071" w:rsidRPr="004B723C" w:rsidRDefault="00F42071" w:rsidP="0025243F">
            <w:pPr>
              <w:spacing w:line="360" w:lineRule="auto"/>
              <w:rPr>
                <w:rFonts w:eastAsia="Times New Roman" w:cs="Times New Roman"/>
                <w:color w:val="000000"/>
                <w:sz w:val="18"/>
                <w:szCs w:val="18"/>
                <w:lang w:eastAsia="en-GB"/>
              </w:rPr>
            </w:pPr>
            <w:r w:rsidRPr="004B723C">
              <w:rPr>
                <w:rFonts w:eastAsia="Times New Roman" w:cs="Times New Roman"/>
                <w:color w:val="000000"/>
                <w:sz w:val="18"/>
                <w:szCs w:val="18"/>
                <w:lang w:eastAsia="en-GB"/>
              </w:rPr>
              <w:t>Donor age (per 10 years)</w:t>
            </w:r>
          </w:p>
        </w:tc>
        <w:tc>
          <w:tcPr>
            <w:tcW w:w="992" w:type="dxa"/>
            <w:noWrap/>
            <w:vAlign w:val="center"/>
            <w:hideMark/>
          </w:tcPr>
          <w:p w14:paraId="0F4D33EB"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w:t>
            </w:r>
          </w:p>
        </w:tc>
        <w:tc>
          <w:tcPr>
            <w:tcW w:w="1134" w:type="dxa"/>
            <w:noWrap/>
            <w:vAlign w:val="center"/>
          </w:tcPr>
          <w:p w14:paraId="1FCD74B2"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698/2,314</w:t>
            </w:r>
          </w:p>
        </w:tc>
        <w:tc>
          <w:tcPr>
            <w:tcW w:w="1276" w:type="dxa"/>
            <w:noWrap/>
            <w:vAlign w:val="center"/>
          </w:tcPr>
          <w:p w14:paraId="28029E97"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w:t>
            </w:r>
          </w:p>
        </w:tc>
        <w:tc>
          <w:tcPr>
            <w:tcW w:w="1417" w:type="dxa"/>
            <w:noWrap/>
            <w:vAlign w:val="center"/>
          </w:tcPr>
          <w:p w14:paraId="078ADD1A"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1.11 (1.06–1.17)</w:t>
            </w:r>
          </w:p>
        </w:tc>
        <w:tc>
          <w:tcPr>
            <w:tcW w:w="1134" w:type="dxa"/>
            <w:noWrap/>
            <w:vAlign w:val="center"/>
          </w:tcPr>
          <w:p w14:paraId="7550E48A" w14:textId="5694CD32" w:rsidR="00F42071" w:rsidRPr="004B723C" w:rsidRDefault="00D53FD9"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4.77 × 10</w:t>
            </w:r>
            <w:r w:rsidRPr="004B723C">
              <w:rPr>
                <w:rFonts w:cs="Times New Roman"/>
                <w:color w:val="000000"/>
                <w:sz w:val="18"/>
                <w:szCs w:val="18"/>
                <w:vertAlign w:val="superscript"/>
              </w:rPr>
              <w:t>-5</w:t>
            </w:r>
          </w:p>
        </w:tc>
        <w:tc>
          <w:tcPr>
            <w:tcW w:w="1134" w:type="dxa"/>
            <w:noWrap/>
            <w:vAlign w:val="center"/>
          </w:tcPr>
          <w:p w14:paraId="3B5C87E1"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697/2,313</w:t>
            </w:r>
          </w:p>
        </w:tc>
        <w:tc>
          <w:tcPr>
            <w:tcW w:w="1276" w:type="dxa"/>
            <w:noWrap/>
            <w:vAlign w:val="center"/>
          </w:tcPr>
          <w:p w14:paraId="67D5A56B"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w:t>
            </w:r>
          </w:p>
        </w:tc>
        <w:tc>
          <w:tcPr>
            <w:tcW w:w="1701" w:type="dxa"/>
            <w:noWrap/>
            <w:vAlign w:val="center"/>
          </w:tcPr>
          <w:p w14:paraId="0A37DC2E"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1.04 (0.99–1.10)</w:t>
            </w:r>
          </w:p>
        </w:tc>
        <w:tc>
          <w:tcPr>
            <w:tcW w:w="1378" w:type="dxa"/>
            <w:noWrap/>
            <w:vAlign w:val="center"/>
          </w:tcPr>
          <w:p w14:paraId="1C06902D"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0.14</w:t>
            </w:r>
          </w:p>
        </w:tc>
      </w:tr>
      <w:tr w:rsidR="00F42071" w:rsidRPr="004B723C" w14:paraId="4CD93CDC" w14:textId="77777777" w:rsidTr="00DA4AEB">
        <w:trPr>
          <w:trHeight w:val="300"/>
          <w:jc w:val="center"/>
        </w:trPr>
        <w:tc>
          <w:tcPr>
            <w:cnfStyle w:val="001000000000" w:firstRow="0" w:lastRow="0" w:firstColumn="1" w:lastColumn="0" w:oddVBand="0" w:evenVBand="0" w:oddHBand="0" w:evenHBand="0" w:firstRowFirstColumn="0" w:firstRowLastColumn="0" w:lastRowFirstColumn="0" w:lastRowLastColumn="0"/>
            <w:tcW w:w="2542" w:type="dxa"/>
            <w:noWrap/>
            <w:vAlign w:val="center"/>
            <w:hideMark/>
          </w:tcPr>
          <w:p w14:paraId="225BF512" w14:textId="77777777" w:rsidR="00F42071" w:rsidRPr="004B723C" w:rsidRDefault="00F42071" w:rsidP="0025243F">
            <w:pPr>
              <w:spacing w:line="360" w:lineRule="auto"/>
              <w:rPr>
                <w:rFonts w:eastAsia="Times New Roman" w:cs="Times New Roman"/>
                <w:color w:val="000000"/>
                <w:sz w:val="18"/>
                <w:szCs w:val="18"/>
                <w:lang w:eastAsia="en-GB"/>
              </w:rPr>
            </w:pPr>
            <w:r w:rsidRPr="004B723C">
              <w:rPr>
                <w:rFonts w:eastAsia="Times New Roman" w:cs="Times New Roman"/>
                <w:color w:val="000000"/>
                <w:sz w:val="18"/>
                <w:szCs w:val="18"/>
                <w:lang w:eastAsia="en-GB"/>
              </w:rPr>
              <w:t>Donor type</w:t>
            </w:r>
          </w:p>
        </w:tc>
        <w:tc>
          <w:tcPr>
            <w:tcW w:w="992" w:type="dxa"/>
            <w:noWrap/>
            <w:vAlign w:val="center"/>
            <w:hideMark/>
          </w:tcPr>
          <w:p w14:paraId="3CD570FB"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Living</w:t>
            </w:r>
          </w:p>
        </w:tc>
        <w:tc>
          <w:tcPr>
            <w:tcW w:w="1134" w:type="dxa"/>
            <w:noWrap/>
            <w:vAlign w:val="center"/>
          </w:tcPr>
          <w:p w14:paraId="635C24EC"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698/2,314</w:t>
            </w:r>
          </w:p>
        </w:tc>
        <w:tc>
          <w:tcPr>
            <w:tcW w:w="1276" w:type="dxa"/>
            <w:noWrap/>
            <w:vAlign w:val="center"/>
          </w:tcPr>
          <w:p w14:paraId="61016679"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61/300</w:t>
            </w:r>
          </w:p>
        </w:tc>
        <w:tc>
          <w:tcPr>
            <w:tcW w:w="1417" w:type="dxa"/>
            <w:noWrap/>
            <w:vAlign w:val="center"/>
          </w:tcPr>
          <w:p w14:paraId="0DC509A6" w14:textId="68C74469" w:rsidR="00F42071" w:rsidRPr="004B723C" w:rsidRDefault="00D45F56"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1134" w:type="dxa"/>
            <w:noWrap/>
            <w:vAlign w:val="center"/>
          </w:tcPr>
          <w:p w14:paraId="5B0FE90A" w14:textId="522CC544" w:rsidR="00F42071" w:rsidRPr="004B723C" w:rsidRDefault="00D45F56"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1134" w:type="dxa"/>
            <w:noWrap/>
            <w:vAlign w:val="center"/>
          </w:tcPr>
          <w:p w14:paraId="0C6C0645"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697/2,313</w:t>
            </w:r>
          </w:p>
        </w:tc>
        <w:tc>
          <w:tcPr>
            <w:tcW w:w="1276" w:type="dxa"/>
            <w:noWrap/>
            <w:vAlign w:val="center"/>
          </w:tcPr>
          <w:p w14:paraId="27392C2E"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61/300</w:t>
            </w:r>
          </w:p>
        </w:tc>
        <w:tc>
          <w:tcPr>
            <w:tcW w:w="1701" w:type="dxa"/>
            <w:noWrap/>
            <w:vAlign w:val="center"/>
          </w:tcPr>
          <w:p w14:paraId="5760B381" w14:textId="6EF24E5E" w:rsidR="00F42071" w:rsidRPr="004B723C" w:rsidRDefault="00D45F56"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1378" w:type="dxa"/>
            <w:noWrap/>
            <w:vAlign w:val="center"/>
          </w:tcPr>
          <w:p w14:paraId="33D3510D" w14:textId="29ABDA39" w:rsidR="00F42071" w:rsidRPr="004B723C" w:rsidRDefault="00D45F56"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r>
      <w:tr w:rsidR="00F42071" w:rsidRPr="004B723C" w14:paraId="71083903" w14:textId="77777777" w:rsidTr="00DA4AEB">
        <w:trPr>
          <w:trHeight w:val="300"/>
          <w:jc w:val="center"/>
        </w:trPr>
        <w:tc>
          <w:tcPr>
            <w:cnfStyle w:val="001000000000" w:firstRow="0" w:lastRow="0" w:firstColumn="1" w:lastColumn="0" w:oddVBand="0" w:evenVBand="0" w:oddHBand="0" w:evenHBand="0" w:firstRowFirstColumn="0" w:firstRowLastColumn="0" w:lastRowFirstColumn="0" w:lastRowLastColumn="0"/>
            <w:tcW w:w="2542" w:type="dxa"/>
            <w:noWrap/>
            <w:vAlign w:val="center"/>
          </w:tcPr>
          <w:p w14:paraId="4500954B" w14:textId="77777777" w:rsidR="00F42071" w:rsidRPr="004B723C" w:rsidRDefault="00F42071" w:rsidP="0025243F">
            <w:pPr>
              <w:spacing w:line="360" w:lineRule="auto"/>
              <w:rPr>
                <w:rFonts w:eastAsia="Times New Roman" w:cs="Times New Roman"/>
                <w:color w:val="000000"/>
                <w:sz w:val="18"/>
                <w:szCs w:val="18"/>
                <w:lang w:eastAsia="en-GB"/>
              </w:rPr>
            </w:pPr>
          </w:p>
        </w:tc>
        <w:tc>
          <w:tcPr>
            <w:tcW w:w="992" w:type="dxa"/>
            <w:noWrap/>
            <w:vAlign w:val="center"/>
            <w:hideMark/>
          </w:tcPr>
          <w:p w14:paraId="426C4220"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DBD</w:t>
            </w:r>
          </w:p>
        </w:tc>
        <w:tc>
          <w:tcPr>
            <w:tcW w:w="1134" w:type="dxa"/>
            <w:noWrap/>
            <w:vAlign w:val="center"/>
          </w:tcPr>
          <w:p w14:paraId="4E31A455"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w:t>
            </w:r>
          </w:p>
        </w:tc>
        <w:tc>
          <w:tcPr>
            <w:tcW w:w="1276" w:type="dxa"/>
            <w:noWrap/>
            <w:vAlign w:val="center"/>
          </w:tcPr>
          <w:p w14:paraId="617A417F"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516/1,581</w:t>
            </w:r>
          </w:p>
        </w:tc>
        <w:tc>
          <w:tcPr>
            <w:tcW w:w="1417" w:type="dxa"/>
            <w:noWrap/>
            <w:vAlign w:val="center"/>
          </w:tcPr>
          <w:p w14:paraId="2A2F7F34"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1.74 (1.33–2.26)</w:t>
            </w:r>
          </w:p>
        </w:tc>
        <w:tc>
          <w:tcPr>
            <w:tcW w:w="1134" w:type="dxa"/>
            <w:noWrap/>
            <w:vAlign w:val="center"/>
          </w:tcPr>
          <w:p w14:paraId="7B2FAE1A" w14:textId="4277C4F6" w:rsidR="00F42071" w:rsidRPr="004B723C" w:rsidRDefault="00D53FD9"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4.64 × 10</w:t>
            </w:r>
            <w:r w:rsidRPr="004B723C">
              <w:rPr>
                <w:rFonts w:cs="Times New Roman"/>
                <w:color w:val="000000"/>
                <w:sz w:val="18"/>
                <w:szCs w:val="18"/>
                <w:vertAlign w:val="superscript"/>
              </w:rPr>
              <w:t>-5</w:t>
            </w:r>
          </w:p>
        </w:tc>
        <w:tc>
          <w:tcPr>
            <w:tcW w:w="1134" w:type="dxa"/>
            <w:noWrap/>
            <w:vAlign w:val="center"/>
          </w:tcPr>
          <w:p w14:paraId="6F370ED5"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w:t>
            </w:r>
          </w:p>
        </w:tc>
        <w:tc>
          <w:tcPr>
            <w:tcW w:w="1276" w:type="dxa"/>
            <w:noWrap/>
            <w:vAlign w:val="center"/>
          </w:tcPr>
          <w:p w14:paraId="2E40F718"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515/1,580</w:t>
            </w:r>
          </w:p>
        </w:tc>
        <w:tc>
          <w:tcPr>
            <w:tcW w:w="1701" w:type="dxa"/>
            <w:noWrap/>
            <w:vAlign w:val="center"/>
          </w:tcPr>
          <w:p w14:paraId="0D5414FC"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2.10 (1.50–2.95)</w:t>
            </w:r>
          </w:p>
        </w:tc>
        <w:tc>
          <w:tcPr>
            <w:tcW w:w="1378" w:type="dxa"/>
            <w:noWrap/>
            <w:vAlign w:val="center"/>
          </w:tcPr>
          <w:p w14:paraId="6DB5C30A" w14:textId="370ACAE8" w:rsidR="00F42071" w:rsidRPr="004B723C" w:rsidRDefault="00D53FD9"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1.52 × 10</w:t>
            </w:r>
            <w:r w:rsidRPr="004B723C">
              <w:rPr>
                <w:rFonts w:cs="Times New Roman"/>
                <w:color w:val="000000"/>
                <w:sz w:val="18"/>
                <w:szCs w:val="18"/>
                <w:vertAlign w:val="superscript"/>
              </w:rPr>
              <w:t>-5</w:t>
            </w:r>
          </w:p>
        </w:tc>
      </w:tr>
      <w:tr w:rsidR="00F42071" w:rsidRPr="004B723C" w14:paraId="066D8A63" w14:textId="77777777" w:rsidTr="00DA4AEB">
        <w:trPr>
          <w:trHeight w:val="300"/>
          <w:jc w:val="center"/>
        </w:trPr>
        <w:tc>
          <w:tcPr>
            <w:cnfStyle w:val="001000000000" w:firstRow="0" w:lastRow="0" w:firstColumn="1" w:lastColumn="0" w:oddVBand="0" w:evenVBand="0" w:oddHBand="0" w:evenHBand="0" w:firstRowFirstColumn="0" w:firstRowLastColumn="0" w:lastRowFirstColumn="0" w:lastRowLastColumn="0"/>
            <w:tcW w:w="2542" w:type="dxa"/>
            <w:noWrap/>
            <w:vAlign w:val="center"/>
          </w:tcPr>
          <w:p w14:paraId="638014F5" w14:textId="77777777" w:rsidR="00F42071" w:rsidRPr="004B723C" w:rsidRDefault="00F42071" w:rsidP="0025243F">
            <w:pPr>
              <w:spacing w:line="360" w:lineRule="auto"/>
              <w:rPr>
                <w:rFonts w:eastAsia="Times New Roman" w:cs="Times New Roman"/>
                <w:color w:val="000000"/>
                <w:sz w:val="18"/>
                <w:szCs w:val="18"/>
                <w:lang w:eastAsia="en-GB"/>
              </w:rPr>
            </w:pPr>
          </w:p>
        </w:tc>
        <w:tc>
          <w:tcPr>
            <w:tcW w:w="992" w:type="dxa"/>
            <w:noWrap/>
            <w:vAlign w:val="center"/>
            <w:hideMark/>
          </w:tcPr>
          <w:p w14:paraId="43B0F85C"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DCD</w:t>
            </w:r>
          </w:p>
        </w:tc>
        <w:tc>
          <w:tcPr>
            <w:tcW w:w="1134" w:type="dxa"/>
            <w:noWrap/>
            <w:vAlign w:val="center"/>
          </w:tcPr>
          <w:p w14:paraId="7734B6D6"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w:t>
            </w:r>
          </w:p>
        </w:tc>
        <w:tc>
          <w:tcPr>
            <w:tcW w:w="1276" w:type="dxa"/>
            <w:noWrap/>
            <w:vAlign w:val="center"/>
          </w:tcPr>
          <w:p w14:paraId="3C5732A4"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121/433</w:t>
            </w:r>
          </w:p>
        </w:tc>
        <w:tc>
          <w:tcPr>
            <w:tcW w:w="1417" w:type="dxa"/>
            <w:noWrap/>
            <w:vAlign w:val="center"/>
          </w:tcPr>
          <w:p w14:paraId="783EA401"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1.45 (1.06–1.97)</w:t>
            </w:r>
          </w:p>
        </w:tc>
        <w:tc>
          <w:tcPr>
            <w:tcW w:w="1134" w:type="dxa"/>
            <w:noWrap/>
            <w:vAlign w:val="center"/>
          </w:tcPr>
          <w:p w14:paraId="16269FD2"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0.019</w:t>
            </w:r>
          </w:p>
        </w:tc>
        <w:tc>
          <w:tcPr>
            <w:tcW w:w="1134" w:type="dxa"/>
            <w:noWrap/>
            <w:vAlign w:val="center"/>
          </w:tcPr>
          <w:p w14:paraId="62CDECAA"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w:t>
            </w:r>
          </w:p>
        </w:tc>
        <w:tc>
          <w:tcPr>
            <w:tcW w:w="1276" w:type="dxa"/>
            <w:noWrap/>
            <w:vAlign w:val="center"/>
          </w:tcPr>
          <w:p w14:paraId="10FD2A80"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121/433</w:t>
            </w:r>
          </w:p>
        </w:tc>
        <w:tc>
          <w:tcPr>
            <w:tcW w:w="1701" w:type="dxa"/>
            <w:noWrap/>
            <w:vAlign w:val="center"/>
          </w:tcPr>
          <w:p w14:paraId="5B5423D3"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2.04 (1.42–2.94)</w:t>
            </w:r>
          </w:p>
        </w:tc>
        <w:tc>
          <w:tcPr>
            <w:tcW w:w="1378" w:type="dxa"/>
            <w:noWrap/>
            <w:vAlign w:val="center"/>
          </w:tcPr>
          <w:p w14:paraId="45EF3FC0" w14:textId="70A8FFBA" w:rsidR="00F42071" w:rsidRPr="004B723C" w:rsidRDefault="00D53FD9"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1.29 × 10</w:t>
            </w:r>
            <w:r w:rsidRPr="004B723C">
              <w:rPr>
                <w:rFonts w:cs="Times New Roman"/>
                <w:color w:val="000000"/>
                <w:sz w:val="18"/>
                <w:szCs w:val="18"/>
                <w:vertAlign w:val="superscript"/>
              </w:rPr>
              <w:t>-4</w:t>
            </w:r>
          </w:p>
        </w:tc>
      </w:tr>
      <w:tr w:rsidR="00F42071" w:rsidRPr="004B723C" w14:paraId="66DD40E9" w14:textId="77777777" w:rsidTr="00DA4AEB">
        <w:trPr>
          <w:trHeight w:val="300"/>
          <w:jc w:val="center"/>
        </w:trPr>
        <w:tc>
          <w:tcPr>
            <w:cnfStyle w:val="001000000000" w:firstRow="0" w:lastRow="0" w:firstColumn="1" w:lastColumn="0" w:oddVBand="0" w:evenVBand="0" w:oddHBand="0" w:evenHBand="0" w:firstRowFirstColumn="0" w:firstRowLastColumn="0" w:lastRowFirstColumn="0" w:lastRowLastColumn="0"/>
            <w:tcW w:w="2542" w:type="dxa"/>
            <w:noWrap/>
            <w:vAlign w:val="center"/>
            <w:hideMark/>
          </w:tcPr>
          <w:p w14:paraId="33629F14" w14:textId="77777777" w:rsidR="00F42071" w:rsidRPr="004B723C" w:rsidRDefault="00F42071" w:rsidP="0025243F">
            <w:pPr>
              <w:spacing w:line="360" w:lineRule="auto"/>
              <w:rPr>
                <w:rFonts w:eastAsia="Times New Roman" w:cs="Times New Roman"/>
                <w:color w:val="000000"/>
                <w:sz w:val="18"/>
                <w:szCs w:val="18"/>
                <w:lang w:eastAsia="en-GB"/>
              </w:rPr>
            </w:pPr>
            <w:r w:rsidRPr="004B723C">
              <w:rPr>
                <w:rFonts w:eastAsia="Times New Roman" w:cs="Times New Roman"/>
                <w:color w:val="000000"/>
                <w:sz w:val="18"/>
                <w:szCs w:val="18"/>
                <w:lang w:eastAsia="en-GB"/>
              </w:rPr>
              <w:t>Donor–recipient CMV serostatus</w:t>
            </w:r>
          </w:p>
        </w:tc>
        <w:tc>
          <w:tcPr>
            <w:tcW w:w="992" w:type="dxa"/>
            <w:noWrap/>
            <w:vAlign w:val="center"/>
            <w:hideMark/>
          </w:tcPr>
          <w:p w14:paraId="697D950F"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D−/R−</w:t>
            </w:r>
          </w:p>
        </w:tc>
        <w:tc>
          <w:tcPr>
            <w:tcW w:w="1134" w:type="dxa"/>
            <w:noWrap/>
            <w:vAlign w:val="center"/>
          </w:tcPr>
          <w:p w14:paraId="11CC55A4"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698/2,314</w:t>
            </w:r>
          </w:p>
        </w:tc>
        <w:tc>
          <w:tcPr>
            <w:tcW w:w="1276" w:type="dxa"/>
            <w:noWrap/>
            <w:vAlign w:val="center"/>
          </w:tcPr>
          <w:p w14:paraId="66FE2B59"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19/612</w:t>
            </w:r>
          </w:p>
        </w:tc>
        <w:tc>
          <w:tcPr>
            <w:tcW w:w="1417" w:type="dxa"/>
            <w:noWrap/>
            <w:vAlign w:val="center"/>
          </w:tcPr>
          <w:p w14:paraId="3FD1ED11" w14:textId="5874DA83" w:rsidR="00F42071" w:rsidRPr="004B723C" w:rsidRDefault="00D45F56"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1134" w:type="dxa"/>
            <w:noWrap/>
            <w:vAlign w:val="center"/>
          </w:tcPr>
          <w:p w14:paraId="7380890D" w14:textId="25F4511C" w:rsidR="00F42071" w:rsidRPr="004B723C" w:rsidRDefault="00D45F56"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1134" w:type="dxa"/>
            <w:noWrap/>
            <w:vAlign w:val="center"/>
          </w:tcPr>
          <w:p w14:paraId="2516BCCC"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697/2,313</w:t>
            </w:r>
          </w:p>
        </w:tc>
        <w:tc>
          <w:tcPr>
            <w:tcW w:w="1276" w:type="dxa"/>
            <w:noWrap/>
            <w:vAlign w:val="center"/>
          </w:tcPr>
          <w:p w14:paraId="7455A85C"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19/612</w:t>
            </w:r>
          </w:p>
        </w:tc>
        <w:tc>
          <w:tcPr>
            <w:tcW w:w="1701" w:type="dxa"/>
            <w:noWrap/>
            <w:vAlign w:val="center"/>
          </w:tcPr>
          <w:p w14:paraId="1528D1DA" w14:textId="11DE2E54" w:rsidR="00F42071" w:rsidRPr="004B723C" w:rsidRDefault="00D45F56"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1378" w:type="dxa"/>
            <w:noWrap/>
            <w:vAlign w:val="center"/>
          </w:tcPr>
          <w:p w14:paraId="5A07588F" w14:textId="1605206C" w:rsidR="00F42071" w:rsidRPr="004B723C" w:rsidRDefault="00D45F56"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r>
      <w:tr w:rsidR="00F42071" w:rsidRPr="004B723C" w14:paraId="100A0920" w14:textId="77777777" w:rsidTr="00DA4AEB">
        <w:trPr>
          <w:trHeight w:val="300"/>
          <w:jc w:val="center"/>
        </w:trPr>
        <w:tc>
          <w:tcPr>
            <w:cnfStyle w:val="001000000000" w:firstRow="0" w:lastRow="0" w:firstColumn="1" w:lastColumn="0" w:oddVBand="0" w:evenVBand="0" w:oddHBand="0" w:evenHBand="0" w:firstRowFirstColumn="0" w:firstRowLastColumn="0" w:lastRowFirstColumn="0" w:lastRowLastColumn="0"/>
            <w:tcW w:w="2542" w:type="dxa"/>
            <w:noWrap/>
            <w:vAlign w:val="center"/>
          </w:tcPr>
          <w:p w14:paraId="5110181D" w14:textId="77777777" w:rsidR="00F42071" w:rsidRPr="004B723C" w:rsidRDefault="00F42071" w:rsidP="0025243F">
            <w:pPr>
              <w:spacing w:line="360" w:lineRule="auto"/>
              <w:rPr>
                <w:rFonts w:eastAsia="Times New Roman" w:cs="Times New Roman"/>
                <w:color w:val="000000"/>
                <w:sz w:val="18"/>
                <w:szCs w:val="18"/>
                <w:lang w:eastAsia="en-GB"/>
              </w:rPr>
            </w:pPr>
          </w:p>
        </w:tc>
        <w:tc>
          <w:tcPr>
            <w:tcW w:w="992" w:type="dxa"/>
            <w:noWrap/>
            <w:vAlign w:val="center"/>
            <w:hideMark/>
          </w:tcPr>
          <w:p w14:paraId="7179F8D5"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D+/R+</w:t>
            </w:r>
          </w:p>
        </w:tc>
        <w:tc>
          <w:tcPr>
            <w:tcW w:w="1134" w:type="dxa"/>
            <w:noWrap/>
            <w:vAlign w:val="center"/>
          </w:tcPr>
          <w:p w14:paraId="6F4BFD96"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w:t>
            </w:r>
          </w:p>
        </w:tc>
        <w:tc>
          <w:tcPr>
            <w:tcW w:w="1276" w:type="dxa"/>
            <w:noWrap/>
            <w:vAlign w:val="center"/>
          </w:tcPr>
          <w:p w14:paraId="514C4739"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244/632</w:t>
            </w:r>
          </w:p>
        </w:tc>
        <w:tc>
          <w:tcPr>
            <w:tcW w:w="1417" w:type="dxa"/>
            <w:noWrap/>
            <w:vAlign w:val="center"/>
          </w:tcPr>
          <w:p w14:paraId="7655268D"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16.50 (10.34–26.32)</w:t>
            </w:r>
          </w:p>
        </w:tc>
        <w:tc>
          <w:tcPr>
            <w:tcW w:w="1134" w:type="dxa"/>
            <w:noWrap/>
            <w:vAlign w:val="center"/>
          </w:tcPr>
          <w:p w14:paraId="3BB4EF0D" w14:textId="0000267F" w:rsidR="00F42071" w:rsidRPr="004B723C" w:rsidRDefault="00D53FD9"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5.86 × 10</w:t>
            </w:r>
            <w:r w:rsidRPr="004B723C">
              <w:rPr>
                <w:rFonts w:cs="Times New Roman"/>
                <w:color w:val="000000"/>
                <w:sz w:val="18"/>
                <w:szCs w:val="18"/>
                <w:vertAlign w:val="superscript"/>
              </w:rPr>
              <w:t>-32</w:t>
            </w:r>
          </w:p>
        </w:tc>
        <w:tc>
          <w:tcPr>
            <w:tcW w:w="1134" w:type="dxa"/>
            <w:noWrap/>
            <w:vAlign w:val="center"/>
          </w:tcPr>
          <w:p w14:paraId="27439B11"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w:t>
            </w:r>
          </w:p>
        </w:tc>
        <w:tc>
          <w:tcPr>
            <w:tcW w:w="1276" w:type="dxa"/>
            <w:noWrap/>
            <w:vAlign w:val="center"/>
          </w:tcPr>
          <w:p w14:paraId="67A0B0BE"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244/632</w:t>
            </w:r>
          </w:p>
        </w:tc>
        <w:tc>
          <w:tcPr>
            <w:tcW w:w="1701" w:type="dxa"/>
            <w:noWrap/>
            <w:vAlign w:val="center"/>
          </w:tcPr>
          <w:p w14:paraId="1AA95380"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16.27 (10.19–26.00)</w:t>
            </w:r>
          </w:p>
        </w:tc>
        <w:tc>
          <w:tcPr>
            <w:tcW w:w="1378" w:type="dxa"/>
            <w:noWrap/>
            <w:vAlign w:val="center"/>
          </w:tcPr>
          <w:p w14:paraId="6CF50D3F" w14:textId="21EC79F6" w:rsidR="00F42071" w:rsidRPr="004B723C" w:rsidRDefault="00D53FD9"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1.78 × 10</w:t>
            </w:r>
            <w:r w:rsidRPr="004B723C">
              <w:rPr>
                <w:rFonts w:cs="Times New Roman"/>
                <w:color w:val="000000"/>
                <w:sz w:val="18"/>
                <w:szCs w:val="18"/>
                <w:vertAlign w:val="superscript"/>
              </w:rPr>
              <w:t>-31</w:t>
            </w:r>
          </w:p>
        </w:tc>
      </w:tr>
      <w:tr w:rsidR="00F42071" w:rsidRPr="004B723C" w14:paraId="1BDC9EB3" w14:textId="77777777" w:rsidTr="00DA4AEB">
        <w:trPr>
          <w:trHeight w:val="300"/>
          <w:jc w:val="center"/>
        </w:trPr>
        <w:tc>
          <w:tcPr>
            <w:cnfStyle w:val="001000000000" w:firstRow="0" w:lastRow="0" w:firstColumn="1" w:lastColumn="0" w:oddVBand="0" w:evenVBand="0" w:oddHBand="0" w:evenHBand="0" w:firstRowFirstColumn="0" w:firstRowLastColumn="0" w:lastRowFirstColumn="0" w:lastRowLastColumn="0"/>
            <w:tcW w:w="2542" w:type="dxa"/>
            <w:noWrap/>
            <w:vAlign w:val="center"/>
          </w:tcPr>
          <w:p w14:paraId="6C0CBF01" w14:textId="77777777" w:rsidR="00F42071" w:rsidRPr="004B723C" w:rsidRDefault="00F42071" w:rsidP="0025243F">
            <w:pPr>
              <w:spacing w:line="360" w:lineRule="auto"/>
              <w:rPr>
                <w:rFonts w:eastAsia="Times New Roman" w:cs="Times New Roman"/>
                <w:color w:val="000000"/>
                <w:sz w:val="18"/>
                <w:szCs w:val="18"/>
                <w:lang w:eastAsia="en-GB"/>
              </w:rPr>
            </w:pPr>
          </w:p>
        </w:tc>
        <w:tc>
          <w:tcPr>
            <w:tcW w:w="992" w:type="dxa"/>
            <w:noWrap/>
            <w:vAlign w:val="center"/>
            <w:hideMark/>
          </w:tcPr>
          <w:p w14:paraId="400873E9"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D+/R−</w:t>
            </w:r>
          </w:p>
        </w:tc>
        <w:tc>
          <w:tcPr>
            <w:tcW w:w="1134" w:type="dxa"/>
            <w:noWrap/>
            <w:vAlign w:val="center"/>
          </w:tcPr>
          <w:p w14:paraId="1F5396E0"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w:t>
            </w:r>
          </w:p>
        </w:tc>
        <w:tc>
          <w:tcPr>
            <w:tcW w:w="1276" w:type="dxa"/>
            <w:noWrap/>
            <w:vAlign w:val="center"/>
          </w:tcPr>
          <w:p w14:paraId="64CFD20F"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253/460</w:t>
            </w:r>
          </w:p>
        </w:tc>
        <w:tc>
          <w:tcPr>
            <w:tcW w:w="1417" w:type="dxa"/>
            <w:noWrap/>
            <w:vAlign w:val="center"/>
          </w:tcPr>
          <w:p w14:paraId="13BA7C9E"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24.41 (15.30–38.93)</w:t>
            </w:r>
          </w:p>
        </w:tc>
        <w:tc>
          <w:tcPr>
            <w:tcW w:w="1134" w:type="dxa"/>
            <w:noWrap/>
            <w:vAlign w:val="center"/>
          </w:tcPr>
          <w:p w14:paraId="744B73D7" w14:textId="57E491C0" w:rsidR="00F42071" w:rsidRPr="004B723C" w:rsidRDefault="00D53FD9"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4.97 × 10</w:t>
            </w:r>
            <w:r w:rsidRPr="004B723C">
              <w:rPr>
                <w:rFonts w:cs="Times New Roman"/>
                <w:color w:val="000000"/>
                <w:sz w:val="18"/>
                <w:szCs w:val="18"/>
                <w:vertAlign w:val="superscript"/>
              </w:rPr>
              <w:t>-41</w:t>
            </w:r>
          </w:p>
        </w:tc>
        <w:tc>
          <w:tcPr>
            <w:tcW w:w="1134" w:type="dxa"/>
            <w:noWrap/>
            <w:vAlign w:val="center"/>
          </w:tcPr>
          <w:p w14:paraId="0DA7F306"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w:t>
            </w:r>
          </w:p>
        </w:tc>
        <w:tc>
          <w:tcPr>
            <w:tcW w:w="1276" w:type="dxa"/>
            <w:noWrap/>
            <w:vAlign w:val="center"/>
          </w:tcPr>
          <w:p w14:paraId="7F22E0A7"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252/459</w:t>
            </w:r>
          </w:p>
        </w:tc>
        <w:tc>
          <w:tcPr>
            <w:tcW w:w="1701" w:type="dxa"/>
            <w:noWrap/>
            <w:vAlign w:val="center"/>
          </w:tcPr>
          <w:p w14:paraId="78115EB3"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23.71 (14.85–37.86)</w:t>
            </w:r>
          </w:p>
        </w:tc>
        <w:tc>
          <w:tcPr>
            <w:tcW w:w="1378" w:type="dxa"/>
            <w:noWrap/>
            <w:vAlign w:val="center"/>
          </w:tcPr>
          <w:p w14:paraId="4D6AF8EE" w14:textId="188CE0F3" w:rsidR="00F42071" w:rsidRPr="004B723C" w:rsidRDefault="00D53FD9"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3.64 × 10</w:t>
            </w:r>
            <w:r w:rsidRPr="004B723C">
              <w:rPr>
                <w:rFonts w:cs="Times New Roman"/>
                <w:color w:val="000000"/>
                <w:sz w:val="18"/>
                <w:szCs w:val="18"/>
                <w:vertAlign w:val="superscript"/>
              </w:rPr>
              <w:t>-40</w:t>
            </w:r>
          </w:p>
        </w:tc>
      </w:tr>
      <w:tr w:rsidR="00F42071" w:rsidRPr="004B723C" w14:paraId="7D7BE5B8" w14:textId="77777777" w:rsidTr="00DA4AEB">
        <w:trPr>
          <w:trHeight w:val="300"/>
          <w:jc w:val="center"/>
        </w:trPr>
        <w:tc>
          <w:tcPr>
            <w:cnfStyle w:val="001000000000" w:firstRow="0" w:lastRow="0" w:firstColumn="1" w:lastColumn="0" w:oddVBand="0" w:evenVBand="0" w:oddHBand="0" w:evenHBand="0" w:firstRowFirstColumn="0" w:firstRowLastColumn="0" w:lastRowFirstColumn="0" w:lastRowLastColumn="0"/>
            <w:tcW w:w="2542" w:type="dxa"/>
            <w:noWrap/>
            <w:vAlign w:val="center"/>
          </w:tcPr>
          <w:p w14:paraId="79C10381" w14:textId="77777777" w:rsidR="00F42071" w:rsidRPr="004B723C" w:rsidRDefault="00F42071" w:rsidP="0025243F">
            <w:pPr>
              <w:spacing w:line="360" w:lineRule="auto"/>
              <w:rPr>
                <w:rFonts w:eastAsia="Times New Roman" w:cs="Times New Roman"/>
                <w:color w:val="000000"/>
                <w:sz w:val="18"/>
                <w:szCs w:val="18"/>
                <w:lang w:eastAsia="en-GB"/>
              </w:rPr>
            </w:pPr>
          </w:p>
        </w:tc>
        <w:tc>
          <w:tcPr>
            <w:tcW w:w="992" w:type="dxa"/>
            <w:noWrap/>
            <w:vAlign w:val="center"/>
            <w:hideMark/>
          </w:tcPr>
          <w:p w14:paraId="7CB05AD4"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D−/R+</w:t>
            </w:r>
          </w:p>
        </w:tc>
        <w:tc>
          <w:tcPr>
            <w:tcW w:w="1134" w:type="dxa"/>
            <w:noWrap/>
            <w:vAlign w:val="center"/>
          </w:tcPr>
          <w:p w14:paraId="149977AC"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w:t>
            </w:r>
          </w:p>
        </w:tc>
        <w:tc>
          <w:tcPr>
            <w:tcW w:w="1276" w:type="dxa"/>
            <w:noWrap/>
            <w:vAlign w:val="center"/>
          </w:tcPr>
          <w:p w14:paraId="5E90B050"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182/610</w:t>
            </w:r>
          </w:p>
        </w:tc>
        <w:tc>
          <w:tcPr>
            <w:tcW w:w="1417" w:type="dxa"/>
            <w:noWrap/>
            <w:vAlign w:val="center"/>
          </w:tcPr>
          <w:p w14:paraId="6FC8DB0E"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11.69 (7.29–18.76)</w:t>
            </w:r>
          </w:p>
        </w:tc>
        <w:tc>
          <w:tcPr>
            <w:tcW w:w="1134" w:type="dxa"/>
            <w:noWrap/>
            <w:vAlign w:val="center"/>
          </w:tcPr>
          <w:p w14:paraId="07889ACE" w14:textId="326177B6" w:rsidR="00F42071" w:rsidRPr="004B723C" w:rsidRDefault="00D53FD9"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2.01 × 10</w:t>
            </w:r>
            <w:r w:rsidRPr="004B723C">
              <w:rPr>
                <w:rFonts w:cs="Times New Roman"/>
                <w:color w:val="000000"/>
                <w:sz w:val="18"/>
                <w:szCs w:val="18"/>
                <w:vertAlign w:val="superscript"/>
              </w:rPr>
              <w:t>-24</w:t>
            </w:r>
          </w:p>
        </w:tc>
        <w:tc>
          <w:tcPr>
            <w:tcW w:w="1134" w:type="dxa"/>
            <w:noWrap/>
            <w:vAlign w:val="center"/>
          </w:tcPr>
          <w:p w14:paraId="1EA787E9"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w:t>
            </w:r>
          </w:p>
        </w:tc>
        <w:tc>
          <w:tcPr>
            <w:tcW w:w="1276" w:type="dxa"/>
            <w:noWrap/>
            <w:vAlign w:val="center"/>
          </w:tcPr>
          <w:p w14:paraId="1C15BC87"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182/610</w:t>
            </w:r>
          </w:p>
        </w:tc>
        <w:tc>
          <w:tcPr>
            <w:tcW w:w="1701" w:type="dxa"/>
            <w:noWrap/>
            <w:vAlign w:val="center"/>
          </w:tcPr>
          <w:p w14:paraId="08EE5A71"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11.01 (6.85–17.68)</w:t>
            </w:r>
          </w:p>
        </w:tc>
        <w:tc>
          <w:tcPr>
            <w:tcW w:w="1378" w:type="dxa"/>
            <w:noWrap/>
            <w:vAlign w:val="center"/>
          </w:tcPr>
          <w:p w14:paraId="3B105AE5" w14:textId="391F41EB" w:rsidR="00F42071" w:rsidRPr="004B723C" w:rsidRDefault="00D53FD9"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3.46 × 10</w:t>
            </w:r>
            <w:r w:rsidRPr="004B723C">
              <w:rPr>
                <w:rFonts w:cs="Times New Roman"/>
                <w:color w:val="000000"/>
                <w:sz w:val="18"/>
                <w:szCs w:val="18"/>
                <w:vertAlign w:val="superscript"/>
              </w:rPr>
              <w:t>-23</w:t>
            </w:r>
          </w:p>
        </w:tc>
      </w:tr>
      <w:tr w:rsidR="00F42071" w:rsidRPr="004B723C" w14:paraId="51A64F43" w14:textId="77777777" w:rsidTr="00DA4AEB">
        <w:trPr>
          <w:trHeight w:val="300"/>
          <w:jc w:val="center"/>
        </w:trPr>
        <w:tc>
          <w:tcPr>
            <w:cnfStyle w:val="001000000000" w:firstRow="0" w:lastRow="0" w:firstColumn="1" w:lastColumn="0" w:oddVBand="0" w:evenVBand="0" w:oddHBand="0" w:evenHBand="0" w:firstRowFirstColumn="0" w:firstRowLastColumn="0" w:lastRowFirstColumn="0" w:lastRowLastColumn="0"/>
            <w:tcW w:w="2542" w:type="dxa"/>
            <w:noWrap/>
            <w:vAlign w:val="center"/>
            <w:hideMark/>
          </w:tcPr>
          <w:p w14:paraId="1528BE94" w14:textId="77777777" w:rsidR="00F42071" w:rsidRPr="004B723C" w:rsidRDefault="00F42071" w:rsidP="0025243F">
            <w:pPr>
              <w:spacing w:line="360" w:lineRule="auto"/>
              <w:rPr>
                <w:rFonts w:eastAsia="Times New Roman" w:cs="Times New Roman"/>
                <w:color w:val="000000"/>
                <w:sz w:val="18"/>
                <w:szCs w:val="18"/>
                <w:lang w:eastAsia="en-GB"/>
              </w:rPr>
            </w:pPr>
            <w:r w:rsidRPr="004B723C">
              <w:rPr>
                <w:rFonts w:eastAsia="Times New Roman" w:cs="Times New Roman"/>
                <w:color w:val="000000"/>
                <w:sz w:val="18"/>
                <w:szCs w:val="18"/>
                <w:lang w:eastAsia="en-GB"/>
              </w:rPr>
              <w:t>HLA mismatch (per mismatch)</w:t>
            </w:r>
          </w:p>
        </w:tc>
        <w:tc>
          <w:tcPr>
            <w:tcW w:w="992" w:type="dxa"/>
            <w:noWrap/>
            <w:vAlign w:val="center"/>
            <w:hideMark/>
          </w:tcPr>
          <w:p w14:paraId="5723FB9F"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w:t>
            </w:r>
          </w:p>
        </w:tc>
        <w:tc>
          <w:tcPr>
            <w:tcW w:w="1134" w:type="dxa"/>
            <w:noWrap/>
            <w:vAlign w:val="center"/>
          </w:tcPr>
          <w:p w14:paraId="1A78E405"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698/2,314</w:t>
            </w:r>
          </w:p>
        </w:tc>
        <w:tc>
          <w:tcPr>
            <w:tcW w:w="1276" w:type="dxa"/>
            <w:noWrap/>
            <w:vAlign w:val="center"/>
          </w:tcPr>
          <w:p w14:paraId="2AD064D1"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w:t>
            </w:r>
          </w:p>
        </w:tc>
        <w:tc>
          <w:tcPr>
            <w:tcW w:w="1417" w:type="dxa"/>
            <w:noWrap/>
            <w:vAlign w:val="center"/>
          </w:tcPr>
          <w:p w14:paraId="17B866F7"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1.09 (1.04–1.15)</w:t>
            </w:r>
          </w:p>
        </w:tc>
        <w:tc>
          <w:tcPr>
            <w:tcW w:w="1134" w:type="dxa"/>
            <w:noWrap/>
            <w:vAlign w:val="center"/>
          </w:tcPr>
          <w:p w14:paraId="1852DEAF" w14:textId="099DDF09" w:rsidR="00F42071" w:rsidRPr="004B723C" w:rsidRDefault="00D53FD9"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7.69 × 10</w:t>
            </w:r>
            <w:r w:rsidRPr="004B723C">
              <w:rPr>
                <w:rFonts w:cs="Times New Roman"/>
                <w:color w:val="000000"/>
                <w:sz w:val="18"/>
                <w:szCs w:val="18"/>
                <w:vertAlign w:val="superscript"/>
              </w:rPr>
              <w:t>-4</w:t>
            </w:r>
          </w:p>
        </w:tc>
        <w:tc>
          <w:tcPr>
            <w:tcW w:w="1134" w:type="dxa"/>
            <w:noWrap/>
            <w:vAlign w:val="center"/>
          </w:tcPr>
          <w:p w14:paraId="3E35A7F5"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697/2,313</w:t>
            </w:r>
          </w:p>
        </w:tc>
        <w:tc>
          <w:tcPr>
            <w:tcW w:w="1276" w:type="dxa"/>
            <w:noWrap/>
            <w:vAlign w:val="center"/>
          </w:tcPr>
          <w:p w14:paraId="2B792750"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w:t>
            </w:r>
          </w:p>
        </w:tc>
        <w:tc>
          <w:tcPr>
            <w:tcW w:w="1701" w:type="dxa"/>
            <w:noWrap/>
            <w:vAlign w:val="center"/>
          </w:tcPr>
          <w:p w14:paraId="61E60293"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1.07 (1.01–1.14)</w:t>
            </w:r>
          </w:p>
        </w:tc>
        <w:tc>
          <w:tcPr>
            <w:tcW w:w="1378" w:type="dxa"/>
            <w:noWrap/>
            <w:vAlign w:val="center"/>
          </w:tcPr>
          <w:p w14:paraId="4FFDAB6D"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0.028</w:t>
            </w:r>
          </w:p>
        </w:tc>
      </w:tr>
      <w:tr w:rsidR="00F42071" w:rsidRPr="004B723C" w14:paraId="639926B9" w14:textId="77777777" w:rsidTr="00DA4AEB">
        <w:trPr>
          <w:trHeight w:val="300"/>
          <w:jc w:val="center"/>
        </w:trPr>
        <w:tc>
          <w:tcPr>
            <w:cnfStyle w:val="001000000000" w:firstRow="0" w:lastRow="0" w:firstColumn="1" w:lastColumn="0" w:oddVBand="0" w:evenVBand="0" w:oddHBand="0" w:evenHBand="0" w:firstRowFirstColumn="0" w:firstRowLastColumn="0" w:lastRowFirstColumn="0" w:lastRowLastColumn="0"/>
            <w:tcW w:w="2542" w:type="dxa"/>
            <w:noWrap/>
            <w:vAlign w:val="center"/>
            <w:hideMark/>
          </w:tcPr>
          <w:p w14:paraId="743B8EEF" w14:textId="77777777" w:rsidR="00F42071" w:rsidRPr="004B723C" w:rsidRDefault="00F42071" w:rsidP="0025243F">
            <w:pPr>
              <w:spacing w:line="360" w:lineRule="auto"/>
              <w:rPr>
                <w:rFonts w:eastAsia="Times New Roman" w:cs="Times New Roman"/>
                <w:color w:val="000000"/>
                <w:sz w:val="18"/>
                <w:szCs w:val="18"/>
                <w:lang w:eastAsia="en-GB"/>
              </w:rPr>
            </w:pPr>
            <w:r w:rsidRPr="004B723C">
              <w:rPr>
                <w:rFonts w:eastAsia="Times New Roman" w:cs="Times New Roman"/>
                <w:color w:val="000000"/>
                <w:sz w:val="18"/>
                <w:szCs w:val="18"/>
                <w:lang w:eastAsia="en-GB"/>
              </w:rPr>
              <w:t>HLA–DSA status</w:t>
            </w:r>
          </w:p>
        </w:tc>
        <w:tc>
          <w:tcPr>
            <w:tcW w:w="992" w:type="dxa"/>
            <w:noWrap/>
            <w:vAlign w:val="center"/>
            <w:hideMark/>
          </w:tcPr>
          <w:p w14:paraId="2BE75F9C"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Negative</w:t>
            </w:r>
          </w:p>
        </w:tc>
        <w:tc>
          <w:tcPr>
            <w:tcW w:w="1134" w:type="dxa"/>
            <w:noWrap/>
            <w:vAlign w:val="center"/>
          </w:tcPr>
          <w:p w14:paraId="664BB604"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698/2,314</w:t>
            </w:r>
          </w:p>
        </w:tc>
        <w:tc>
          <w:tcPr>
            <w:tcW w:w="1276" w:type="dxa"/>
            <w:noWrap/>
            <w:vAlign w:val="center"/>
          </w:tcPr>
          <w:p w14:paraId="0192A933"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649/2,108</w:t>
            </w:r>
          </w:p>
        </w:tc>
        <w:tc>
          <w:tcPr>
            <w:tcW w:w="1417" w:type="dxa"/>
            <w:noWrap/>
            <w:vAlign w:val="center"/>
          </w:tcPr>
          <w:p w14:paraId="7271B2A9" w14:textId="3228A2A9" w:rsidR="00F42071" w:rsidRPr="004B723C" w:rsidRDefault="00D45F56"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1134" w:type="dxa"/>
            <w:noWrap/>
            <w:vAlign w:val="center"/>
          </w:tcPr>
          <w:p w14:paraId="0EDFF2E3" w14:textId="5ECDA0E0" w:rsidR="00F42071" w:rsidRPr="004B723C" w:rsidRDefault="00D45F56"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1134" w:type="dxa"/>
            <w:noWrap/>
            <w:vAlign w:val="center"/>
          </w:tcPr>
          <w:p w14:paraId="4075A649"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697/2,313</w:t>
            </w:r>
          </w:p>
        </w:tc>
        <w:tc>
          <w:tcPr>
            <w:tcW w:w="1276" w:type="dxa"/>
            <w:noWrap/>
            <w:vAlign w:val="center"/>
          </w:tcPr>
          <w:p w14:paraId="7C7924B8"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648/2,107</w:t>
            </w:r>
          </w:p>
        </w:tc>
        <w:tc>
          <w:tcPr>
            <w:tcW w:w="1701" w:type="dxa"/>
            <w:noWrap/>
            <w:vAlign w:val="center"/>
          </w:tcPr>
          <w:p w14:paraId="4E829DC1" w14:textId="0288338E" w:rsidR="00F42071" w:rsidRPr="004B723C" w:rsidRDefault="00D45F56"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1378" w:type="dxa"/>
            <w:noWrap/>
            <w:vAlign w:val="center"/>
          </w:tcPr>
          <w:p w14:paraId="03EAD926" w14:textId="18A81858" w:rsidR="00F42071" w:rsidRPr="004B723C" w:rsidRDefault="00D45F56"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r>
      <w:tr w:rsidR="00F42071" w:rsidRPr="004B723C" w14:paraId="19A2B721" w14:textId="77777777" w:rsidTr="00DA4AEB">
        <w:trPr>
          <w:trHeight w:val="300"/>
          <w:jc w:val="center"/>
        </w:trPr>
        <w:tc>
          <w:tcPr>
            <w:cnfStyle w:val="001000000000" w:firstRow="0" w:lastRow="0" w:firstColumn="1" w:lastColumn="0" w:oddVBand="0" w:evenVBand="0" w:oddHBand="0" w:evenHBand="0" w:firstRowFirstColumn="0" w:firstRowLastColumn="0" w:lastRowFirstColumn="0" w:lastRowLastColumn="0"/>
            <w:tcW w:w="2542" w:type="dxa"/>
            <w:noWrap/>
            <w:vAlign w:val="center"/>
          </w:tcPr>
          <w:p w14:paraId="056F6F96" w14:textId="77777777" w:rsidR="00F42071" w:rsidRPr="004B723C" w:rsidRDefault="00F42071" w:rsidP="0025243F">
            <w:pPr>
              <w:spacing w:line="360" w:lineRule="auto"/>
              <w:rPr>
                <w:rFonts w:eastAsia="Times New Roman" w:cs="Times New Roman"/>
                <w:color w:val="000000"/>
                <w:sz w:val="18"/>
                <w:szCs w:val="18"/>
                <w:lang w:eastAsia="en-GB"/>
              </w:rPr>
            </w:pPr>
          </w:p>
        </w:tc>
        <w:tc>
          <w:tcPr>
            <w:tcW w:w="992" w:type="dxa"/>
            <w:noWrap/>
            <w:vAlign w:val="center"/>
            <w:hideMark/>
          </w:tcPr>
          <w:p w14:paraId="1F1881F2"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Positive</w:t>
            </w:r>
          </w:p>
        </w:tc>
        <w:tc>
          <w:tcPr>
            <w:tcW w:w="1134" w:type="dxa"/>
            <w:noWrap/>
            <w:vAlign w:val="center"/>
          </w:tcPr>
          <w:p w14:paraId="0A3DDA17"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w:t>
            </w:r>
          </w:p>
        </w:tc>
        <w:tc>
          <w:tcPr>
            <w:tcW w:w="1276" w:type="dxa"/>
            <w:noWrap/>
            <w:vAlign w:val="center"/>
          </w:tcPr>
          <w:p w14:paraId="01E4482D"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49/206</w:t>
            </w:r>
          </w:p>
        </w:tc>
        <w:tc>
          <w:tcPr>
            <w:tcW w:w="1417" w:type="dxa"/>
            <w:noWrap/>
            <w:vAlign w:val="center"/>
          </w:tcPr>
          <w:p w14:paraId="2DB19315"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0.72 (0.54–0.96)</w:t>
            </w:r>
          </w:p>
        </w:tc>
        <w:tc>
          <w:tcPr>
            <w:tcW w:w="1134" w:type="dxa"/>
            <w:noWrap/>
            <w:vAlign w:val="center"/>
          </w:tcPr>
          <w:p w14:paraId="106450F8"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0.028</w:t>
            </w:r>
          </w:p>
        </w:tc>
        <w:tc>
          <w:tcPr>
            <w:tcW w:w="1134" w:type="dxa"/>
            <w:noWrap/>
            <w:vAlign w:val="center"/>
          </w:tcPr>
          <w:p w14:paraId="7382F762"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w:t>
            </w:r>
          </w:p>
        </w:tc>
        <w:tc>
          <w:tcPr>
            <w:tcW w:w="1276" w:type="dxa"/>
            <w:noWrap/>
            <w:vAlign w:val="center"/>
          </w:tcPr>
          <w:p w14:paraId="02595AC6"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49/206</w:t>
            </w:r>
          </w:p>
        </w:tc>
        <w:tc>
          <w:tcPr>
            <w:tcW w:w="1701" w:type="dxa"/>
            <w:noWrap/>
            <w:vAlign w:val="center"/>
          </w:tcPr>
          <w:p w14:paraId="38FC0E42"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0.72 (0.53–0.98)</w:t>
            </w:r>
          </w:p>
        </w:tc>
        <w:tc>
          <w:tcPr>
            <w:tcW w:w="1378" w:type="dxa"/>
            <w:noWrap/>
            <w:vAlign w:val="center"/>
          </w:tcPr>
          <w:p w14:paraId="38BBD9E3"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0.037</w:t>
            </w:r>
          </w:p>
        </w:tc>
      </w:tr>
      <w:tr w:rsidR="00F42071" w:rsidRPr="004B723C" w14:paraId="5C7B7AC0" w14:textId="77777777" w:rsidTr="00DA4AEB">
        <w:trPr>
          <w:trHeight w:val="300"/>
          <w:jc w:val="center"/>
        </w:trPr>
        <w:tc>
          <w:tcPr>
            <w:cnfStyle w:val="001000000000" w:firstRow="0" w:lastRow="0" w:firstColumn="1" w:lastColumn="0" w:oddVBand="0" w:evenVBand="0" w:oddHBand="0" w:evenHBand="0" w:firstRowFirstColumn="0" w:firstRowLastColumn="0" w:lastRowFirstColumn="0" w:lastRowLastColumn="0"/>
            <w:tcW w:w="2542" w:type="dxa"/>
            <w:noWrap/>
            <w:vAlign w:val="center"/>
            <w:hideMark/>
          </w:tcPr>
          <w:p w14:paraId="1258226A" w14:textId="77777777" w:rsidR="00F42071" w:rsidRPr="004B723C" w:rsidRDefault="00F42071" w:rsidP="0025243F">
            <w:pPr>
              <w:spacing w:line="360" w:lineRule="auto"/>
              <w:rPr>
                <w:rFonts w:eastAsia="Times New Roman" w:cs="Times New Roman"/>
                <w:color w:val="000000"/>
                <w:sz w:val="18"/>
                <w:szCs w:val="18"/>
                <w:lang w:eastAsia="en-GB"/>
              </w:rPr>
            </w:pPr>
            <w:r w:rsidRPr="004B723C">
              <w:rPr>
                <w:rFonts w:eastAsia="Times New Roman" w:cs="Times New Roman"/>
                <w:color w:val="000000"/>
                <w:sz w:val="18"/>
                <w:szCs w:val="18"/>
                <w:lang w:eastAsia="en-GB"/>
              </w:rPr>
              <w:t>Recipient age (per 10 years)</w:t>
            </w:r>
          </w:p>
        </w:tc>
        <w:tc>
          <w:tcPr>
            <w:tcW w:w="992" w:type="dxa"/>
            <w:noWrap/>
            <w:vAlign w:val="center"/>
            <w:hideMark/>
          </w:tcPr>
          <w:p w14:paraId="5A2D038A"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w:t>
            </w:r>
          </w:p>
        </w:tc>
        <w:tc>
          <w:tcPr>
            <w:tcW w:w="1134" w:type="dxa"/>
            <w:noWrap/>
            <w:vAlign w:val="center"/>
          </w:tcPr>
          <w:p w14:paraId="0BEDA678"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698/2,314</w:t>
            </w:r>
          </w:p>
        </w:tc>
        <w:tc>
          <w:tcPr>
            <w:tcW w:w="1276" w:type="dxa"/>
            <w:noWrap/>
            <w:vAlign w:val="center"/>
          </w:tcPr>
          <w:p w14:paraId="3717FB32"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w:t>
            </w:r>
          </w:p>
        </w:tc>
        <w:tc>
          <w:tcPr>
            <w:tcW w:w="1417" w:type="dxa"/>
            <w:noWrap/>
            <w:vAlign w:val="center"/>
          </w:tcPr>
          <w:p w14:paraId="2E0C9072"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1.16 (1.10–1.24)</w:t>
            </w:r>
          </w:p>
        </w:tc>
        <w:tc>
          <w:tcPr>
            <w:tcW w:w="1134" w:type="dxa"/>
            <w:noWrap/>
            <w:vAlign w:val="center"/>
          </w:tcPr>
          <w:p w14:paraId="330E32BE" w14:textId="7F55730F" w:rsidR="00F42071" w:rsidRPr="004B723C" w:rsidRDefault="00D53FD9"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9.64 × 10</w:t>
            </w:r>
            <w:r w:rsidRPr="004B723C">
              <w:rPr>
                <w:rFonts w:cs="Times New Roman"/>
                <w:color w:val="000000"/>
                <w:sz w:val="18"/>
                <w:szCs w:val="18"/>
                <w:vertAlign w:val="superscript"/>
              </w:rPr>
              <w:t>-7</w:t>
            </w:r>
          </w:p>
        </w:tc>
        <w:tc>
          <w:tcPr>
            <w:tcW w:w="1134" w:type="dxa"/>
            <w:noWrap/>
            <w:vAlign w:val="center"/>
          </w:tcPr>
          <w:p w14:paraId="42BD67E2"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697/2,313</w:t>
            </w:r>
          </w:p>
        </w:tc>
        <w:tc>
          <w:tcPr>
            <w:tcW w:w="1276" w:type="dxa"/>
            <w:noWrap/>
            <w:vAlign w:val="center"/>
          </w:tcPr>
          <w:p w14:paraId="7747202A"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w:t>
            </w:r>
          </w:p>
        </w:tc>
        <w:tc>
          <w:tcPr>
            <w:tcW w:w="1701" w:type="dxa"/>
            <w:noWrap/>
            <w:vAlign w:val="center"/>
          </w:tcPr>
          <w:p w14:paraId="7EA9EE01"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1.07 (1.01–1.15)</w:t>
            </w:r>
          </w:p>
        </w:tc>
        <w:tc>
          <w:tcPr>
            <w:tcW w:w="1378" w:type="dxa"/>
            <w:noWrap/>
            <w:vAlign w:val="center"/>
          </w:tcPr>
          <w:p w14:paraId="581C9B37"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0.033</w:t>
            </w:r>
          </w:p>
        </w:tc>
      </w:tr>
      <w:tr w:rsidR="00F42071" w:rsidRPr="004B723C" w14:paraId="0DE17DF2" w14:textId="77777777" w:rsidTr="00DA4AEB">
        <w:trPr>
          <w:trHeight w:val="300"/>
          <w:jc w:val="center"/>
        </w:trPr>
        <w:tc>
          <w:tcPr>
            <w:cnfStyle w:val="001000000000" w:firstRow="0" w:lastRow="0" w:firstColumn="1" w:lastColumn="0" w:oddVBand="0" w:evenVBand="0" w:oddHBand="0" w:evenHBand="0" w:firstRowFirstColumn="0" w:firstRowLastColumn="0" w:lastRowFirstColumn="0" w:lastRowLastColumn="0"/>
            <w:tcW w:w="2542" w:type="dxa"/>
            <w:noWrap/>
            <w:vAlign w:val="center"/>
            <w:hideMark/>
          </w:tcPr>
          <w:p w14:paraId="0820F590" w14:textId="77777777" w:rsidR="00F42071" w:rsidRPr="004B723C" w:rsidRDefault="00F42071" w:rsidP="0025243F">
            <w:pPr>
              <w:spacing w:line="360" w:lineRule="auto"/>
              <w:rPr>
                <w:rFonts w:eastAsia="Times New Roman" w:cs="Times New Roman"/>
                <w:color w:val="000000"/>
                <w:sz w:val="18"/>
                <w:szCs w:val="18"/>
                <w:lang w:eastAsia="en-GB"/>
              </w:rPr>
            </w:pPr>
            <w:r w:rsidRPr="004B723C">
              <w:rPr>
                <w:rFonts w:eastAsia="Times New Roman" w:cs="Times New Roman"/>
                <w:color w:val="000000"/>
                <w:sz w:val="18"/>
                <w:szCs w:val="18"/>
                <w:lang w:eastAsia="en-GB"/>
              </w:rPr>
              <w:lastRenderedPageBreak/>
              <w:t>Recipient sex</w:t>
            </w:r>
          </w:p>
        </w:tc>
        <w:tc>
          <w:tcPr>
            <w:tcW w:w="992" w:type="dxa"/>
            <w:noWrap/>
            <w:vAlign w:val="center"/>
            <w:hideMark/>
          </w:tcPr>
          <w:p w14:paraId="737958AC"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Male</w:t>
            </w:r>
          </w:p>
        </w:tc>
        <w:tc>
          <w:tcPr>
            <w:tcW w:w="1134" w:type="dxa"/>
            <w:noWrap/>
            <w:vAlign w:val="center"/>
          </w:tcPr>
          <w:p w14:paraId="114BA3A4"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698/2,314</w:t>
            </w:r>
          </w:p>
        </w:tc>
        <w:tc>
          <w:tcPr>
            <w:tcW w:w="1276" w:type="dxa"/>
            <w:noWrap/>
            <w:vAlign w:val="center"/>
          </w:tcPr>
          <w:p w14:paraId="1DD18673"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418/1,454</w:t>
            </w:r>
          </w:p>
        </w:tc>
        <w:tc>
          <w:tcPr>
            <w:tcW w:w="1417" w:type="dxa"/>
            <w:noWrap/>
            <w:vAlign w:val="center"/>
          </w:tcPr>
          <w:p w14:paraId="0A1FA247" w14:textId="2A882377" w:rsidR="00F42071" w:rsidRPr="004B723C" w:rsidRDefault="00D45F56"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1134" w:type="dxa"/>
            <w:noWrap/>
            <w:vAlign w:val="center"/>
          </w:tcPr>
          <w:p w14:paraId="7AA12F9E" w14:textId="04267207" w:rsidR="00F42071" w:rsidRPr="004B723C" w:rsidRDefault="00D45F56"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1134" w:type="dxa"/>
            <w:noWrap/>
            <w:vAlign w:val="center"/>
          </w:tcPr>
          <w:p w14:paraId="14ACB896"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697/2,313</w:t>
            </w:r>
          </w:p>
        </w:tc>
        <w:tc>
          <w:tcPr>
            <w:tcW w:w="1276" w:type="dxa"/>
            <w:noWrap/>
            <w:vAlign w:val="center"/>
          </w:tcPr>
          <w:p w14:paraId="41321375"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417/1,453</w:t>
            </w:r>
          </w:p>
        </w:tc>
        <w:tc>
          <w:tcPr>
            <w:tcW w:w="1701" w:type="dxa"/>
            <w:noWrap/>
            <w:vAlign w:val="center"/>
          </w:tcPr>
          <w:p w14:paraId="3921357D" w14:textId="2E473813" w:rsidR="00F42071" w:rsidRPr="004B723C" w:rsidRDefault="00D45F56"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1378" w:type="dxa"/>
            <w:noWrap/>
            <w:vAlign w:val="center"/>
          </w:tcPr>
          <w:p w14:paraId="4A0DC8E9" w14:textId="720860AE" w:rsidR="00F42071" w:rsidRPr="004B723C" w:rsidRDefault="00D45F56"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r>
      <w:tr w:rsidR="00F42071" w:rsidRPr="004B723C" w14:paraId="01363833" w14:textId="77777777" w:rsidTr="00DA4AEB">
        <w:trPr>
          <w:trHeight w:val="300"/>
          <w:jc w:val="center"/>
        </w:trPr>
        <w:tc>
          <w:tcPr>
            <w:cnfStyle w:val="001000000000" w:firstRow="0" w:lastRow="0" w:firstColumn="1" w:lastColumn="0" w:oddVBand="0" w:evenVBand="0" w:oddHBand="0" w:evenHBand="0" w:firstRowFirstColumn="0" w:firstRowLastColumn="0" w:lastRowFirstColumn="0" w:lastRowLastColumn="0"/>
            <w:tcW w:w="2542" w:type="dxa"/>
            <w:noWrap/>
            <w:vAlign w:val="center"/>
          </w:tcPr>
          <w:p w14:paraId="1EA96497" w14:textId="77777777" w:rsidR="00F42071" w:rsidRPr="004B723C" w:rsidRDefault="00F42071" w:rsidP="0025243F">
            <w:pPr>
              <w:spacing w:line="360" w:lineRule="auto"/>
              <w:rPr>
                <w:rFonts w:eastAsia="Times New Roman" w:cs="Times New Roman"/>
                <w:color w:val="000000"/>
                <w:sz w:val="18"/>
                <w:szCs w:val="18"/>
                <w:lang w:eastAsia="en-GB"/>
              </w:rPr>
            </w:pPr>
          </w:p>
        </w:tc>
        <w:tc>
          <w:tcPr>
            <w:tcW w:w="992" w:type="dxa"/>
            <w:noWrap/>
            <w:vAlign w:val="center"/>
            <w:hideMark/>
          </w:tcPr>
          <w:p w14:paraId="6384A6C2"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Female</w:t>
            </w:r>
          </w:p>
        </w:tc>
        <w:tc>
          <w:tcPr>
            <w:tcW w:w="1134" w:type="dxa"/>
            <w:noWrap/>
            <w:vAlign w:val="center"/>
          </w:tcPr>
          <w:p w14:paraId="72FE3944"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w:t>
            </w:r>
          </w:p>
        </w:tc>
        <w:tc>
          <w:tcPr>
            <w:tcW w:w="1276" w:type="dxa"/>
            <w:noWrap/>
            <w:vAlign w:val="center"/>
          </w:tcPr>
          <w:p w14:paraId="1DE7C8E9"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280/860</w:t>
            </w:r>
          </w:p>
        </w:tc>
        <w:tc>
          <w:tcPr>
            <w:tcW w:w="1417" w:type="dxa"/>
            <w:noWrap/>
            <w:vAlign w:val="center"/>
          </w:tcPr>
          <w:p w14:paraId="60135900"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1.14 (0.98–1.33)</w:t>
            </w:r>
          </w:p>
        </w:tc>
        <w:tc>
          <w:tcPr>
            <w:tcW w:w="1134" w:type="dxa"/>
            <w:noWrap/>
            <w:vAlign w:val="center"/>
          </w:tcPr>
          <w:p w14:paraId="614A4457"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0.085</w:t>
            </w:r>
          </w:p>
        </w:tc>
        <w:tc>
          <w:tcPr>
            <w:tcW w:w="1134" w:type="dxa"/>
            <w:noWrap/>
            <w:vAlign w:val="center"/>
          </w:tcPr>
          <w:p w14:paraId="792CBAA8"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w:t>
            </w:r>
          </w:p>
        </w:tc>
        <w:tc>
          <w:tcPr>
            <w:tcW w:w="1276" w:type="dxa"/>
            <w:noWrap/>
            <w:vAlign w:val="center"/>
          </w:tcPr>
          <w:p w14:paraId="4401C54E"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280/860</w:t>
            </w:r>
          </w:p>
        </w:tc>
        <w:tc>
          <w:tcPr>
            <w:tcW w:w="1701" w:type="dxa"/>
            <w:noWrap/>
            <w:vAlign w:val="center"/>
          </w:tcPr>
          <w:p w14:paraId="12FB07FF"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1.15 (0.99–1.34)</w:t>
            </w:r>
          </w:p>
        </w:tc>
        <w:tc>
          <w:tcPr>
            <w:tcW w:w="1378" w:type="dxa"/>
            <w:noWrap/>
            <w:vAlign w:val="center"/>
          </w:tcPr>
          <w:p w14:paraId="436E8021"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0.072</w:t>
            </w:r>
          </w:p>
        </w:tc>
      </w:tr>
      <w:tr w:rsidR="00F42071" w:rsidRPr="004B723C" w14:paraId="62B80C0A" w14:textId="77777777" w:rsidTr="00DA4AEB">
        <w:trPr>
          <w:trHeight w:val="300"/>
          <w:jc w:val="center"/>
        </w:trPr>
        <w:tc>
          <w:tcPr>
            <w:cnfStyle w:val="001000000000" w:firstRow="0" w:lastRow="0" w:firstColumn="1" w:lastColumn="0" w:oddVBand="0" w:evenVBand="0" w:oddHBand="0" w:evenHBand="0" w:firstRowFirstColumn="0" w:firstRowLastColumn="0" w:lastRowFirstColumn="0" w:lastRowLastColumn="0"/>
            <w:tcW w:w="2542" w:type="dxa"/>
            <w:noWrap/>
            <w:vAlign w:val="center"/>
            <w:hideMark/>
          </w:tcPr>
          <w:p w14:paraId="1816B793" w14:textId="77777777" w:rsidR="00F42071" w:rsidRPr="004B723C" w:rsidRDefault="00F42071" w:rsidP="0025243F">
            <w:pPr>
              <w:spacing w:line="360" w:lineRule="auto"/>
              <w:rPr>
                <w:rFonts w:eastAsia="Times New Roman" w:cs="Times New Roman"/>
                <w:color w:val="000000"/>
                <w:sz w:val="18"/>
                <w:szCs w:val="18"/>
                <w:lang w:eastAsia="en-GB"/>
              </w:rPr>
            </w:pPr>
            <w:r w:rsidRPr="004B723C">
              <w:rPr>
                <w:rFonts w:eastAsia="Times New Roman" w:cs="Times New Roman"/>
                <w:color w:val="000000"/>
                <w:sz w:val="18"/>
                <w:szCs w:val="18"/>
                <w:lang w:eastAsia="en-GB"/>
              </w:rPr>
              <w:t>Repeat transplantation</w:t>
            </w:r>
          </w:p>
        </w:tc>
        <w:tc>
          <w:tcPr>
            <w:tcW w:w="992" w:type="dxa"/>
            <w:noWrap/>
            <w:vAlign w:val="center"/>
            <w:hideMark/>
          </w:tcPr>
          <w:p w14:paraId="3A8D3AFA"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No</w:t>
            </w:r>
          </w:p>
        </w:tc>
        <w:tc>
          <w:tcPr>
            <w:tcW w:w="1134" w:type="dxa"/>
            <w:noWrap/>
            <w:vAlign w:val="center"/>
          </w:tcPr>
          <w:p w14:paraId="571C4D1E"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698/2,314</w:t>
            </w:r>
          </w:p>
        </w:tc>
        <w:tc>
          <w:tcPr>
            <w:tcW w:w="1276" w:type="dxa"/>
            <w:noWrap/>
            <w:vAlign w:val="center"/>
          </w:tcPr>
          <w:p w14:paraId="73C75435"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612/1,977</w:t>
            </w:r>
          </w:p>
        </w:tc>
        <w:tc>
          <w:tcPr>
            <w:tcW w:w="1417" w:type="dxa"/>
            <w:noWrap/>
            <w:vAlign w:val="center"/>
          </w:tcPr>
          <w:p w14:paraId="40F66D11" w14:textId="1D90EFE0" w:rsidR="00F42071" w:rsidRPr="004B723C" w:rsidRDefault="00D45F56"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1134" w:type="dxa"/>
            <w:noWrap/>
            <w:vAlign w:val="center"/>
          </w:tcPr>
          <w:p w14:paraId="48C2E9BC" w14:textId="6571C867" w:rsidR="00F42071" w:rsidRPr="004B723C" w:rsidRDefault="00D45F56"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1134" w:type="dxa"/>
            <w:noWrap/>
            <w:vAlign w:val="center"/>
          </w:tcPr>
          <w:p w14:paraId="788DB2DA"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697/2,313</w:t>
            </w:r>
          </w:p>
        </w:tc>
        <w:tc>
          <w:tcPr>
            <w:tcW w:w="1276" w:type="dxa"/>
            <w:noWrap/>
            <w:vAlign w:val="center"/>
          </w:tcPr>
          <w:p w14:paraId="6F134210"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611/1,976</w:t>
            </w:r>
          </w:p>
        </w:tc>
        <w:tc>
          <w:tcPr>
            <w:tcW w:w="1701" w:type="dxa"/>
            <w:noWrap/>
            <w:vAlign w:val="center"/>
          </w:tcPr>
          <w:p w14:paraId="50DA5D2B" w14:textId="096FFD47" w:rsidR="00F42071" w:rsidRPr="004B723C" w:rsidRDefault="00D45F56"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1378" w:type="dxa"/>
            <w:noWrap/>
            <w:vAlign w:val="center"/>
          </w:tcPr>
          <w:p w14:paraId="6435101D" w14:textId="42DF0C7D" w:rsidR="00F42071" w:rsidRPr="004B723C" w:rsidRDefault="00D45F56"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r>
      <w:tr w:rsidR="00F42071" w:rsidRPr="004B723C" w14:paraId="1E83651A" w14:textId="77777777" w:rsidTr="00DA4AEB">
        <w:trPr>
          <w:trHeight w:val="300"/>
          <w:jc w:val="center"/>
        </w:trPr>
        <w:tc>
          <w:tcPr>
            <w:cnfStyle w:val="001000000000" w:firstRow="0" w:lastRow="0" w:firstColumn="1" w:lastColumn="0" w:oddVBand="0" w:evenVBand="0" w:oddHBand="0" w:evenHBand="0" w:firstRowFirstColumn="0" w:firstRowLastColumn="0" w:lastRowFirstColumn="0" w:lastRowLastColumn="0"/>
            <w:tcW w:w="2542" w:type="dxa"/>
            <w:noWrap/>
            <w:vAlign w:val="center"/>
          </w:tcPr>
          <w:p w14:paraId="49B2BDDD" w14:textId="77777777" w:rsidR="00F42071" w:rsidRPr="004B723C" w:rsidRDefault="00F42071" w:rsidP="0025243F">
            <w:pPr>
              <w:spacing w:line="360" w:lineRule="auto"/>
              <w:rPr>
                <w:rFonts w:eastAsia="Times New Roman" w:cs="Times New Roman"/>
                <w:color w:val="000000"/>
                <w:sz w:val="18"/>
                <w:szCs w:val="18"/>
                <w:lang w:eastAsia="en-GB"/>
              </w:rPr>
            </w:pPr>
          </w:p>
        </w:tc>
        <w:tc>
          <w:tcPr>
            <w:tcW w:w="992" w:type="dxa"/>
            <w:noWrap/>
            <w:vAlign w:val="center"/>
            <w:hideMark/>
          </w:tcPr>
          <w:p w14:paraId="692AA624"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Yes</w:t>
            </w:r>
          </w:p>
        </w:tc>
        <w:tc>
          <w:tcPr>
            <w:tcW w:w="1134" w:type="dxa"/>
            <w:noWrap/>
            <w:vAlign w:val="center"/>
          </w:tcPr>
          <w:p w14:paraId="2434B1A2"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w:t>
            </w:r>
          </w:p>
        </w:tc>
        <w:tc>
          <w:tcPr>
            <w:tcW w:w="1276" w:type="dxa"/>
            <w:noWrap/>
            <w:vAlign w:val="center"/>
          </w:tcPr>
          <w:p w14:paraId="148F65AD"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86/337</w:t>
            </w:r>
          </w:p>
        </w:tc>
        <w:tc>
          <w:tcPr>
            <w:tcW w:w="1417" w:type="dxa"/>
            <w:noWrap/>
            <w:vAlign w:val="center"/>
          </w:tcPr>
          <w:p w14:paraId="5C3C5ECF"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0.79 (0.63–0.99)</w:t>
            </w:r>
          </w:p>
        </w:tc>
        <w:tc>
          <w:tcPr>
            <w:tcW w:w="1134" w:type="dxa"/>
            <w:noWrap/>
            <w:vAlign w:val="center"/>
          </w:tcPr>
          <w:p w14:paraId="130E178C"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0.043</w:t>
            </w:r>
          </w:p>
        </w:tc>
        <w:tc>
          <w:tcPr>
            <w:tcW w:w="1134" w:type="dxa"/>
            <w:noWrap/>
            <w:vAlign w:val="center"/>
          </w:tcPr>
          <w:p w14:paraId="1EAA225D"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w:t>
            </w:r>
          </w:p>
        </w:tc>
        <w:tc>
          <w:tcPr>
            <w:tcW w:w="1276" w:type="dxa"/>
            <w:noWrap/>
            <w:vAlign w:val="center"/>
          </w:tcPr>
          <w:p w14:paraId="7FF50EB7"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86/337</w:t>
            </w:r>
          </w:p>
        </w:tc>
        <w:tc>
          <w:tcPr>
            <w:tcW w:w="1701" w:type="dxa"/>
            <w:noWrap/>
            <w:vAlign w:val="center"/>
          </w:tcPr>
          <w:p w14:paraId="774286E0"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0.80 (0.63–1.02)</w:t>
            </w:r>
          </w:p>
        </w:tc>
        <w:tc>
          <w:tcPr>
            <w:tcW w:w="1378" w:type="dxa"/>
            <w:noWrap/>
            <w:vAlign w:val="center"/>
          </w:tcPr>
          <w:p w14:paraId="4E3D3E14" w14:textId="77777777" w:rsidR="00F42071" w:rsidRPr="004B723C" w:rsidRDefault="00F42071"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0.067</w:t>
            </w:r>
          </w:p>
        </w:tc>
      </w:tr>
    </w:tbl>
    <w:p w14:paraId="31CA5623" w14:textId="0073938B" w:rsidR="00F42071" w:rsidRPr="004B723C" w:rsidRDefault="00F42071" w:rsidP="00F42071">
      <w:pPr>
        <w:spacing w:before="240" w:line="360" w:lineRule="auto"/>
      </w:pPr>
      <w:r w:rsidRPr="004B723C">
        <w:t xml:space="preserve">Values are hazard ratios (HRs) with 95% confidence intervals (CIs) from univariable and multivariable Cox proportional-hazards models. </w:t>
      </w:r>
      <w:r w:rsidR="00FE24F1" w:rsidRPr="004B723C">
        <w:t>CMV replication was defined as detection of CMV DNA in any bodily fluid or tissue specimen.</w:t>
      </w:r>
      <w:r w:rsidR="002B49F5" w:rsidRPr="004B723C">
        <w:t xml:space="preserve"> </w:t>
      </w:r>
      <w:r w:rsidRPr="004B723C">
        <w:t xml:space="preserve">Total events and events per subgroup are presented as n/N, where n denotes the number of events and N the number of participants with non-missing data for the respective covariate. Multivariable models were adjusted for recipient age and sex, donor age and type (living, donation after circulatory death, donation after brain death), repeat transplantation, calendar year of transplantation, HLA mismatch, HLA-DSA status at transplantation, cold </w:t>
      </w:r>
      <w:r w:rsidR="00C519B9" w:rsidRPr="004B723C">
        <w:t>ischemia</w:t>
      </w:r>
      <w:r w:rsidRPr="004B723C">
        <w:t xml:space="preserve"> time, and transplant </w:t>
      </w:r>
      <w:r w:rsidR="00C519B9" w:rsidRPr="004B723C">
        <w:t>center</w:t>
      </w:r>
      <w:r w:rsidRPr="004B723C">
        <w:t>.</w:t>
      </w:r>
    </w:p>
    <w:p w14:paraId="3A573F54" w14:textId="47424F11" w:rsidR="00F42071" w:rsidRPr="004B723C" w:rsidRDefault="00F42071" w:rsidP="00F42071">
      <w:pPr>
        <w:spacing w:before="240" w:line="360" w:lineRule="auto"/>
      </w:pPr>
      <w:r w:rsidRPr="004B723C">
        <w:t xml:space="preserve">Abbreviations: CMV, cytomegalovirus; D, donor; DSA, donor-specific antibody; HLA, human leukocyte antigen; R, recipient; </w:t>
      </w:r>
      <w:r w:rsidR="00D45F56" w:rsidRPr="004B723C">
        <w:t>Ref.</w:t>
      </w:r>
      <w:r w:rsidRPr="004B723C">
        <w:t>, reference.</w:t>
      </w:r>
    </w:p>
    <w:p w14:paraId="622BFB1E" w14:textId="77777777" w:rsidR="001C10C8" w:rsidRPr="004B723C" w:rsidRDefault="001C10C8" w:rsidP="007F3A2D"/>
    <w:p w14:paraId="0A3AE9B3" w14:textId="77777777" w:rsidR="008F2DD5" w:rsidRPr="004B723C" w:rsidRDefault="008F2DD5" w:rsidP="007F3A2D">
      <w:pPr>
        <w:sectPr w:rsidR="008F2DD5" w:rsidRPr="004B723C" w:rsidSect="00380509">
          <w:pgSz w:w="16838" w:h="11906" w:orient="landscape"/>
          <w:pgMar w:top="1417" w:right="1417" w:bottom="1417" w:left="1417" w:header="708" w:footer="708" w:gutter="0"/>
          <w:cols w:space="708"/>
          <w:docGrid w:linePitch="360"/>
        </w:sectPr>
      </w:pPr>
    </w:p>
    <w:p w14:paraId="5938581D" w14:textId="7C45CCFE" w:rsidR="0097329A" w:rsidRPr="004B723C" w:rsidRDefault="0097329A" w:rsidP="007F3A2D">
      <w:pPr>
        <w:pStyle w:val="Heading2"/>
      </w:pPr>
      <w:r w:rsidRPr="004B723C">
        <w:lastRenderedPageBreak/>
        <w:t xml:space="preserve">Table </w:t>
      </w:r>
      <w:r w:rsidR="00F42071" w:rsidRPr="004B723C">
        <w:t>S1</w:t>
      </w:r>
      <w:r w:rsidR="00267FED" w:rsidRPr="004B723C">
        <w:t>3</w:t>
      </w:r>
      <w:r w:rsidRPr="004B723C">
        <w:t>:</w:t>
      </w:r>
      <w:r w:rsidR="006849A8" w:rsidRPr="004B723C">
        <w:t xml:space="preserve"> </w:t>
      </w:r>
      <w:r w:rsidR="00CC7C9F" w:rsidRPr="004B723C">
        <w:t>Cox proportional hazards models for post-transplant CMV disease</w:t>
      </w:r>
      <w:bookmarkEnd w:id="15"/>
    </w:p>
    <w:tbl>
      <w:tblPr>
        <w:tblStyle w:val="Nature"/>
        <w:tblW w:w="0" w:type="auto"/>
        <w:jc w:val="center"/>
        <w:tblLayout w:type="fixed"/>
        <w:tblLook w:val="04A0" w:firstRow="1" w:lastRow="0" w:firstColumn="1" w:lastColumn="0" w:noHBand="0" w:noVBand="1"/>
      </w:tblPr>
      <w:tblGrid>
        <w:gridCol w:w="2825"/>
        <w:gridCol w:w="937"/>
        <w:gridCol w:w="956"/>
        <w:gridCol w:w="1252"/>
        <w:gridCol w:w="1529"/>
        <w:gridCol w:w="1374"/>
        <w:gridCol w:w="956"/>
        <w:gridCol w:w="1252"/>
        <w:gridCol w:w="1529"/>
        <w:gridCol w:w="1374"/>
      </w:tblGrid>
      <w:tr w:rsidR="0098697B" w:rsidRPr="004B723C" w14:paraId="0384A03A" w14:textId="77777777" w:rsidTr="007F3A2D">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825" w:type="dxa"/>
            <w:noWrap/>
            <w:vAlign w:val="center"/>
            <w:hideMark/>
          </w:tcPr>
          <w:p w14:paraId="616A5A9D" w14:textId="7E2B7140" w:rsidR="00F252F5" w:rsidRPr="004B723C" w:rsidRDefault="0038327E" w:rsidP="007F3A2D">
            <w:pPr>
              <w:spacing w:line="360" w:lineRule="auto"/>
              <w:jc w:val="center"/>
              <w:rPr>
                <w:rFonts w:eastAsia="Times New Roman" w:cs="Times New Roman"/>
                <w:b/>
                <w:bCs/>
                <w:color w:val="000000"/>
                <w:sz w:val="18"/>
                <w:szCs w:val="18"/>
                <w:lang w:eastAsia="en-GB"/>
              </w:rPr>
            </w:pPr>
            <w:r>
              <w:rPr>
                <w:rFonts w:eastAsia="Times New Roman" w:cs="Times New Roman"/>
                <w:b/>
                <w:bCs/>
                <w:color w:val="000000"/>
                <w:sz w:val="18"/>
                <w:szCs w:val="18"/>
                <w:lang w:eastAsia="en-GB"/>
              </w:rPr>
              <w:t>Factors</w:t>
            </w:r>
          </w:p>
        </w:tc>
        <w:tc>
          <w:tcPr>
            <w:tcW w:w="937" w:type="dxa"/>
            <w:noWrap/>
            <w:vAlign w:val="center"/>
            <w:hideMark/>
          </w:tcPr>
          <w:p w14:paraId="4823175F" w14:textId="77777777" w:rsidR="00F252F5" w:rsidRPr="004B723C" w:rsidRDefault="00F252F5" w:rsidP="007F3A2D">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eastAsia="en-GB"/>
              </w:rPr>
            </w:pPr>
            <w:r w:rsidRPr="004B723C">
              <w:rPr>
                <w:rFonts w:eastAsia="Times New Roman" w:cs="Times New Roman"/>
                <w:b/>
                <w:bCs/>
                <w:color w:val="000000"/>
                <w:sz w:val="18"/>
                <w:szCs w:val="18"/>
                <w:lang w:eastAsia="en-GB"/>
              </w:rPr>
              <w:t>Level</w:t>
            </w:r>
          </w:p>
        </w:tc>
        <w:tc>
          <w:tcPr>
            <w:tcW w:w="956" w:type="dxa"/>
            <w:noWrap/>
            <w:vAlign w:val="center"/>
            <w:hideMark/>
          </w:tcPr>
          <w:p w14:paraId="0544654B" w14:textId="5DD6C716" w:rsidR="00F252F5" w:rsidRPr="004B723C" w:rsidRDefault="00F252F5" w:rsidP="007F3A2D">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eastAsia="en-GB"/>
              </w:rPr>
            </w:pPr>
            <w:r w:rsidRPr="004B723C">
              <w:rPr>
                <w:rFonts w:eastAsia="Times New Roman" w:cs="Times New Roman"/>
                <w:b/>
                <w:bCs/>
                <w:color w:val="000000"/>
                <w:sz w:val="18"/>
                <w:szCs w:val="18"/>
                <w:lang w:eastAsia="en-GB"/>
              </w:rPr>
              <w:t>Events/</w:t>
            </w:r>
            <w:r w:rsidRPr="004B723C">
              <w:rPr>
                <w:rFonts w:eastAsia="Times New Roman" w:cs="Times New Roman"/>
                <w:b/>
                <w:bCs/>
                <w:color w:val="000000"/>
                <w:sz w:val="18"/>
                <w:szCs w:val="18"/>
                <w:lang w:eastAsia="en-GB"/>
              </w:rPr>
              <w:br/>
              <w:t xml:space="preserve">N </w:t>
            </w:r>
            <w:r w:rsidR="00C519B9" w:rsidRPr="004B723C">
              <w:rPr>
                <w:rFonts w:eastAsia="Times New Roman" w:cs="Times New Roman"/>
                <w:b/>
                <w:bCs/>
                <w:color w:val="000000"/>
                <w:sz w:val="18"/>
                <w:szCs w:val="18"/>
                <w:lang w:eastAsia="en-GB"/>
              </w:rPr>
              <w:t>analyzed</w:t>
            </w:r>
          </w:p>
        </w:tc>
        <w:tc>
          <w:tcPr>
            <w:tcW w:w="1252" w:type="dxa"/>
            <w:noWrap/>
            <w:vAlign w:val="center"/>
            <w:hideMark/>
          </w:tcPr>
          <w:p w14:paraId="2BEE9031" w14:textId="77777777" w:rsidR="00F252F5" w:rsidRPr="004B723C" w:rsidRDefault="00F252F5" w:rsidP="007F3A2D">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eastAsia="en-GB"/>
              </w:rPr>
            </w:pPr>
            <w:r w:rsidRPr="004B723C">
              <w:rPr>
                <w:rFonts w:eastAsia="Times New Roman" w:cs="Times New Roman"/>
                <w:b/>
                <w:bCs/>
                <w:color w:val="000000"/>
                <w:sz w:val="18"/>
                <w:szCs w:val="18"/>
                <w:lang w:eastAsia="en-GB"/>
              </w:rPr>
              <w:t>Events (group)/</w:t>
            </w:r>
            <w:r w:rsidRPr="004B723C">
              <w:rPr>
                <w:rFonts w:eastAsia="Times New Roman" w:cs="Times New Roman"/>
                <w:b/>
                <w:bCs/>
                <w:color w:val="000000"/>
                <w:sz w:val="18"/>
                <w:szCs w:val="18"/>
                <w:lang w:eastAsia="en-GB"/>
              </w:rPr>
              <w:br/>
              <w:t>N (group)</w:t>
            </w:r>
          </w:p>
        </w:tc>
        <w:tc>
          <w:tcPr>
            <w:tcW w:w="1529" w:type="dxa"/>
            <w:noWrap/>
            <w:vAlign w:val="center"/>
            <w:hideMark/>
          </w:tcPr>
          <w:p w14:paraId="7A1E6623" w14:textId="77777777" w:rsidR="00F252F5" w:rsidRPr="004B723C" w:rsidRDefault="00F252F5" w:rsidP="007F3A2D">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eastAsia="en-GB"/>
              </w:rPr>
            </w:pPr>
            <w:r w:rsidRPr="004B723C">
              <w:rPr>
                <w:rFonts w:eastAsia="Times New Roman" w:cs="Times New Roman"/>
                <w:b/>
                <w:bCs/>
                <w:color w:val="000000"/>
                <w:sz w:val="18"/>
                <w:szCs w:val="18"/>
                <w:lang w:eastAsia="en-GB"/>
              </w:rPr>
              <w:t>HR</w:t>
            </w:r>
            <w:r w:rsidRPr="004B723C">
              <w:rPr>
                <w:rFonts w:eastAsia="Times New Roman" w:cs="Times New Roman"/>
                <w:b/>
                <w:bCs/>
                <w:color w:val="000000"/>
                <w:sz w:val="18"/>
                <w:szCs w:val="18"/>
                <w:lang w:eastAsia="en-GB"/>
              </w:rPr>
              <w:br/>
              <w:t>(95% CI)</w:t>
            </w:r>
          </w:p>
        </w:tc>
        <w:tc>
          <w:tcPr>
            <w:tcW w:w="1374" w:type="dxa"/>
            <w:noWrap/>
            <w:vAlign w:val="center"/>
            <w:hideMark/>
          </w:tcPr>
          <w:p w14:paraId="7B4151B6" w14:textId="3AE1AEF2" w:rsidR="00F252F5" w:rsidRPr="004B723C" w:rsidRDefault="0038327E" w:rsidP="007F3A2D">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eastAsia="en-GB"/>
              </w:rPr>
            </w:pPr>
            <w:r>
              <w:rPr>
                <w:rFonts w:eastAsia="Times New Roman" w:cs="Times New Roman"/>
                <w:b/>
                <w:bCs/>
                <w:color w:val="000000"/>
                <w:sz w:val="18"/>
                <w:szCs w:val="18"/>
                <w:lang w:eastAsia="en-GB"/>
              </w:rPr>
              <w:t>P</w:t>
            </w:r>
            <w:r w:rsidR="00F252F5" w:rsidRPr="004B723C">
              <w:rPr>
                <w:rFonts w:eastAsia="Times New Roman" w:cs="Times New Roman"/>
                <w:b/>
                <w:bCs/>
                <w:color w:val="000000"/>
                <w:sz w:val="18"/>
                <w:szCs w:val="18"/>
                <w:lang w:eastAsia="en-GB"/>
              </w:rPr>
              <w:t xml:space="preserve"> value</w:t>
            </w:r>
          </w:p>
        </w:tc>
        <w:tc>
          <w:tcPr>
            <w:tcW w:w="956" w:type="dxa"/>
            <w:noWrap/>
            <w:vAlign w:val="center"/>
            <w:hideMark/>
          </w:tcPr>
          <w:p w14:paraId="13E89CD8" w14:textId="13A08AAF" w:rsidR="00F252F5" w:rsidRPr="004B723C" w:rsidRDefault="00F252F5" w:rsidP="007F3A2D">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eastAsia="en-GB"/>
              </w:rPr>
            </w:pPr>
            <w:r w:rsidRPr="004B723C">
              <w:rPr>
                <w:rFonts w:eastAsia="Times New Roman" w:cs="Times New Roman"/>
                <w:b/>
                <w:bCs/>
                <w:color w:val="000000"/>
                <w:sz w:val="18"/>
                <w:szCs w:val="18"/>
                <w:lang w:eastAsia="en-GB"/>
              </w:rPr>
              <w:t>Events/</w:t>
            </w:r>
            <w:r w:rsidRPr="004B723C">
              <w:rPr>
                <w:rFonts w:eastAsia="Times New Roman" w:cs="Times New Roman"/>
                <w:b/>
                <w:bCs/>
                <w:color w:val="000000"/>
                <w:sz w:val="18"/>
                <w:szCs w:val="18"/>
                <w:lang w:eastAsia="en-GB"/>
              </w:rPr>
              <w:br/>
              <w:t xml:space="preserve">N </w:t>
            </w:r>
            <w:r w:rsidR="00C519B9" w:rsidRPr="004B723C">
              <w:rPr>
                <w:rFonts w:eastAsia="Times New Roman" w:cs="Times New Roman"/>
                <w:b/>
                <w:bCs/>
                <w:color w:val="000000"/>
                <w:sz w:val="18"/>
                <w:szCs w:val="18"/>
                <w:lang w:eastAsia="en-GB"/>
              </w:rPr>
              <w:t>analyzed</w:t>
            </w:r>
          </w:p>
        </w:tc>
        <w:tc>
          <w:tcPr>
            <w:tcW w:w="1252" w:type="dxa"/>
            <w:noWrap/>
            <w:vAlign w:val="center"/>
            <w:hideMark/>
          </w:tcPr>
          <w:p w14:paraId="5DD5C955" w14:textId="77777777" w:rsidR="00F252F5" w:rsidRPr="004B723C" w:rsidRDefault="00F252F5" w:rsidP="007F3A2D">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eastAsia="en-GB"/>
              </w:rPr>
            </w:pPr>
            <w:r w:rsidRPr="004B723C">
              <w:rPr>
                <w:rFonts w:eastAsia="Times New Roman" w:cs="Times New Roman"/>
                <w:b/>
                <w:bCs/>
                <w:color w:val="000000"/>
                <w:sz w:val="18"/>
                <w:szCs w:val="18"/>
                <w:lang w:eastAsia="en-GB"/>
              </w:rPr>
              <w:t>Events (group)/</w:t>
            </w:r>
            <w:r w:rsidRPr="004B723C">
              <w:rPr>
                <w:rFonts w:eastAsia="Times New Roman" w:cs="Times New Roman"/>
                <w:b/>
                <w:bCs/>
                <w:color w:val="000000"/>
                <w:sz w:val="18"/>
                <w:szCs w:val="18"/>
                <w:lang w:eastAsia="en-GB"/>
              </w:rPr>
              <w:br/>
              <w:t>N (group)</w:t>
            </w:r>
          </w:p>
        </w:tc>
        <w:tc>
          <w:tcPr>
            <w:tcW w:w="1529" w:type="dxa"/>
            <w:noWrap/>
            <w:vAlign w:val="center"/>
            <w:hideMark/>
          </w:tcPr>
          <w:p w14:paraId="6D99AAED" w14:textId="77777777" w:rsidR="00F252F5" w:rsidRPr="004B723C" w:rsidRDefault="00F252F5" w:rsidP="007F3A2D">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eastAsia="en-GB"/>
              </w:rPr>
            </w:pPr>
            <w:r w:rsidRPr="004B723C">
              <w:rPr>
                <w:rFonts w:eastAsia="Times New Roman" w:cs="Times New Roman"/>
                <w:b/>
                <w:bCs/>
                <w:color w:val="000000"/>
                <w:sz w:val="18"/>
                <w:szCs w:val="18"/>
                <w:lang w:eastAsia="en-GB"/>
              </w:rPr>
              <w:t>Adjusted HR</w:t>
            </w:r>
            <w:r w:rsidRPr="004B723C">
              <w:rPr>
                <w:rFonts w:eastAsia="Times New Roman" w:cs="Times New Roman"/>
                <w:b/>
                <w:bCs/>
                <w:color w:val="000000"/>
                <w:sz w:val="18"/>
                <w:szCs w:val="18"/>
                <w:lang w:eastAsia="en-GB"/>
              </w:rPr>
              <w:br/>
              <w:t>(95% CI)</w:t>
            </w:r>
          </w:p>
        </w:tc>
        <w:tc>
          <w:tcPr>
            <w:tcW w:w="1374" w:type="dxa"/>
            <w:noWrap/>
            <w:vAlign w:val="center"/>
            <w:hideMark/>
          </w:tcPr>
          <w:p w14:paraId="3B3F3943" w14:textId="6EBADE85" w:rsidR="00F252F5" w:rsidRPr="004B723C" w:rsidRDefault="0038327E" w:rsidP="007F3A2D">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eastAsia="en-GB"/>
              </w:rPr>
            </w:pPr>
            <w:r>
              <w:rPr>
                <w:rFonts w:eastAsia="Times New Roman" w:cs="Times New Roman"/>
                <w:b/>
                <w:bCs/>
                <w:color w:val="000000"/>
                <w:sz w:val="18"/>
                <w:szCs w:val="18"/>
                <w:lang w:eastAsia="en-GB"/>
              </w:rPr>
              <w:t>P</w:t>
            </w:r>
            <w:r w:rsidR="00F252F5" w:rsidRPr="004B723C">
              <w:rPr>
                <w:rFonts w:eastAsia="Times New Roman" w:cs="Times New Roman"/>
                <w:b/>
                <w:bCs/>
                <w:color w:val="000000"/>
                <w:sz w:val="18"/>
                <w:szCs w:val="18"/>
                <w:lang w:eastAsia="en-GB"/>
              </w:rPr>
              <w:t xml:space="preserve"> value</w:t>
            </w:r>
          </w:p>
        </w:tc>
      </w:tr>
      <w:tr w:rsidR="00F252F5" w:rsidRPr="004B723C" w14:paraId="606C1DCB" w14:textId="77777777" w:rsidTr="007F3A2D">
        <w:trPr>
          <w:trHeight w:val="300"/>
          <w:jc w:val="center"/>
        </w:trPr>
        <w:tc>
          <w:tcPr>
            <w:cnfStyle w:val="001000000000" w:firstRow="0" w:lastRow="0" w:firstColumn="1" w:lastColumn="0" w:oddVBand="0" w:evenVBand="0" w:oddHBand="0" w:evenHBand="0" w:firstRowFirstColumn="0" w:firstRowLastColumn="0" w:lastRowFirstColumn="0" w:lastRowLastColumn="0"/>
            <w:tcW w:w="2825" w:type="dxa"/>
            <w:noWrap/>
            <w:vAlign w:val="center"/>
          </w:tcPr>
          <w:p w14:paraId="12037F3B" w14:textId="77777777" w:rsidR="00F252F5" w:rsidRPr="004B723C" w:rsidRDefault="00F252F5" w:rsidP="007F3A2D">
            <w:pPr>
              <w:spacing w:line="360" w:lineRule="auto"/>
              <w:jc w:val="center"/>
              <w:rPr>
                <w:rFonts w:eastAsia="Times New Roman" w:cs="Times New Roman"/>
                <w:color w:val="000000"/>
                <w:sz w:val="18"/>
                <w:szCs w:val="18"/>
                <w:lang w:eastAsia="en-GB"/>
              </w:rPr>
            </w:pPr>
          </w:p>
        </w:tc>
        <w:tc>
          <w:tcPr>
            <w:tcW w:w="937" w:type="dxa"/>
            <w:noWrap/>
            <w:vAlign w:val="center"/>
          </w:tcPr>
          <w:p w14:paraId="2B34A9B7" w14:textId="77777777"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5111" w:type="dxa"/>
            <w:gridSpan w:val="4"/>
            <w:noWrap/>
            <w:vAlign w:val="center"/>
          </w:tcPr>
          <w:p w14:paraId="1E5F9C90" w14:textId="77777777"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b/>
                <w:bCs/>
                <w:color w:val="000000"/>
                <w:sz w:val="18"/>
                <w:szCs w:val="18"/>
                <w:lang w:eastAsia="en-GB"/>
              </w:rPr>
              <w:t>UNIVARIABLE ANALYSIS</w:t>
            </w:r>
          </w:p>
        </w:tc>
        <w:tc>
          <w:tcPr>
            <w:tcW w:w="5111" w:type="dxa"/>
            <w:gridSpan w:val="4"/>
            <w:noWrap/>
            <w:vAlign w:val="center"/>
          </w:tcPr>
          <w:p w14:paraId="5505F3F0" w14:textId="77777777"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b/>
                <w:bCs/>
                <w:color w:val="000000"/>
                <w:sz w:val="18"/>
                <w:szCs w:val="18"/>
                <w:lang w:eastAsia="en-GB"/>
              </w:rPr>
              <w:t>MULTIVARIABLE ANALYSIS</w:t>
            </w:r>
          </w:p>
        </w:tc>
      </w:tr>
      <w:tr w:rsidR="0098697B" w:rsidRPr="004B723C" w14:paraId="1D9E6EA8" w14:textId="77777777" w:rsidTr="007F3A2D">
        <w:trPr>
          <w:trHeight w:val="300"/>
          <w:jc w:val="center"/>
        </w:trPr>
        <w:tc>
          <w:tcPr>
            <w:cnfStyle w:val="001000000000" w:firstRow="0" w:lastRow="0" w:firstColumn="1" w:lastColumn="0" w:oddVBand="0" w:evenVBand="0" w:oddHBand="0" w:evenHBand="0" w:firstRowFirstColumn="0" w:firstRowLastColumn="0" w:lastRowFirstColumn="0" w:lastRowLastColumn="0"/>
            <w:tcW w:w="2825" w:type="dxa"/>
            <w:noWrap/>
            <w:vAlign w:val="center"/>
            <w:hideMark/>
          </w:tcPr>
          <w:p w14:paraId="2EBFEC42" w14:textId="77777777" w:rsidR="00F252F5" w:rsidRPr="004B723C" w:rsidRDefault="00F252F5" w:rsidP="007F3A2D">
            <w:pPr>
              <w:spacing w:line="360" w:lineRule="auto"/>
              <w:rPr>
                <w:rFonts w:eastAsia="Times New Roman" w:cs="Times New Roman"/>
                <w:color w:val="000000"/>
                <w:sz w:val="18"/>
                <w:szCs w:val="18"/>
                <w:lang w:eastAsia="en-GB"/>
              </w:rPr>
            </w:pPr>
            <w:r w:rsidRPr="004B723C">
              <w:rPr>
                <w:rFonts w:eastAsia="Times New Roman" w:cs="Times New Roman"/>
                <w:color w:val="000000"/>
                <w:sz w:val="18"/>
                <w:szCs w:val="18"/>
                <w:lang w:eastAsia="en-GB"/>
              </w:rPr>
              <w:t>Calendar year of transplantation (per year)</w:t>
            </w:r>
          </w:p>
        </w:tc>
        <w:tc>
          <w:tcPr>
            <w:tcW w:w="937" w:type="dxa"/>
            <w:noWrap/>
            <w:vAlign w:val="center"/>
            <w:hideMark/>
          </w:tcPr>
          <w:p w14:paraId="13D76EF4" w14:textId="77777777"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w:t>
            </w:r>
          </w:p>
        </w:tc>
        <w:tc>
          <w:tcPr>
            <w:tcW w:w="956" w:type="dxa"/>
            <w:noWrap/>
            <w:vAlign w:val="center"/>
            <w:hideMark/>
          </w:tcPr>
          <w:p w14:paraId="4AC84B59" w14:textId="77777777"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249/2,314</w:t>
            </w:r>
          </w:p>
        </w:tc>
        <w:tc>
          <w:tcPr>
            <w:tcW w:w="1252" w:type="dxa"/>
            <w:noWrap/>
            <w:vAlign w:val="center"/>
            <w:hideMark/>
          </w:tcPr>
          <w:p w14:paraId="00FF84D4" w14:textId="77777777"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w:t>
            </w:r>
          </w:p>
        </w:tc>
        <w:tc>
          <w:tcPr>
            <w:tcW w:w="1529" w:type="dxa"/>
            <w:noWrap/>
            <w:vAlign w:val="center"/>
            <w:hideMark/>
          </w:tcPr>
          <w:p w14:paraId="65977747" w14:textId="77777777"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0.98 (0.95–1.00)</w:t>
            </w:r>
          </w:p>
        </w:tc>
        <w:tc>
          <w:tcPr>
            <w:tcW w:w="1374" w:type="dxa"/>
            <w:noWrap/>
            <w:vAlign w:val="center"/>
            <w:hideMark/>
          </w:tcPr>
          <w:p w14:paraId="7EC7DCD2" w14:textId="10F52070"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w:t>
            </w:r>
            <w:r w:rsidR="009B49E1" w:rsidRPr="004B723C">
              <w:rPr>
                <w:rFonts w:cs="Times New Roman"/>
                <w:color w:val="000000"/>
                <w:sz w:val="18"/>
                <w:szCs w:val="18"/>
              </w:rPr>
              <w:t>.</w:t>
            </w:r>
            <w:r w:rsidRPr="004B723C">
              <w:rPr>
                <w:rFonts w:cs="Times New Roman"/>
                <w:color w:val="000000"/>
                <w:sz w:val="18"/>
                <w:szCs w:val="18"/>
              </w:rPr>
              <w:t>063</w:t>
            </w:r>
          </w:p>
        </w:tc>
        <w:tc>
          <w:tcPr>
            <w:tcW w:w="956" w:type="dxa"/>
            <w:noWrap/>
            <w:vAlign w:val="center"/>
            <w:hideMark/>
          </w:tcPr>
          <w:p w14:paraId="546F5D86" w14:textId="77777777"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248/2,313</w:t>
            </w:r>
          </w:p>
        </w:tc>
        <w:tc>
          <w:tcPr>
            <w:tcW w:w="1252" w:type="dxa"/>
            <w:noWrap/>
            <w:vAlign w:val="center"/>
            <w:hideMark/>
          </w:tcPr>
          <w:p w14:paraId="4F63B39F" w14:textId="77777777"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w:t>
            </w:r>
          </w:p>
        </w:tc>
        <w:tc>
          <w:tcPr>
            <w:tcW w:w="1529" w:type="dxa"/>
            <w:noWrap/>
            <w:vAlign w:val="center"/>
            <w:hideMark/>
          </w:tcPr>
          <w:p w14:paraId="3EEEC1B7" w14:textId="77777777"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0.96 (0.93–0.99)</w:t>
            </w:r>
          </w:p>
        </w:tc>
        <w:tc>
          <w:tcPr>
            <w:tcW w:w="1374" w:type="dxa"/>
            <w:noWrap/>
            <w:vAlign w:val="center"/>
            <w:hideMark/>
          </w:tcPr>
          <w:p w14:paraId="688A52FC" w14:textId="26EA1965"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w:t>
            </w:r>
            <w:r w:rsidR="009B49E1" w:rsidRPr="004B723C">
              <w:rPr>
                <w:rFonts w:cs="Times New Roman"/>
                <w:color w:val="000000"/>
                <w:sz w:val="18"/>
                <w:szCs w:val="18"/>
              </w:rPr>
              <w:t>.</w:t>
            </w:r>
            <w:r w:rsidRPr="004B723C">
              <w:rPr>
                <w:rFonts w:cs="Times New Roman"/>
                <w:color w:val="000000"/>
                <w:sz w:val="18"/>
                <w:szCs w:val="18"/>
              </w:rPr>
              <w:t>0088</w:t>
            </w:r>
          </w:p>
        </w:tc>
      </w:tr>
      <w:tr w:rsidR="0098697B" w:rsidRPr="004B723C" w14:paraId="15A105DD" w14:textId="77777777" w:rsidTr="007F3A2D">
        <w:trPr>
          <w:trHeight w:val="300"/>
          <w:jc w:val="center"/>
        </w:trPr>
        <w:tc>
          <w:tcPr>
            <w:cnfStyle w:val="001000000000" w:firstRow="0" w:lastRow="0" w:firstColumn="1" w:lastColumn="0" w:oddVBand="0" w:evenVBand="0" w:oddHBand="0" w:evenHBand="0" w:firstRowFirstColumn="0" w:firstRowLastColumn="0" w:lastRowFirstColumn="0" w:lastRowLastColumn="0"/>
            <w:tcW w:w="2825" w:type="dxa"/>
            <w:noWrap/>
            <w:vAlign w:val="center"/>
            <w:hideMark/>
          </w:tcPr>
          <w:p w14:paraId="6207E617" w14:textId="77777777" w:rsidR="00F252F5" w:rsidRPr="004B723C" w:rsidRDefault="00F252F5" w:rsidP="007F3A2D">
            <w:pPr>
              <w:spacing w:line="360" w:lineRule="auto"/>
              <w:rPr>
                <w:rFonts w:eastAsia="Times New Roman" w:cs="Times New Roman"/>
                <w:color w:val="000000"/>
                <w:sz w:val="18"/>
                <w:szCs w:val="18"/>
                <w:lang w:eastAsia="en-GB"/>
              </w:rPr>
            </w:pPr>
            <w:r w:rsidRPr="004B723C">
              <w:rPr>
                <w:rFonts w:eastAsia="Times New Roman" w:cs="Times New Roman"/>
                <w:color w:val="000000"/>
                <w:sz w:val="18"/>
                <w:szCs w:val="18"/>
                <w:lang w:eastAsia="en-GB"/>
              </w:rPr>
              <w:t>Centre</w:t>
            </w:r>
          </w:p>
        </w:tc>
        <w:tc>
          <w:tcPr>
            <w:tcW w:w="937" w:type="dxa"/>
            <w:noWrap/>
            <w:vAlign w:val="center"/>
            <w:hideMark/>
          </w:tcPr>
          <w:p w14:paraId="6412EFFF" w14:textId="77777777"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Basel</w:t>
            </w:r>
          </w:p>
        </w:tc>
        <w:tc>
          <w:tcPr>
            <w:tcW w:w="956" w:type="dxa"/>
            <w:noWrap/>
            <w:vAlign w:val="center"/>
            <w:hideMark/>
          </w:tcPr>
          <w:p w14:paraId="458DFC34" w14:textId="77777777"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249/2,314</w:t>
            </w:r>
          </w:p>
        </w:tc>
        <w:tc>
          <w:tcPr>
            <w:tcW w:w="1252" w:type="dxa"/>
            <w:noWrap/>
            <w:vAlign w:val="center"/>
            <w:hideMark/>
          </w:tcPr>
          <w:p w14:paraId="73112650" w14:textId="77777777"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43/423</w:t>
            </w:r>
          </w:p>
        </w:tc>
        <w:tc>
          <w:tcPr>
            <w:tcW w:w="1529" w:type="dxa"/>
            <w:noWrap/>
            <w:vAlign w:val="center"/>
            <w:hideMark/>
          </w:tcPr>
          <w:p w14:paraId="73F7B994" w14:textId="7DDCEDB6" w:rsidR="00F252F5" w:rsidRPr="004B723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1374" w:type="dxa"/>
            <w:noWrap/>
            <w:vAlign w:val="center"/>
            <w:hideMark/>
          </w:tcPr>
          <w:p w14:paraId="01975FFA" w14:textId="1F985DE6" w:rsidR="00F252F5" w:rsidRPr="004B723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956" w:type="dxa"/>
            <w:noWrap/>
            <w:vAlign w:val="center"/>
            <w:hideMark/>
          </w:tcPr>
          <w:p w14:paraId="27499B04" w14:textId="77777777"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248/2,313</w:t>
            </w:r>
          </w:p>
        </w:tc>
        <w:tc>
          <w:tcPr>
            <w:tcW w:w="1252" w:type="dxa"/>
            <w:noWrap/>
            <w:vAlign w:val="center"/>
            <w:hideMark/>
          </w:tcPr>
          <w:p w14:paraId="4DCCADD6" w14:textId="77777777"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43/423</w:t>
            </w:r>
          </w:p>
        </w:tc>
        <w:tc>
          <w:tcPr>
            <w:tcW w:w="1529" w:type="dxa"/>
            <w:noWrap/>
            <w:vAlign w:val="center"/>
            <w:hideMark/>
          </w:tcPr>
          <w:p w14:paraId="4035D7BA" w14:textId="335700EB" w:rsidR="00F252F5" w:rsidRPr="004B723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1374" w:type="dxa"/>
            <w:noWrap/>
            <w:vAlign w:val="center"/>
            <w:hideMark/>
          </w:tcPr>
          <w:p w14:paraId="6CA1C8CB" w14:textId="2BCB1256" w:rsidR="00F252F5" w:rsidRPr="004B723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r>
      <w:tr w:rsidR="0098697B" w:rsidRPr="004B723C" w14:paraId="70D772BC" w14:textId="77777777" w:rsidTr="007F3A2D">
        <w:trPr>
          <w:trHeight w:val="300"/>
          <w:jc w:val="center"/>
        </w:trPr>
        <w:tc>
          <w:tcPr>
            <w:cnfStyle w:val="001000000000" w:firstRow="0" w:lastRow="0" w:firstColumn="1" w:lastColumn="0" w:oddVBand="0" w:evenVBand="0" w:oddHBand="0" w:evenHBand="0" w:firstRowFirstColumn="0" w:firstRowLastColumn="0" w:lastRowFirstColumn="0" w:lastRowLastColumn="0"/>
            <w:tcW w:w="2825" w:type="dxa"/>
            <w:noWrap/>
            <w:vAlign w:val="center"/>
          </w:tcPr>
          <w:p w14:paraId="5D6ABB56" w14:textId="77777777" w:rsidR="00F252F5" w:rsidRPr="004B723C" w:rsidRDefault="00F252F5" w:rsidP="007F3A2D">
            <w:pPr>
              <w:spacing w:line="360" w:lineRule="auto"/>
              <w:rPr>
                <w:rFonts w:eastAsia="Times New Roman" w:cs="Times New Roman"/>
                <w:color w:val="000000"/>
                <w:sz w:val="18"/>
                <w:szCs w:val="18"/>
                <w:lang w:eastAsia="en-GB"/>
              </w:rPr>
            </w:pPr>
          </w:p>
        </w:tc>
        <w:tc>
          <w:tcPr>
            <w:tcW w:w="937" w:type="dxa"/>
            <w:noWrap/>
            <w:vAlign w:val="center"/>
            <w:hideMark/>
          </w:tcPr>
          <w:p w14:paraId="62A1BA17" w14:textId="77777777"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Leuven</w:t>
            </w:r>
          </w:p>
        </w:tc>
        <w:tc>
          <w:tcPr>
            <w:tcW w:w="956" w:type="dxa"/>
            <w:noWrap/>
            <w:vAlign w:val="center"/>
          </w:tcPr>
          <w:p w14:paraId="716CFB1D" w14:textId="1E91B94A"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252" w:type="dxa"/>
            <w:noWrap/>
            <w:vAlign w:val="center"/>
            <w:hideMark/>
          </w:tcPr>
          <w:p w14:paraId="7CEA83EA" w14:textId="77777777"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206/1,891</w:t>
            </w:r>
          </w:p>
        </w:tc>
        <w:tc>
          <w:tcPr>
            <w:tcW w:w="1529" w:type="dxa"/>
            <w:noWrap/>
            <w:vAlign w:val="center"/>
            <w:hideMark/>
          </w:tcPr>
          <w:p w14:paraId="4BD395ED" w14:textId="77777777"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1.02 (0.73–1.42)</w:t>
            </w:r>
          </w:p>
        </w:tc>
        <w:tc>
          <w:tcPr>
            <w:tcW w:w="1374" w:type="dxa"/>
            <w:noWrap/>
            <w:vAlign w:val="center"/>
            <w:hideMark/>
          </w:tcPr>
          <w:p w14:paraId="0F2B90EC" w14:textId="288B345A"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w:t>
            </w:r>
            <w:r w:rsidR="009B49E1" w:rsidRPr="004B723C">
              <w:rPr>
                <w:rFonts w:cs="Times New Roman"/>
                <w:color w:val="000000"/>
                <w:sz w:val="18"/>
                <w:szCs w:val="18"/>
              </w:rPr>
              <w:t>.</w:t>
            </w:r>
            <w:r w:rsidRPr="004B723C">
              <w:rPr>
                <w:rFonts w:cs="Times New Roman"/>
                <w:color w:val="000000"/>
                <w:sz w:val="18"/>
                <w:szCs w:val="18"/>
              </w:rPr>
              <w:t>9</w:t>
            </w:r>
          </w:p>
        </w:tc>
        <w:tc>
          <w:tcPr>
            <w:tcW w:w="956" w:type="dxa"/>
            <w:noWrap/>
            <w:vAlign w:val="center"/>
          </w:tcPr>
          <w:p w14:paraId="15636FD3" w14:textId="7E2F7AE2"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252" w:type="dxa"/>
            <w:noWrap/>
            <w:vAlign w:val="center"/>
            <w:hideMark/>
          </w:tcPr>
          <w:p w14:paraId="22C5AD13" w14:textId="77777777"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205/1,890</w:t>
            </w:r>
          </w:p>
        </w:tc>
        <w:tc>
          <w:tcPr>
            <w:tcW w:w="1529" w:type="dxa"/>
            <w:noWrap/>
            <w:vAlign w:val="center"/>
            <w:hideMark/>
          </w:tcPr>
          <w:p w14:paraId="148D66F4" w14:textId="77777777"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0.77 (0.51–1.17)</w:t>
            </w:r>
          </w:p>
        </w:tc>
        <w:tc>
          <w:tcPr>
            <w:tcW w:w="1374" w:type="dxa"/>
            <w:noWrap/>
            <w:vAlign w:val="center"/>
            <w:hideMark/>
          </w:tcPr>
          <w:p w14:paraId="0FB36933" w14:textId="7F6422A1"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w:t>
            </w:r>
            <w:r w:rsidR="009B49E1" w:rsidRPr="004B723C">
              <w:rPr>
                <w:rFonts w:cs="Times New Roman"/>
                <w:color w:val="000000"/>
                <w:sz w:val="18"/>
                <w:szCs w:val="18"/>
              </w:rPr>
              <w:t>.</w:t>
            </w:r>
            <w:r w:rsidRPr="004B723C">
              <w:rPr>
                <w:rFonts w:cs="Times New Roman"/>
                <w:color w:val="000000"/>
                <w:sz w:val="18"/>
                <w:szCs w:val="18"/>
              </w:rPr>
              <w:t>23</w:t>
            </w:r>
          </w:p>
        </w:tc>
      </w:tr>
      <w:tr w:rsidR="0098697B" w:rsidRPr="004B723C" w14:paraId="1711EF82" w14:textId="77777777" w:rsidTr="007F3A2D">
        <w:trPr>
          <w:trHeight w:val="300"/>
          <w:jc w:val="center"/>
        </w:trPr>
        <w:tc>
          <w:tcPr>
            <w:cnfStyle w:val="001000000000" w:firstRow="0" w:lastRow="0" w:firstColumn="1" w:lastColumn="0" w:oddVBand="0" w:evenVBand="0" w:oddHBand="0" w:evenHBand="0" w:firstRowFirstColumn="0" w:firstRowLastColumn="0" w:lastRowFirstColumn="0" w:lastRowLastColumn="0"/>
            <w:tcW w:w="2825" w:type="dxa"/>
            <w:noWrap/>
            <w:vAlign w:val="center"/>
            <w:hideMark/>
          </w:tcPr>
          <w:p w14:paraId="145992C1" w14:textId="3F9174B2" w:rsidR="00F252F5" w:rsidRPr="004B723C" w:rsidRDefault="00F252F5" w:rsidP="007F3A2D">
            <w:pPr>
              <w:spacing w:line="360" w:lineRule="auto"/>
              <w:rPr>
                <w:rFonts w:eastAsia="Times New Roman" w:cs="Times New Roman"/>
                <w:color w:val="000000"/>
                <w:sz w:val="18"/>
                <w:szCs w:val="18"/>
                <w:lang w:eastAsia="en-GB"/>
              </w:rPr>
            </w:pPr>
            <w:r w:rsidRPr="004B723C">
              <w:rPr>
                <w:rFonts w:eastAsia="Times New Roman" w:cs="Times New Roman"/>
                <w:color w:val="000000"/>
                <w:sz w:val="18"/>
                <w:szCs w:val="18"/>
                <w:lang w:eastAsia="en-GB"/>
              </w:rPr>
              <w:t xml:space="preserve">Cold </w:t>
            </w:r>
            <w:r w:rsidR="00C519B9" w:rsidRPr="004B723C">
              <w:rPr>
                <w:rFonts w:eastAsia="Times New Roman" w:cs="Times New Roman"/>
                <w:color w:val="000000"/>
                <w:sz w:val="18"/>
                <w:szCs w:val="18"/>
                <w:lang w:eastAsia="en-GB"/>
              </w:rPr>
              <w:t>ischemia</w:t>
            </w:r>
            <w:r w:rsidRPr="004B723C">
              <w:rPr>
                <w:rFonts w:eastAsia="Times New Roman" w:cs="Times New Roman"/>
                <w:color w:val="000000"/>
                <w:sz w:val="18"/>
                <w:szCs w:val="18"/>
                <w:lang w:eastAsia="en-GB"/>
              </w:rPr>
              <w:t xml:space="preserve"> time (per 5 hours)</w:t>
            </w:r>
          </w:p>
        </w:tc>
        <w:tc>
          <w:tcPr>
            <w:tcW w:w="937" w:type="dxa"/>
            <w:noWrap/>
            <w:vAlign w:val="center"/>
            <w:hideMark/>
          </w:tcPr>
          <w:p w14:paraId="4B5FC4B6" w14:textId="77777777"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w:t>
            </w:r>
          </w:p>
        </w:tc>
        <w:tc>
          <w:tcPr>
            <w:tcW w:w="956" w:type="dxa"/>
            <w:noWrap/>
            <w:vAlign w:val="center"/>
            <w:hideMark/>
          </w:tcPr>
          <w:p w14:paraId="340A68B6" w14:textId="77777777"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248/2,313</w:t>
            </w:r>
          </w:p>
        </w:tc>
        <w:tc>
          <w:tcPr>
            <w:tcW w:w="1252" w:type="dxa"/>
            <w:noWrap/>
            <w:vAlign w:val="center"/>
            <w:hideMark/>
          </w:tcPr>
          <w:p w14:paraId="0E5FEBDB" w14:textId="77777777"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w:t>
            </w:r>
          </w:p>
        </w:tc>
        <w:tc>
          <w:tcPr>
            <w:tcW w:w="1529" w:type="dxa"/>
            <w:noWrap/>
            <w:vAlign w:val="center"/>
            <w:hideMark/>
          </w:tcPr>
          <w:p w14:paraId="10E7ECF4" w14:textId="77777777"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1.10 (0.99–1.21)</w:t>
            </w:r>
          </w:p>
        </w:tc>
        <w:tc>
          <w:tcPr>
            <w:tcW w:w="1374" w:type="dxa"/>
            <w:noWrap/>
            <w:vAlign w:val="center"/>
            <w:hideMark/>
          </w:tcPr>
          <w:p w14:paraId="2C7A0F8E" w14:textId="4A36B465"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w:t>
            </w:r>
            <w:r w:rsidR="009B49E1" w:rsidRPr="004B723C">
              <w:rPr>
                <w:rFonts w:cs="Times New Roman"/>
                <w:color w:val="000000"/>
                <w:sz w:val="18"/>
                <w:szCs w:val="18"/>
              </w:rPr>
              <w:t>.</w:t>
            </w:r>
            <w:r w:rsidRPr="004B723C">
              <w:rPr>
                <w:rFonts w:cs="Times New Roman"/>
                <w:color w:val="000000"/>
                <w:sz w:val="18"/>
                <w:szCs w:val="18"/>
              </w:rPr>
              <w:t>077</w:t>
            </w:r>
          </w:p>
        </w:tc>
        <w:tc>
          <w:tcPr>
            <w:tcW w:w="956" w:type="dxa"/>
            <w:noWrap/>
            <w:vAlign w:val="center"/>
            <w:hideMark/>
          </w:tcPr>
          <w:p w14:paraId="61B375ED" w14:textId="77777777"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248/2,313</w:t>
            </w:r>
          </w:p>
        </w:tc>
        <w:tc>
          <w:tcPr>
            <w:tcW w:w="1252" w:type="dxa"/>
            <w:noWrap/>
            <w:vAlign w:val="center"/>
            <w:hideMark/>
          </w:tcPr>
          <w:p w14:paraId="3CBFFFE8" w14:textId="77777777"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w:t>
            </w:r>
          </w:p>
        </w:tc>
        <w:tc>
          <w:tcPr>
            <w:tcW w:w="1529" w:type="dxa"/>
            <w:noWrap/>
            <w:vAlign w:val="center"/>
            <w:hideMark/>
          </w:tcPr>
          <w:p w14:paraId="2CC935F5" w14:textId="77777777"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0.91 (0.78–1.05)</w:t>
            </w:r>
          </w:p>
        </w:tc>
        <w:tc>
          <w:tcPr>
            <w:tcW w:w="1374" w:type="dxa"/>
            <w:noWrap/>
            <w:vAlign w:val="center"/>
            <w:hideMark/>
          </w:tcPr>
          <w:p w14:paraId="3E27C734" w14:textId="2FB35777"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w:t>
            </w:r>
            <w:r w:rsidR="009B49E1" w:rsidRPr="004B723C">
              <w:rPr>
                <w:rFonts w:cs="Times New Roman"/>
                <w:color w:val="000000"/>
                <w:sz w:val="18"/>
                <w:szCs w:val="18"/>
              </w:rPr>
              <w:t>.</w:t>
            </w:r>
            <w:r w:rsidRPr="004B723C">
              <w:rPr>
                <w:rFonts w:cs="Times New Roman"/>
                <w:color w:val="000000"/>
                <w:sz w:val="18"/>
                <w:szCs w:val="18"/>
              </w:rPr>
              <w:t>19</w:t>
            </w:r>
          </w:p>
        </w:tc>
      </w:tr>
      <w:tr w:rsidR="0098697B" w:rsidRPr="004B723C" w14:paraId="755610B3" w14:textId="77777777" w:rsidTr="007F3A2D">
        <w:trPr>
          <w:trHeight w:val="300"/>
          <w:jc w:val="center"/>
        </w:trPr>
        <w:tc>
          <w:tcPr>
            <w:cnfStyle w:val="001000000000" w:firstRow="0" w:lastRow="0" w:firstColumn="1" w:lastColumn="0" w:oddVBand="0" w:evenVBand="0" w:oddHBand="0" w:evenHBand="0" w:firstRowFirstColumn="0" w:firstRowLastColumn="0" w:lastRowFirstColumn="0" w:lastRowLastColumn="0"/>
            <w:tcW w:w="2825" w:type="dxa"/>
            <w:noWrap/>
            <w:vAlign w:val="center"/>
            <w:hideMark/>
          </w:tcPr>
          <w:p w14:paraId="261E0AFF" w14:textId="77777777" w:rsidR="00F252F5" w:rsidRPr="004B723C" w:rsidRDefault="00F252F5" w:rsidP="007F3A2D">
            <w:pPr>
              <w:spacing w:line="360" w:lineRule="auto"/>
              <w:rPr>
                <w:rFonts w:eastAsia="Times New Roman" w:cs="Times New Roman"/>
                <w:color w:val="000000"/>
                <w:sz w:val="18"/>
                <w:szCs w:val="18"/>
                <w:lang w:eastAsia="en-GB"/>
              </w:rPr>
            </w:pPr>
            <w:r w:rsidRPr="004B723C">
              <w:rPr>
                <w:rFonts w:eastAsia="Times New Roman" w:cs="Times New Roman"/>
                <w:color w:val="000000"/>
                <w:sz w:val="18"/>
                <w:szCs w:val="18"/>
                <w:lang w:eastAsia="en-GB"/>
              </w:rPr>
              <w:t>Donor age (per 10 years)</w:t>
            </w:r>
          </w:p>
        </w:tc>
        <w:tc>
          <w:tcPr>
            <w:tcW w:w="937" w:type="dxa"/>
            <w:noWrap/>
            <w:vAlign w:val="center"/>
            <w:hideMark/>
          </w:tcPr>
          <w:p w14:paraId="69989806" w14:textId="77777777"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w:t>
            </w:r>
          </w:p>
        </w:tc>
        <w:tc>
          <w:tcPr>
            <w:tcW w:w="956" w:type="dxa"/>
            <w:noWrap/>
            <w:vAlign w:val="center"/>
            <w:hideMark/>
          </w:tcPr>
          <w:p w14:paraId="1E0D11A6" w14:textId="77777777"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249/2,314</w:t>
            </w:r>
          </w:p>
        </w:tc>
        <w:tc>
          <w:tcPr>
            <w:tcW w:w="1252" w:type="dxa"/>
            <w:noWrap/>
            <w:vAlign w:val="center"/>
            <w:hideMark/>
          </w:tcPr>
          <w:p w14:paraId="766ABD41" w14:textId="77777777"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w:t>
            </w:r>
          </w:p>
        </w:tc>
        <w:tc>
          <w:tcPr>
            <w:tcW w:w="1529" w:type="dxa"/>
            <w:noWrap/>
            <w:vAlign w:val="center"/>
            <w:hideMark/>
          </w:tcPr>
          <w:p w14:paraId="77EB7067" w14:textId="77777777"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1.15 (1.05–1.25)</w:t>
            </w:r>
          </w:p>
        </w:tc>
        <w:tc>
          <w:tcPr>
            <w:tcW w:w="1374" w:type="dxa"/>
            <w:noWrap/>
            <w:vAlign w:val="center"/>
            <w:hideMark/>
          </w:tcPr>
          <w:p w14:paraId="1E44211F" w14:textId="0E2F42BB"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w:t>
            </w:r>
            <w:r w:rsidR="009B49E1" w:rsidRPr="004B723C">
              <w:rPr>
                <w:rFonts w:cs="Times New Roman"/>
                <w:color w:val="000000"/>
                <w:sz w:val="18"/>
                <w:szCs w:val="18"/>
              </w:rPr>
              <w:t>.</w:t>
            </w:r>
            <w:r w:rsidRPr="004B723C">
              <w:rPr>
                <w:rFonts w:cs="Times New Roman"/>
                <w:color w:val="000000"/>
                <w:sz w:val="18"/>
                <w:szCs w:val="18"/>
              </w:rPr>
              <w:t>0025</w:t>
            </w:r>
          </w:p>
        </w:tc>
        <w:tc>
          <w:tcPr>
            <w:tcW w:w="956" w:type="dxa"/>
            <w:noWrap/>
            <w:vAlign w:val="center"/>
            <w:hideMark/>
          </w:tcPr>
          <w:p w14:paraId="36B765EC" w14:textId="77777777"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248/2,313</w:t>
            </w:r>
          </w:p>
        </w:tc>
        <w:tc>
          <w:tcPr>
            <w:tcW w:w="1252" w:type="dxa"/>
            <w:noWrap/>
            <w:vAlign w:val="center"/>
            <w:hideMark/>
          </w:tcPr>
          <w:p w14:paraId="34CDE966" w14:textId="77777777"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w:t>
            </w:r>
          </w:p>
        </w:tc>
        <w:tc>
          <w:tcPr>
            <w:tcW w:w="1529" w:type="dxa"/>
            <w:noWrap/>
            <w:vAlign w:val="center"/>
            <w:hideMark/>
          </w:tcPr>
          <w:p w14:paraId="5A7FBFA6" w14:textId="77777777"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1.12 (1.02–1.23)</w:t>
            </w:r>
          </w:p>
        </w:tc>
        <w:tc>
          <w:tcPr>
            <w:tcW w:w="1374" w:type="dxa"/>
            <w:noWrap/>
            <w:vAlign w:val="center"/>
            <w:hideMark/>
          </w:tcPr>
          <w:p w14:paraId="71E83C16" w14:textId="461FB2E3"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w:t>
            </w:r>
            <w:r w:rsidR="009B49E1" w:rsidRPr="004B723C">
              <w:rPr>
                <w:rFonts w:cs="Times New Roman"/>
                <w:color w:val="000000"/>
                <w:sz w:val="18"/>
                <w:szCs w:val="18"/>
              </w:rPr>
              <w:t>.</w:t>
            </w:r>
            <w:r w:rsidRPr="004B723C">
              <w:rPr>
                <w:rFonts w:cs="Times New Roman"/>
                <w:color w:val="000000"/>
                <w:sz w:val="18"/>
                <w:szCs w:val="18"/>
              </w:rPr>
              <w:t>018</w:t>
            </w:r>
          </w:p>
        </w:tc>
      </w:tr>
      <w:tr w:rsidR="0098697B" w:rsidRPr="004B723C" w14:paraId="095756A7" w14:textId="77777777" w:rsidTr="007F3A2D">
        <w:trPr>
          <w:trHeight w:val="300"/>
          <w:jc w:val="center"/>
        </w:trPr>
        <w:tc>
          <w:tcPr>
            <w:cnfStyle w:val="001000000000" w:firstRow="0" w:lastRow="0" w:firstColumn="1" w:lastColumn="0" w:oddVBand="0" w:evenVBand="0" w:oddHBand="0" w:evenHBand="0" w:firstRowFirstColumn="0" w:firstRowLastColumn="0" w:lastRowFirstColumn="0" w:lastRowLastColumn="0"/>
            <w:tcW w:w="2825" w:type="dxa"/>
            <w:noWrap/>
            <w:vAlign w:val="center"/>
            <w:hideMark/>
          </w:tcPr>
          <w:p w14:paraId="01CB94D9" w14:textId="77777777" w:rsidR="00F252F5" w:rsidRPr="004B723C" w:rsidRDefault="00F252F5" w:rsidP="007F3A2D">
            <w:pPr>
              <w:spacing w:line="360" w:lineRule="auto"/>
              <w:rPr>
                <w:rFonts w:eastAsia="Times New Roman" w:cs="Times New Roman"/>
                <w:color w:val="000000"/>
                <w:sz w:val="18"/>
                <w:szCs w:val="18"/>
                <w:lang w:eastAsia="en-GB"/>
              </w:rPr>
            </w:pPr>
            <w:r w:rsidRPr="004B723C">
              <w:rPr>
                <w:rFonts w:eastAsia="Times New Roman" w:cs="Times New Roman"/>
                <w:color w:val="000000"/>
                <w:sz w:val="18"/>
                <w:szCs w:val="18"/>
                <w:lang w:eastAsia="en-GB"/>
              </w:rPr>
              <w:t>Donor type</w:t>
            </w:r>
          </w:p>
        </w:tc>
        <w:tc>
          <w:tcPr>
            <w:tcW w:w="937" w:type="dxa"/>
            <w:noWrap/>
            <w:vAlign w:val="center"/>
            <w:hideMark/>
          </w:tcPr>
          <w:p w14:paraId="7A19F902" w14:textId="77777777"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Living</w:t>
            </w:r>
          </w:p>
        </w:tc>
        <w:tc>
          <w:tcPr>
            <w:tcW w:w="956" w:type="dxa"/>
            <w:noWrap/>
            <w:vAlign w:val="center"/>
            <w:hideMark/>
          </w:tcPr>
          <w:p w14:paraId="5172BA10" w14:textId="77777777"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249/2,314</w:t>
            </w:r>
          </w:p>
        </w:tc>
        <w:tc>
          <w:tcPr>
            <w:tcW w:w="1252" w:type="dxa"/>
            <w:noWrap/>
            <w:vAlign w:val="center"/>
            <w:hideMark/>
          </w:tcPr>
          <w:p w14:paraId="3958DDCA" w14:textId="77777777"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16/300</w:t>
            </w:r>
          </w:p>
        </w:tc>
        <w:tc>
          <w:tcPr>
            <w:tcW w:w="1529" w:type="dxa"/>
            <w:noWrap/>
            <w:vAlign w:val="center"/>
            <w:hideMark/>
          </w:tcPr>
          <w:p w14:paraId="21417064" w14:textId="491E75B9" w:rsidR="00F252F5" w:rsidRPr="004B723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1374" w:type="dxa"/>
            <w:noWrap/>
            <w:vAlign w:val="center"/>
            <w:hideMark/>
          </w:tcPr>
          <w:p w14:paraId="66817648" w14:textId="30970A15" w:rsidR="00F252F5" w:rsidRPr="004B723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956" w:type="dxa"/>
            <w:noWrap/>
            <w:vAlign w:val="center"/>
            <w:hideMark/>
          </w:tcPr>
          <w:p w14:paraId="0FA38CB7" w14:textId="77777777"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248/2,313</w:t>
            </w:r>
          </w:p>
        </w:tc>
        <w:tc>
          <w:tcPr>
            <w:tcW w:w="1252" w:type="dxa"/>
            <w:noWrap/>
            <w:vAlign w:val="center"/>
            <w:hideMark/>
          </w:tcPr>
          <w:p w14:paraId="1059F2D1" w14:textId="77777777"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16/300</w:t>
            </w:r>
          </w:p>
        </w:tc>
        <w:tc>
          <w:tcPr>
            <w:tcW w:w="1529" w:type="dxa"/>
            <w:noWrap/>
            <w:vAlign w:val="center"/>
            <w:hideMark/>
          </w:tcPr>
          <w:p w14:paraId="65C50774" w14:textId="2D6A933C" w:rsidR="00F252F5" w:rsidRPr="004B723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1374" w:type="dxa"/>
            <w:noWrap/>
            <w:vAlign w:val="center"/>
            <w:hideMark/>
          </w:tcPr>
          <w:p w14:paraId="52BBCA93" w14:textId="6C9F22D6" w:rsidR="00F252F5" w:rsidRPr="004B723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r>
      <w:tr w:rsidR="0098697B" w:rsidRPr="004B723C" w14:paraId="482A2A6E" w14:textId="77777777" w:rsidTr="007F3A2D">
        <w:trPr>
          <w:trHeight w:val="300"/>
          <w:jc w:val="center"/>
        </w:trPr>
        <w:tc>
          <w:tcPr>
            <w:cnfStyle w:val="001000000000" w:firstRow="0" w:lastRow="0" w:firstColumn="1" w:lastColumn="0" w:oddVBand="0" w:evenVBand="0" w:oddHBand="0" w:evenHBand="0" w:firstRowFirstColumn="0" w:firstRowLastColumn="0" w:lastRowFirstColumn="0" w:lastRowLastColumn="0"/>
            <w:tcW w:w="2825" w:type="dxa"/>
            <w:noWrap/>
            <w:vAlign w:val="center"/>
          </w:tcPr>
          <w:p w14:paraId="76A3F1B2" w14:textId="77777777" w:rsidR="0098697B" w:rsidRPr="004B723C" w:rsidRDefault="0098697B" w:rsidP="007F3A2D">
            <w:pPr>
              <w:spacing w:line="360" w:lineRule="auto"/>
              <w:rPr>
                <w:rFonts w:eastAsia="Times New Roman" w:cs="Times New Roman"/>
                <w:color w:val="000000"/>
                <w:sz w:val="18"/>
                <w:szCs w:val="18"/>
                <w:lang w:eastAsia="en-GB"/>
              </w:rPr>
            </w:pPr>
          </w:p>
        </w:tc>
        <w:tc>
          <w:tcPr>
            <w:tcW w:w="937" w:type="dxa"/>
            <w:noWrap/>
            <w:vAlign w:val="center"/>
            <w:hideMark/>
          </w:tcPr>
          <w:p w14:paraId="0A7C403D" w14:textId="77777777" w:rsidR="0098697B" w:rsidRPr="004B723C" w:rsidRDefault="0098697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DBD</w:t>
            </w:r>
          </w:p>
        </w:tc>
        <w:tc>
          <w:tcPr>
            <w:tcW w:w="956" w:type="dxa"/>
            <w:noWrap/>
            <w:vAlign w:val="center"/>
          </w:tcPr>
          <w:p w14:paraId="5BB92054" w14:textId="4623441E" w:rsidR="0098697B" w:rsidRPr="004B723C" w:rsidRDefault="0098697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252" w:type="dxa"/>
            <w:noWrap/>
            <w:vAlign w:val="center"/>
            <w:hideMark/>
          </w:tcPr>
          <w:p w14:paraId="681A0AE2" w14:textId="77777777" w:rsidR="0098697B" w:rsidRPr="004B723C" w:rsidRDefault="0098697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192/1,581</w:t>
            </w:r>
          </w:p>
        </w:tc>
        <w:tc>
          <w:tcPr>
            <w:tcW w:w="1529" w:type="dxa"/>
            <w:noWrap/>
            <w:vAlign w:val="center"/>
            <w:hideMark/>
          </w:tcPr>
          <w:p w14:paraId="4A206E2C" w14:textId="77777777" w:rsidR="0098697B" w:rsidRPr="004B723C" w:rsidRDefault="0098697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2.37 (1.43–3.95)</w:t>
            </w:r>
          </w:p>
        </w:tc>
        <w:tc>
          <w:tcPr>
            <w:tcW w:w="1374" w:type="dxa"/>
            <w:noWrap/>
            <w:vAlign w:val="center"/>
            <w:hideMark/>
          </w:tcPr>
          <w:p w14:paraId="592F614E" w14:textId="5AFC716D" w:rsidR="0098697B" w:rsidRPr="004B723C" w:rsidRDefault="00D53FD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8.90 × 10</w:t>
            </w:r>
            <w:r w:rsidRPr="004B723C">
              <w:rPr>
                <w:rFonts w:cs="Times New Roman"/>
                <w:color w:val="000000"/>
                <w:sz w:val="18"/>
                <w:szCs w:val="18"/>
                <w:vertAlign w:val="superscript"/>
              </w:rPr>
              <w:t>-4</w:t>
            </w:r>
          </w:p>
        </w:tc>
        <w:tc>
          <w:tcPr>
            <w:tcW w:w="956" w:type="dxa"/>
            <w:noWrap/>
            <w:vAlign w:val="center"/>
          </w:tcPr>
          <w:p w14:paraId="09B4C694" w14:textId="63785C9F" w:rsidR="0098697B" w:rsidRPr="004B723C" w:rsidRDefault="0098697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252" w:type="dxa"/>
            <w:noWrap/>
            <w:vAlign w:val="center"/>
            <w:hideMark/>
          </w:tcPr>
          <w:p w14:paraId="7732DC0D" w14:textId="77777777" w:rsidR="0098697B" w:rsidRPr="004B723C" w:rsidRDefault="0098697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191/1,580</w:t>
            </w:r>
          </w:p>
        </w:tc>
        <w:tc>
          <w:tcPr>
            <w:tcW w:w="1529" w:type="dxa"/>
            <w:noWrap/>
            <w:vAlign w:val="center"/>
            <w:hideMark/>
          </w:tcPr>
          <w:p w14:paraId="7530D914" w14:textId="77777777" w:rsidR="0098697B" w:rsidRPr="004B723C" w:rsidRDefault="0098697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3.28 (1.75–6.12)</w:t>
            </w:r>
          </w:p>
        </w:tc>
        <w:tc>
          <w:tcPr>
            <w:tcW w:w="1374" w:type="dxa"/>
            <w:noWrap/>
            <w:vAlign w:val="center"/>
            <w:hideMark/>
          </w:tcPr>
          <w:p w14:paraId="6E04C5EE" w14:textId="54834649" w:rsidR="0098697B" w:rsidRPr="004B723C" w:rsidRDefault="00D53FD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sz w:val="18"/>
                <w:szCs w:val="18"/>
              </w:rPr>
              <w:t>2.00 × 10</w:t>
            </w:r>
            <w:r w:rsidRPr="004B723C">
              <w:rPr>
                <w:rFonts w:cs="Times New Roman"/>
                <w:sz w:val="18"/>
                <w:szCs w:val="18"/>
                <w:vertAlign w:val="superscript"/>
              </w:rPr>
              <w:t>-4</w:t>
            </w:r>
          </w:p>
        </w:tc>
      </w:tr>
      <w:tr w:rsidR="0098697B" w:rsidRPr="004B723C" w14:paraId="15F551C6" w14:textId="77777777" w:rsidTr="007F3A2D">
        <w:trPr>
          <w:trHeight w:val="300"/>
          <w:jc w:val="center"/>
        </w:trPr>
        <w:tc>
          <w:tcPr>
            <w:cnfStyle w:val="001000000000" w:firstRow="0" w:lastRow="0" w:firstColumn="1" w:lastColumn="0" w:oddVBand="0" w:evenVBand="0" w:oddHBand="0" w:evenHBand="0" w:firstRowFirstColumn="0" w:firstRowLastColumn="0" w:lastRowFirstColumn="0" w:lastRowLastColumn="0"/>
            <w:tcW w:w="2825" w:type="dxa"/>
            <w:noWrap/>
            <w:vAlign w:val="center"/>
          </w:tcPr>
          <w:p w14:paraId="14AA9841" w14:textId="77777777" w:rsidR="0098697B" w:rsidRPr="004B723C" w:rsidRDefault="0098697B" w:rsidP="007F3A2D">
            <w:pPr>
              <w:spacing w:line="360" w:lineRule="auto"/>
              <w:rPr>
                <w:rFonts w:eastAsia="Times New Roman" w:cs="Times New Roman"/>
                <w:color w:val="000000"/>
                <w:sz w:val="18"/>
                <w:szCs w:val="18"/>
                <w:lang w:eastAsia="en-GB"/>
              </w:rPr>
            </w:pPr>
          </w:p>
        </w:tc>
        <w:tc>
          <w:tcPr>
            <w:tcW w:w="937" w:type="dxa"/>
            <w:noWrap/>
            <w:vAlign w:val="center"/>
            <w:hideMark/>
          </w:tcPr>
          <w:p w14:paraId="6F9FA45E" w14:textId="77777777" w:rsidR="0098697B" w:rsidRPr="004B723C" w:rsidRDefault="0098697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DCD</w:t>
            </w:r>
          </w:p>
        </w:tc>
        <w:tc>
          <w:tcPr>
            <w:tcW w:w="956" w:type="dxa"/>
            <w:noWrap/>
            <w:vAlign w:val="center"/>
          </w:tcPr>
          <w:p w14:paraId="5A71912C" w14:textId="51F91880" w:rsidR="0098697B" w:rsidRPr="004B723C" w:rsidRDefault="0098697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252" w:type="dxa"/>
            <w:noWrap/>
            <w:vAlign w:val="center"/>
            <w:hideMark/>
          </w:tcPr>
          <w:p w14:paraId="51DB3BE5" w14:textId="77777777" w:rsidR="0098697B" w:rsidRPr="004B723C" w:rsidRDefault="0098697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41/433</w:t>
            </w:r>
          </w:p>
        </w:tc>
        <w:tc>
          <w:tcPr>
            <w:tcW w:w="1529" w:type="dxa"/>
            <w:noWrap/>
            <w:vAlign w:val="center"/>
            <w:hideMark/>
          </w:tcPr>
          <w:p w14:paraId="6295A425" w14:textId="77777777" w:rsidR="0098697B" w:rsidRPr="004B723C" w:rsidRDefault="0098697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1.82 (1.02–3.25)</w:t>
            </w:r>
          </w:p>
        </w:tc>
        <w:tc>
          <w:tcPr>
            <w:tcW w:w="1374" w:type="dxa"/>
            <w:noWrap/>
            <w:vAlign w:val="center"/>
            <w:hideMark/>
          </w:tcPr>
          <w:p w14:paraId="21C7051F" w14:textId="4B2C49F7" w:rsidR="0098697B" w:rsidRPr="004B723C" w:rsidRDefault="0098697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0.042</w:t>
            </w:r>
          </w:p>
        </w:tc>
        <w:tc>
          <w:tcPr>
            <w:tcW w:w="956" w:type="dxa"/>
            <w:noWrap/>
            <w:vAlign w:val="center"/>
          </w:tcPr>
          <w:p w14:paraId="6B1C3C64" w14:textId="1B861A6D" w:rsidR="0098697B" w:rsidRPr="004B723C" w:rsidRDefault="0098697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252" w:type="dxa"/>
            <w:noWrap/>
            <w:vAlign w:val="center"/>
            <w:hideMark/>
          </w:tcPr>
          <w:p w14:paraId="3545C921" w14:textId="77777777" w:rsidR="0098697B" w:rsidRPr="004B723C" w:rsidRDefault="0098697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41/433</w:t>
            </w:r>
          </w:p>
        </w:tc>
        <w:tc>
          <w:tcPr>
            <w:tcW w:w="1529" w:type="dxa"/>
            <w:noWrap/>
            <w:vAlign w:val="center"/>
            <w:hideMark/>
          </w:tcPr>
          <w:p w14:paraId="5141DA1E" w14:textId="77777777" w:rsidR="0098697B" w:rsidRPr="004B723C" w:rsidRDefault="0098697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3.66 (1.87–7.14)</w:t>
            </w:r>
          </w:p>
        </w:tc>
        <w:tc>
          <w:tcPr>
            <w:tcW w:w="1374" w:type="dxa"/>
            <w:noWrap/>
            <w:vAlign w:val="center"/>
            <w:hideMark/>
          </w:tcPr>
          <w:p w14:paraId="665996A6" w14:textId="39410986" w:rsidR="0098697B" w:rsidRPr="004B723C" w:rsidRDefault="00D53FD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sz w:val="18"/>
                <w:szCs w:val="18"/>
              </w:rPr>
              <w:t>1.48 × 10</w:t>
            </w:r>
            <w:r w:rsidRPr="004B723C">
              <w:rPr>
                <w:rFonts w:cs="Times New Roman"/>
                <w:sz w:val="18"/>
                <w:szCs w:val="18"/>
                <w:vertAlign w:val="superscript"/>
              </w:rPr>
              <w:t>-4</w:t>
            </w:r>
          </w:p>
        </w:tc>
      </w:tr>
      <w:tr w:rsidR="0098697B" w:rsidRPr="004B723C" w14:paraId="7BAE47DF" w14:textId="77777777" w:rsidTr="007F3A2D">
        <w:trPr>
          <w:trHeight w:val="300"/>
          <w:jc w:val="center"/>
        </w:trPr>
        <w:tc>
          <w:tcPr>
            <w:cnfStyle w:val="001000000000" w:firstRow="0" w:lastRow="0" w:firstColumn="1" w:lastColumn="0" w:oddVBand="0" w:evenVBand="0" w:oddHBand="0" w:evenHBand="0" w:firstRowFirstColumn="0" w:firstRowLastColumn="0" w:lastRowFirstColumn="0" w:lastRowLastColumn="0"/>
            <w:tcW w:w="2825" w:type="dxa"/>
            <w:noWrap/>
            <w:vAlign w:val="center"/>
            <w:hideMark/>
          </w:tcPr>
          <w:p w14:paraId="7F4EC8E1" w14:textId="77777777" w:rsidR="00F252F5" w:rsidRPr="004B723C" w:rsidRDefault="00F252F5" w:rsidP="007F3A2D">
            <w:pPr>
              <w:spacing w:line="360" w:lineRule="auto"/>
              <w:rPr>
                <w:rFonts w:eastAsia="Times New Roman" w:cs="Times New Roman"/>
                <w:color w:val="000000"/>
                <w:sz w:val="18"/>
                <w:szCs w:val="18"/>
                <w:lang w:eastAsia="en-GB"/>
              </w:rPr>
            </w:pPr>
            <w:r w:rsidRPr="004B723C">
              <w:rPr>
                <w:rFonts w:eastAsia="Times New Roman" w:cs="Times New Roman"/>
                <w:color w:val="000000"/>
                <w:sz w:val="18"/>
                <w:szCs w:val="18"/>
                <w:lang w:eastAsia="en-GB"/>
              </w:rPr>
              <w:t>Donor–recipient CMV serostatus</w:t>
            </w:r>
          </w:p>
        </w:tc>
        <w:tc>
          <w:tcPr>
            <w:tcW w:w="937" w:type="dxa"/>
            <w:noWrap/>
            <w:vAlign w:val="center"/>
            <w:hideMark/>
          </w:tcPr>
          <w:p w14:paraId="0C7D6989" w14:textId="77777777"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D−/R−</w:t>
            </w:r>
          </w:p>
        </w:tc>
        <w:tc>
          <w:tcPr>
            <w:tcW w:w="956" w:type="dxa"/>
            <w:noWrap/>
            <w:vAlign w:val="center"/>
            <w:hideMark/>
          </w:tcPr>
          <w:p w14:paraId="424661BE" w14:textId="77777777"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249/2,314</w:t>
            </w:r>
          </w:p>
        </w:tc>
        <w:tc>
          <w:tcPr>
            <w:tcW w:w="1252" w:type="dxa"/>
            <w:noWrap/>
            <w:vAlign w:val="center"/>
            <w:hideMark/>
          </w:tcPr>
          <w:p w14:paraId="21209FF9" w14:textId="77777777"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13/612</w:t>
            </w:r>
          </w:p>
        </w:tc>
        <w:tc>
          <w:tcPr>
            <w:tcW w:w="1529" w:type="dxa"/>
            <w:noWrap/>
            <w:vAlign w:val="center"/>
            <w:hideMark/>
          </w:tcPr>
          <w:p w14:paraId="7BA5E726" w14:textId="0F171D32" w:rsidR="00F252F5" w:rsidRPr="004B723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1374" w:type="dxa"/>
            <w:noWrap/>
            <w:vAlign w:val="center"/>
            <w:hideMark/>
          </w:tcPr>
          <w:p w14:paraId="26A198E3" w14:textId="04C7AD88" w:rsidR="00F252F5" w:rsidRPr="004B723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956" w:type="dxa"/>
            <w:noWrap/>
            <w:vAlign w:val="center"/>
            <w:hideMark/>
          </w:tcPr>
          <w:p w14:paraId="20730E83" w14:textId="77777777"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248/2,313</w:t>
            </w:r>
          </w:p>
        </w:tc>
        <w:tc>
          <w:tcPr>
            <w:tcW w:w="1252" w:type="dxa"/>
            <w:noWrap/>
            <w:vAlign w:val="center"/>
            <w:hideMark/>
          </w:tcPr>
          <w:p w14:paraId="79008D74" w14:textId="77777777"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13/612</w:t>
            </w:r>
          </w:p>
        </w:tc>
        <w:tc>
          <w:tcPr>
            <w:tcW w:w="1529" w:type="dxa"/>
            <w:noWrap/>
            <w:vAlign w:val="center"/>
            <w:hideMark/>
          </w:tcPr>
          <w:p w14:paraId="253FA17D" w14:textId="7B58EDE1" w:rsidR="00F252F5" w:rsidRPr="004B723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1374" w:type="dxa"/>
            <w:noWrap/>
            <w:vAlign w:val="center"/>
            <w:hideMark/>
          </w:tcPr>
          <w:p w14:paraId="1523061D" w14:textId="1DAAC8C7" w:rsidR="00F252F5" w:rsidRPr="004B723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r>
      <w:tr w:rsidR="0098697B" w:rsidRPr="004B723C" w14:paraId="32670EF5" w14:textId="77777777" w:rsidTr="007F3A2D">
        <w:trPr>
          <w:trHeight w:val="300"/>
          <w:jc w:val="center"/>
        </w:trPr>
        <w:tc>
          <w:tcPr>
            <w:cnfStyle w:val="001000000000" w:firstRow="0" w:lastRow="0" w:firstColumn="1" w:lastColumn="0" w:oddVBand="0" w:evenVBand="0" w:oddHBand="0" w:evenHBand="0" w:firstRowFirstColumn="0" w:firstRowLastColumn="0" w:lastRowFirstColumn="0" w:lastRowLastColumn="0"/>
            <w:tcW w:w="2825" w:type="dxa"/>
            <w:noWrap/>
            <w:vAlign w:val="center"/>
          </w:tcPr>
          <w:p w14:paraId="68081ED6" w14:textId="77777777" w:rsidR="0098697B" w:rsidRPr="004B723C" w:rsidRDefault="0098697B" w:rsidP="007F3A2D">
            <w:pPr>
              <w:spacing w:line="360" w:lineRule="auto"/>
              <w:rPr>
                <w:rFonts w:eastAsia="Times New Roman" w:cs="Times New Roman"/>
                <w:color w:val="000000"/>
                <w:sz w:val="18"/>
                <w:szCs w:val="18"/>
                <w:lang w:eastAsia="en-GB"/>
              </w:rPr>
            </w:pPr>
          </w:p>
        </w:tc>
        <w:tc>
          <w:tcPr>
            <w:tcW w:w="937" w:type="dxa"/>
            <w:noWrap/>
            <w:vAlign w:val="center"/>
            <w:hideMark/>
          </w:tcPr>
          <w:p w14:paraId="1A93D614" w14:textId="77777777" w:rsidR="0098697B" w:rsidRPr="004B723C" w:rsidRDefault="0098697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D+/R+</w:t>
            </w:r>
          </w:p>
        </w:tc>
        <w:tc>
          <w:tcPr>
            <w:tcW w:w="956" w:type="dxa"/>
            <w:noWrap/>
            <w:vAlign w:val="center"/>
          </w:tcPr>
          <w:p w14:paraId="34888B0B" w14:textId="338E774A" w:rsidR="0098697B" w:rsidRPr="004B723C" w:rsidRDefault="0098697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252" w:type="dxa"/>
            <w:noWrap/>
            <w:vAlign w:val="center"/>
            <w:hideMark/>
          </w:tcPr>
          <w:p w14:paraId="754AED4D" w14:textId="77777777" w:rsidR="0098697B" w:rsidRPr="004B723C" w:rsidRDefault="0098697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50/632</w:t>
            </w:r>
          </w:p>
        </w:tc>
        <w:tc>
          <w:tcPr>
            <w:tcW w:w="1529" w:type="dxa"/>
            <w:noWrap/>
            <w:vAlign w:val="center"/>
            <w:hideMark/>
          </w:tcPr>
          <w:p w14:paraId="567E87AD" w14:textId="77777777" w:rsidR="0098697B" w:rsidRPr="004B723C" w:rsidRDefault="0098697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3.96 (2.15–7.29)</w:t>
            </w:r>
          </w:p>
        </w:tc>
        <w:tc>
          <w:tcPr>
            <w:tcW w:w="1374" w:type="dxa"/>
            <w:noWrap/>
            <w:vAlign w:val="center"/>
            <w:hideMark/>
          </w:tcPr>
          <w:p w14:paraId="4F27D67B" w14:textId="7596C7A2" w:rsidR="0098697B" w:rsidRPr="004B723C" w:rsidRDefault="00D53FD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sz w:val="18"/>
                <w:szCs w:val="18"/>
              </w:rPr>
              <w:t>9.75 × 10</w:t>
            </w:r>
            <w:r w:rsidRPr="004B723C">
              <w:rPr>
                <w:rFonts w:cs="Times New Roman"/>
                <w:sz w:val="18"/>
                <w:szCs w:val="18"/>
                <w:vertAlign w:val="superscript"/>
              </w:rPr>
              <w:t>-6</w:t>
            </w:r>
          </w:p>
        </w:tc>
        <w:tc>
          <w:tcPr>
            <w:tcW w:w="956" w:type="dxa"/>
            <w:noWrap/>
            <w:vAlign w:val="center"/>
          </w:tcPr>
          <w:p w14:paraId="465C1655" w14:textId="4D80B327" w:rsidR="0098697B" w:rsidRPr="004B723C" w:rsidRDefault="0098697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252" w:type="dxa"/>
            <w:noWrap/>
            <w:vAlign w:val="center"/>
            <w:hideMark/>
          </w:tcPr>
          <w:p w14:paraId="55D19910" w14:textId="77777777" w:rsidR="0098697B" w:rsidRPr="004B723C" w:rsidRDefault="0098697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50/632</w:t>
            </w:r>
          </w:p>
        </w:tc>
        <w:tc>
          <w:tcPr>
            <w:tcW w:w="1529" w:type="dxa"/>
            <w:noWrap/>
            <w:vAlign w:val="center"/>
            <w:hideMark/>
          </w:tcPr>
          <w:p w14:paraId="64E9E103" w14:textId="77777777" w:rsidR="0098697B" w:rsidRPr="004B723C" w:rsidRDefault="0098697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3.83 (2.07–7.08)</w:t>
            </w:r>
          </w:p>
        </w:tc>
        <w:tc>
          <w:tcPr>
            <w:tcW w:w="1374" w:type="dxa"/>
            <w:noWrap/>
            <w:vAlign w:val="center"/>
            <w:hideMark/>
          </w:tcPr>
          <w:p w14:paraId="7B6A26FF" w14:textId="2E646FC4" w:rsidR="0098697B" w:rsidRPr="004B723C" w:rsidRDefault="00D53FD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sz w:val="18"/>
                <w:szCs w:val="18"/>
              </w:rPr>
              <w:t>1.86 × 10</w:t>
            </w:r>
            <w:r w:rsidRPr="004B723C">
              <w:rPr>
                <w:rFonts w:cs="Times New Roman"/>
                <w:sz w:val="18"/>
                <w:szCs w:val="18"/>
                <w:vertAlign w:val="superscript"/>
              </w:rPr>
              <w:t>-5</w:t>
            </w:r>
          </w:p>
        </w:tc>
      </w:tr>
      <w:tr w:rsidR="0098697B" w:rsidRPr="004B723C" w14:paraId="5AB40F40" w14:textId="77777777" w:rsidTr="007F3A2D">
        <w:trPr>
          <w:trHeight w:val="300"/>
          <w:jc w:val="center"/>
        </w:trPr>
        <w:tc>
          <w:tcPr>
            <w:cnfStyle w:val="001000000000" w:firstRow="0" w:lastRow="0" w:firstColumn="1" w:lastColumn="0" w:oddVBand="0" w:evenVBand="0" w:oddHBand="0" w:evenHBand="0" w:firstRowFirstColumn="0" w:firstRowLastColumn="0" w:lastRowFirstColumn="0" w:lastRowLastColumn="0"/>
            <w:tcW w:w="2825" w:type="dxa"/>
            <w:noWrap/>
            <w:vAlign w:val="center"/>
          </w:tcPr>
          <w:p w14:paraId="36B58C78" w14:textId="77777777" w:rsidR="0098697B" w:rsidRPr="004B723C" w:rsidRDefault="0098697B" w:rsidP="007F3A2D">
            <w:pPr>
              <w:spacing w:line="360" w:lineRule="auto"/>
              <w:rPr>
                <w:rFonts w:eastAsia="Times New Roman" w:cs="Times New Roman"/>
                <w:color w:val="000000"/>
                <w:sz w:val="18"/>
                <w:szCs w:val="18"/>
                <w:lang w:eastAsia="en-GB"/>
              </w:rPr>
            </w:pPr>
          </w:p>
        </w:tc>
        <w:tc>
          <w:tcPr>
            <w:tcW w:w="937" w:type="dxa"/>
            <w:noWrap/>
            <w:vAlign w:val="center"/>
            <w:hideMark/>
          </w:tcPr>
          <w:p w14:paraId="6DDAABA9" w14:textId="77777777" w:rsidR="0098697B" w:rsidRPr="004B723C" w:rsidRDefault="0098697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D+/R−</w:t>
            </w:r>
          </w:p>
        </w:tc>
        <w:tc>
          <w:tcPr>
            <w:tcW w:w="956" w:type="dxa"/>
            <w:noWrap/>
            <w:vAlign w:val="center"/>
          </w:tcPr>
          <w:p w14:paraId="78F86AF3" w14:textId="7B832234" w:rsidR="0098697B" w:rsidRPr="004B723C" w:rsidRDefault="0098697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252" w:type="dxa"/>
            <w:noWrap/>
            <w:vAlign w:val="center"/>
            <w:hideMark/>
          </w:tcPr>
          <w:p w14:paraId="6D2BF685" w14:textId="77777777" w:rsidR="0098697B" w:rsidRPr="004B723C" w:rsidRDefault="0098697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164/460</w:t>
            </w:r>
          </w:p>
        </w:tc>
        <w:tc>
          <w:tcPr>
            <w:tcW w:w="1529" w:type="dxa"/>
            <w:noWrap/>
            <w:vAlign w:val="center"/>
            <w:hideMark/>
          </w:tcPr>
          <w:p w14:paraId="4A9D2B1A" w14:textId="77777777" w:rsidR="0098697B" w:rsidRPr="004B723C" w:rsidRDefault="0098697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20.86 (11.85–36.70)</w:t>
            </w:r>
          </w:p>
        </w:tc>
        <w:tc>
          <w:tcPr>
            <w:tcW w:w="1374" w:type="dxa"/>
            <w:noWrap/>
            <w:vAlign w:val="center"/>
            <w:hideMark/>
          </w:tcPr>
          <w:p w14:paraId="0A8B55BF" w14:textId="2FBC3AB6" w:rsidR="0098697B" w:rsidRPr="004B723C" w:rsidRDefault="00D53FD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sz w:val="18"/>
                <w:szCs w:val="18"/>
              </w:rPr>
              <w:t>5.93 × 10</w:t>
            </w:r>
            <w:r w:rsidRPr="004B723C">
              <w:rPr>
                <w:rFonts w:cs="Times New Roman"/>
                <w:sz w:val="18"/>
                <w:szCs w:val="18"/>
                <w:vertAlign w:val="superscript"/>
              </w:rPr>
              <w:t>-26</w:t>
            </w:r>
          </w:p>
        </w:tc>
        <w:tc>
          <w:tcPr>
            <w:tcW w:w="956" w:type="dxa"/>
            <w:noWrap/>
            <w:vAlign w:val="center"/>
          </w:tcPr>
          <w:p w14:paraId="1E6536F0" w14:textId="5D65ABBE" w:rsidR="0098697B" w:rsidRPr="004B723C" w:rsidRDefault="0098697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252" w:type="dxa"/>
            <w:noWrap/>
            <w:vAlign w:val="center"/>
            <w:hideMark/>
          </w:tcPr>
          <w:p w14:paraId="2BF951A8" w14:textId="77777777" w:rsidR="0098697B" w:rsidRPr="004B723C" w:rsidRDefault="0098697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163/459</w:t>
            </w:r>
          </w:p>
        </w:tc>
        <w:tc>
          <w:tcPr>
            <w:tcW w:w="1529" w:type="dxa"/>
            <w:noWrap/>
            <w:vAlign w:val="center"/>
            <w:hideMark/>
          </w:tcPr>
          <w:p w14:paraId="16BE63EA" w14:textId="77777777" w:rsidR="0098697B" w:rsidRPr="004B723C" w:rsidRDefault="0098697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20.43 (11.58–36.06)</w:t>
            </w:r>
          </w:p>
        </w:tc>
        <w:tc>
          <w:tcPr>
            <w:tcW w:w="1374" w:type="dxa"/>
            <w:noWrap/>
            <w:vAlign w:val="center"/>
            <w:hideMark/>
          </w:tcPr>
          <w:p w14:paraId="210BBF3B" w14:textId="3E1E7261" w:rsidR="0098697B" w:rsidRPr="004B723C" w:rsidRDefault="00D53FD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sz w:val="18"/>
                <w:szCs w:val="18"/>
              </w:rPr>
              <w:t>2.23 × 10</w:t>
            </w:r>
            <w:r w:rsidRPr="004B723C">
              <w:rPr>
                <w:rFonts w:cs="Times New Roman"/>
                <w:sz w:val="18"/>
                <w:szCs w:val="18"/>
                <w:vertAlign w:val="superscript"/>
              </w:rPr>
              <w:t>-25</w:t>
            </w:r>
          </w:p>
        </w:tc>
      </w:tr>
      <w:tr w:rsidR="0098697B" w:rsidRPr="004B723C" w14:paraId="69B9DB69" w14:textId="77777777" w:rsidTr="007F3A2D">
        <w:trPr>
          <w:trHeight w:val="300"/>
          <w:jc w:val="center"/>
        </w:trPr>
        <w:tc>
          <w:tcPr>
            <w:cnfStyle w:val="001000000000" w:firstRow="0" w:lastRow="0" w:firstColumn="1" w:lastColumn="0" w:oddVBand="0" w:evenVBand="0" w:oddHBand="0" w:evenHBand="0" w:firstRowFirstColumn="0" w:firstRowLastColumn="0" w:lastRowFirstColumn="0" w:lastRowLastColumn="0"/>
            <w:tcW w:w="2825" w:type="dxa"/>
            <w:noWrap/>
            <w:vAlign w:val="center"/>
          </w:tcPr>
          <w:p w14:paraId="48B9FBC4" w14:textId="77777777" w:rsidR="00F252F5" w:rsidRPr="004B723C" w:rsidRDefault="00F252F5" w:rsidP="007F3A2D">
            <w:pPr>
              <w:spacing w:line="360" w:lineRule="auto"/>
              <w:rPr>
                <w:rFonts w:eastAsia="Times New Roman" w:cs="Times New Roman"/>
                <w:color w:val="000000"/>
                <w:sz w:val="18"/>
                <w:szCs w:val="18"/>
                <w:lang w:eastAsia="en-GB"/>
              </w:rPr>
            </w:pPr>
          </w:p>
        </w:tc>
        <w:tc>
          <w:tcPr>
            <w:tcW w:w="937" w:type="dxa"/>
            <w:noWrap/>
            <w:vAlign w:val="center"/>
            <w:hideMark/>
          </w:tcPr>
          <w:p w14:paraId="21FC6F2A" w14:textId="77777777"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D−/R+</w:t>
            </w:r>
          </w:p>
        </w:tc>
        <w:tc>
          <w:tcPr>
            <w:tcW w:w="956" w:type="dxa"/>
            <w:noWrap/>
            <w:vAlign w:val="center"/>
          </w:tcPr>
          <w:p w14:paraId="6C415361" w14:textId="70C41A4D"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252" w:type="dxa"/>
            <w:noWrap/>
            <w:vAlign w:val="center"/>
            <w:hideMark/>
          </w:tcPr>
          <w:p w14:paraId="2128A820" w14:textId="77777777"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22/610</w:t>
            </w:r>
          </w:p>
        </w:tc>
        <w:tc>
          <w:tcPr>
            <w:tcW w:w="1529" w:type="dxa"/>
            <w:noWrap/>
            <w:vAlign w:val="center"/>
            <w:hideMark/>
          </w:tcPr>
          <w:p w14:paraId="2FC69F14" w14:textId="77777777"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1.74 (0.87–3.44)</w:t>
            </w:r>
          </w:p>
        </w:tc>
        <w:tc>
          <w:tcPr>
            <w:tcW w:w="1374" w:type="dxa"/>
            <w:noWrap/>
            <w:vAlign w:val="center"/>
            <w:hideMark/>
          </w:tcPr>
          <w:p w14:paraId="71D198BB" w14:textId="3116DA57"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w:t>
            </w:r>
            <w:r w:rsidR="009B49E1" w:rsidRPr="004B723C">
              <w:rPr>
                <w:rFonts w:cs="Times New Roman"/>
                <w:color w:val="000000"/>
                <w:sz w:val="18"/>
                <w:szCs w:val="18"/>
              </w:rPr>
              <w:t>.</w:t>
            </w:r>
            <w:r w:rsidRPr="004B723C">
              <w:rPr>
                <w:rFonts w:cs="Times New Roman"/>
                <w:color w:val="000000"/>
                <w:sz w:val="18"/>
                <w:szCs w:val="18"/>
              </w:rPr>
              <w:t>12</w:t>
            </w:r>
          </w:p>
        </w:tc>
        <w:tc>
          <w:tcPr>
            <w:tcW w:w="956" w:type="dxa"/>
            <w:noWrap/>
            <w:vAlign w:val="center"/>
          </w:tcPr>
          <w:p w14:paraId="10DD2F4E" w14:textId="207A8A4B"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252" w:type="dxa"/>
            <w:noWrap/>
            <w:vAlign w:val="center"/>
            <w:hideMark/>
          </w:tcPr>
          <w:p w14:paraId="106C7012" w14:textId="77777777"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22/610</w:t>
            </w:r>
          </w:p>
        </w:tc>
        <w:tc>
          <w:tcPr>
            <w:tcW w:w="1529" w:type="dxa"/>
            <w:noWrap/>
            <w:vAlign w:val="center"/>
            <w:hideMark/>
          </w:tcPr>
          <w:p w14:paraId="2B1426E0" w14:textId="77777777"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1.54 (0.77–3.07)</w:t>
            </w:r>
          </w:p>
        </w:tc>
        <w:tc>
          <w:tcPr>
            <w:tcW w:w="1374" w:type="dxa"/>
            <w:noWrap/>
            <w:vAlign w:val="center"/>
            <w:hideMark/>
          </w:tcPr>
          <w:p w14:paraId="3F242C07" w14:textId="54C3130C"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w:t>
            </w:r>
            <w:r w:rsidR="009B49E1" w:rsidRPr="004B723C">
              <w:rPr>
                <w:rFonts w:cs="Times New Roman"/>
                <w:color w:val="000000"/>
                <w:sz w:val="18"/>
                <w:szCs w:val="18"/>
              </w:rPr>
              <w:t>.</w:t>
            </w:r>
            <w:r w:rsidRPr="004B723C">
              <w:rPr>
                <w:rFonts w:cs="Times New Roman"/>
                <w:color w:val="000000"/>
                <w:sz w:val="18"/>
                <w:szCs w:val="18"/>
              </w:rPr>
              <w:t>22</w:t>
            </w:r>
          </w:p>
        </w:tc>
      </w:tr>
      <w:tr w:rsidR="0098697B" w:rsidRPr="004B723C" w14:paraId="76C3F646" w14:textId="77777777" w:rsidTr="007F3A2D">
        <w:trPr>
          <w:trHeight w:val="300"/>
          <w:jc w:val="center"/>
        </w:trPr>
        <w:tc>
          <w:tcPr>
            <w:cnfStyle w:val="001000000000" w:firstRow="0" w:lastRow="0" w:firstColumn="1" w:lastColumn="0" w:oddVBand="0" w:evenVBand="0" w:oddHBand="0" w:evenHBand="0" w:firstRowFirstColumn="0" w:firstRowLastColumn="0" w:lastRowFirstColumn="0" w:lastRowLastColumn="0"/>
            <w:tcW w:w="2825" w:type="dxa"/>
            <w:noWrap/>
            <w:vAlign w:val="center"/>
            <w:hideMark/>
          </w:tcPr>
          <w:p w14:paraId="1A23474E" w14:textId="77777777" w:rsidR="00F252F5" w:rsidRPr="004B723C" w:rsidRDefault="00F252F5" w:rsidP="007F3A2D">
            <w:pPr>
              <w:spacing w:line="360" w:lineRule="auto"/>
              <w:rPr>
                <w:rFonts w:eastAsia="Times New Roman" w:cs="Times New Roman"/>
                <w:color w:val="000000"/>
                <w:sz w:val="18"/>
                <w:szCs w:val="18"/>
                <w:lang w:eastAsia="en-GB"/>
              </w:rPr>
            </w:pPr>
            <w:r w:rsidRPr="004B723C">
              <w:rPr>
                <w:rFonts w:eastAsia="Times New Roman" w:cs="Times New Roman"/>
                <w:color w:val="000000"/>
                <w:sz w:val="18"/>
                <w:szCs w:val="18"/>
                <w:lang w:eastAsia="en-GB"/>
              </w:rPr>
              <w:t>HLA mismatch (per mismatch)</w:t>
            </w:r>
          </w:p>
        </w:tc>
        <w:tc>
          <w:tcPr>
            <w:tcW w:w="937" w:type="dxa"/>
            <w:noWrap/>
            <w:vAlign w:val="center"/>
            <w:hideMark/>
          </w:tcPr>
          <w:p w14:paraId="56732DFD" w14:textId="77777777"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w:t>
            </w:r>
          </w:p>
        </w:tc>
        <w:tc>
          <w:tcPr>
            <w:tcW w:w="956" w:type="dxa"/>
            <w:noWrap/>
            <w:vAlign w:val="center"/>
            <w:hideMark/>
          </w:tcPr>
          <w:p w14:paraId="1BB814A9" w14:textId="77777777"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249/2,314</w:t>
            </w:r>
          </w:p>
        </w:tc>
        <w:tc>
          <w:tcPr>
            <w:tcW w:w="1252" w:type="dxa"/>
            <w:noWrap/>
            <w:vAlign w:val="center"/>
            <w:hideMark/>
          </w:tcPr>
          <w:p w14:paraId="7FFD5163" w14:textId="77777777"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w:t>
            </w:r>
          </w:p>
        </w:tc>
        <w:tc>
          <w:tcPr>
            <w:tcW w:w="1529" w:type="dxa"/>
            <w:noWrap/>
            <w:vAlign w:val="center"/>
            <w:hideMark/>
          </w:tcPr>
          <w:p w14:paraId="3428336F" w14:textId="77777777"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1.03 (0.95–1.12)</w:t>
            </w:r>
          </w:p>
        </w:tc>
        <w:tc>
          <w:tcPr>
            <w:tcW w:w="1374" w:type="dxa"/>
            <w:noWrap/>
            <w:vAlign w:val="center"/>
            <w:hideMark/>
          </w:tcPr>
          <w:p w14:paraId="0549F588" w14:textId="5ABE8C39"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w:t>
            </w:r>
            <w:r w:rsidR="009B49E1" w:rsidRPr="004B723C">
              <w:rPr>
                <w:rFonts w:cs="Times New Roman"/>
                <w:color w:val="000000"/>
                <w:sz w:val="18"/>
                <w:szCs w:val="18"/>
              </w:rPr>
              <w:t>.</w:t>
            </w:r>
            <w:r w:rsidRPr="004B723C">
              <w:rPr>
                <w:rFonts w:cs="Times New Roman"/>
                <w:color w:val="000000"/>
                <w:sz w:val="18"/>
                <w:szCs w:val="18"/>
              </w:rPr>
              <w:t>5</w:t>
            </w:r>
          </w:p>
        </w:tc>
        <w:tc>
          <w:tcPr>
            <w:tcW w:w="956" w:type="dxa"/>
            <w:noWrap/>
            <w:vAlign w:val="center"/>
            <w:hideMark/>
          </w:tcPr>
          <w:p w14:paraId="015D0B79" w14:textId="77777777"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248/2,313</w:t>
            </w:r>
          </w:p>
        </w:tc>
        <w:tc>
          <w:tcPr>
            <w:tcW w:w="1252" w:type="dxa"/>
            <w:noWrap/>
            <w:vAlign w:val="center"/>
            <w:hideMark/>
          </w:tcPr>
          <w:p w14:paraId="698DC2BF" w14:textId="77777777"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w:t>
            </w:r>
          </w:p>
        </w:tc>
        <w:tc>
          <w:tcPr>
            <w:tcW w:w="1529" w:type="dxa"/>
            <w:noWrap/>
            <w:vAlign w:val="center"/>
            <w:hideMark/>
          </w:tcPr>
          <w:p w14:paraId="7E751684" w14:textId="77777777"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1.05 (0.95–1.16)</w:t>
            </w:r>
          </w:p>
        </w:tc>
        <w:tc>
          <w:tcPr>
            <w:tcW w:w="1374" w:type="dxa"/>
            <w:noWrap/>
            <w:vAlign w:val="center"/>
            <w:hideMark/>
          </w:tcPr>
          <w:p w14:paraId="6CEDB84B" w14:textId="5B1650E1"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w:t>
            </w:r>
            <w:r w:rsidR="009B49E1" w:rsidRPr="004B723C">
              <w:rPr>
                <w:rFonts w:cs="Times New Roman"/>
                <w:color w:val="000000"/>
                <w:sz w:val="18"/>
                <w:szCs w:val="18"/>
              </w:rPr>
              <w:t>.</w:t>
            </w:r>
            <w:r w:rsidRPr="004B723C">
              <w:rPr>
                <w:rFonts w:cs="Times New Roman"/>
                <w:color w:val="000000"/>
                <w:sz w:val="18"/>
                <w:szCs w:val="18"/>
              </w:rPr>
              <w:t>36</w:t>
            </w:r>
          </w:p>
        </w:tc>
      </w:tr>
      <w:tr w:rsidR="0098697B" w:rsidRPr="004B723C" w14:paraId="6CACDB67" w14:textId="77777777" w:rsidTr="007F3A2D">
        <w:trPr>
          <w:trHeight w:val="300"/>
          <w:jc w:val="center"/>
        </w:trPr>
        <w:tc>
          <w:tcPr>
            <w:cnfStyle w:val="001000000000" w:firstRow="0" w:lastRow="0" w:firstColumn="1" w:lastColumn="0" w:oddVBand="0" w:evenVBand="0" w:oddHBand="0" w:evenHBand="0" w:firstRowFirstColumn="0" w:firstRowLastColumn="0" w:lastRowFirstColumn="0" w:lastRowLastColumn="0"/>
            <w:tcW w:w="2825" w:type="dxa"/>
            <w:noWrap/>
            <w:vAlign w:val="center"/>
            <w:hideMark/>
          </w:tcPr>
          <w:p w14:paraId="56CBE453" w14:textId="77777777" w:rsidR="00F252F5" w:rsidRPr="004B723C" w:rsidRDefault="00F252F5" w:rsidP="007F3A2D">
            <w:pPr>
              <w:spacing w:line="360" w:lineRule="auto"/>
              <w:rPr>
                <w:rFonts w:eastAsia="Times New Roman" w:cs="Times New Roman"/>
                <w:color w:val="000000"/>
                <w:sz w:val="18"/>
                <w:szCs w:val="18"/>
                <w:lang w:eastAsia="en-GB"/>
              </w:rPr>
            </w:pPr>
            <w:r w:rsidRPr="004B723C">
              <w:rPr>
                <w:rFonts w:eastAsia="Times New Roman" w:cs="Times New Roman"/>
                <w:color w:val="000000"/>
                <w:sz w:val="18"/>
                <w:szCs w:val="18"/>
                <w:lang w:eastAsia="en-GB"/>
              </w:rPr>
              <w:t>HLA–DSA status</w:t>
            </w:r>
          </w:p>
        </w:tc>
        <w:tc>
          <w:tcPr>
            <w:tcW w:w="937" w:type="dxa"/>
            <w:noWrap/>
            <w:vAlign w:val="center"/>
            <w:hideMark/>
          </w:tcPr>
          <w:p w14:paraId="67031898" w14:textId="77777777"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Negative</w:t>
            </w:r>
          </w:p>
        </w:tc>
        <w:tc>
          <w:tcPr>
            <w:tcW w:w="956" w:type="dxa"/>
            <w:noWrap/>
            <w:vAlign w:val="center"/>
            <w:hideMark/>
          </w:tcPr>
          <w:p w14:paraId="7CD37441" w14:textId="77777777"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249/2,314</w:t>
            </w:r>
          </w:p>
        </w:tc>
        <w:tc>
          <w:tcPr>
            <w:tcW w:w="1252" w:type="dxa"/>
            <w:noWrap/>
            <w:vAlign w:val="center"/>
            <w:hideMark/>
          </w:tcPr>
          <w:p w14:paraId="571FD72D" w14:textId="77777777"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232/2,108</w:t>
            </w:r>
          </w:p>
        </w:tc>
        <w:tc>
          <w:tcPr>
            <w:tcW w:w="1529" w:type="dxa"/>
            <w:noWrap/>
            <w:vAlign w:val="center"/>
            <w:hideMark/>
          </w:tcPr>
          <w:p w14:paraId="7B8EB309" w14:textId="0229B058" w:rsidR="00F252F5" w:rsidRPr="004B723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1374" w:type="dxa"/>
            <w:noWrap/>
            <w:vAlign w:val="center"/>
            <w:hideMark/>
          </w:tcPr>
          <w:p w14:paraId="2C774A5F" w14:textId="145EC2F7" w:rsidR="00F252F5" w:rsidRPr="004B723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956" w:type="dxa"/>
            <w:noWrap/>
            <w:vAlign w:val="center"/>
            <w:hideMark/>
          </w:tcPr>
          <w:p w14:paraId="776CD9C7" w14:textId="77777777"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248/2,313</w:t>
            </w:r>
          </w:p>
        </w:tc>
        <w:tc>
          <w:tcPr>
            <w:tcW w:w="1252" w:type="dxa"/>
            <w:noWrap/>
            <w:vAlign w:val="center"/>
            <w:hideMark/>
          </w:tcPr>
          <w:p w14:paraId="25EB9B22" w14:textId="77777777"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231/2,107</w:t>
            </w:r>
          </w:p>
        </w:tc>
        <w:tc>
          <w:tcPr>
            <w:tcW w:w="1529" w:type="dxa"/>
            <w:noWrap/>
            <w:vAlign w:val="center"/>
            <w:hideMark/>
          </w:tcPr>
          <w:p w14:paraId="5AAB3A4C" w14:textId="126A2A8B" w:rsidR="00F252F5" w:rsidRPr="004B723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1374" w:type="dxa"/>
            <w:noWrap/>
            <w:vAlign w:val="center"/>
            <w:hideMark/>
          </w:tcPr>
          <w:p w14:paraId="75E8525E" w14:textId="0DEED271" w:rsidR="00F252F5" w:rsidRPr="004B723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r>
      <w:tr w:rsidR="0098697B" w:rsidRPr="004B723C" w14:paraId="09814C45" w14:textId="77777777" w:rsidTr="007F3A2D">
        <w:trPr>
          <w:trHeight w:val="300"/>
          <w:jc w:val="center"/>
        </w:trPr>
        <w:tc>
          <w:tcPr>
            <w:cnfStyle w:val="001000000000" w:firstRow="0" w:lastRow="0" w:firstColumn="1" w:lastColumn="0" w:oddVBand="0" w:evenVBand="0" w:oddHBand="0" w:evenHBand="0" w:firstRowFirstColumn="0" w:firstRowLastColumn="0" w:lastRowFirstColumn="0" w:lastRowLastColumn="0"/>
            <w:tcW w:w="2825" w:type="dxa"/>
            <w:noWrap/>
            <w:vAlign w:val="center"/>
          </w:tcPr>
          <w:p w14:paraId="3E69F6FA" w14:textId="77777777" w:rsidR="00F252F5" w:rsidRPr="004B723C" w:rsidRDefault="00F252F5" w:rsidP="007F3A2D">
            <w:pPr>
              <w:spacing w:line="360" w:lineRule="auto"/>
              <w:rPr>
                <w:rFonts w:eastAsia="Times New Roman" w:cs="Times New Roman"/>
                <w:color w:val="000000"/>
                <w:sz w:val="18"/>
                <w:szCs w:val="18"/>
                <w:lang w:eastAsia="en-GB"/>
              </w:rPr>
            </w:pPr>
          </w:p>
        </w:tc>
        <w:tc>
          <w:tcPr>
            <w:tcW w:w="937" w:type="dxa"/>
            <w:noWrap/>
            <w:vAlign w:val="center"/>
            <w:hideMark/>
          </w:tcPr>
          <w:p w14:paraId="0234B8B4" w14:textId="77777777"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Positive</w:t>
            </w:r>
          </w:p>
        </w:tc>
        <w:tc>
          <w:tcPr>
            <w:tcW w:w="956" w:type="dxa"/>
            <w:noWrap/>
            <w:vAlign w:val="center"/>
          </w:tcPr>
          <w:p w14:paraId="3B9E89BD" w14:textId="387EAB48"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252" w:type="dxa"/>
            <w:noWrap/>
            <w:vAlign w:val="center"/>
            <w:hideMark/>
          </w:tcPr>
          <w:p w14:paraId="4C16E1EB" w14:textId="77777777"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17/206</w:t>
            </w:r>
          </w:p>
        </w:tc>
        <w:tc>
          <w:tcPr>
            <w:tcW w:w="1529" w:type="dxa"/>
            <w:noWrap/>
            <w:vAlign w:val="center"/>
            <w:hideMark/>
          </w:tcPr>
          <w:p w14:paraId="24E5BF14" w14:textId="77777777"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0.74 (0.45–1.21)</w:t>
            </w:r>
          </w:p>
        </w:tc>
        <w:tc>
          <w:tcPr>
            <w:tcW w:w="1374" w:type="dxa"/>
            <w:noWrap/>
            <w:vAlign w:val="center"/>
            <w:hideMark/>
          </w:tcPr>
          <w:p w14:paraId="1CE0196A" w14:textId="1E0BF884"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w:t>
            </w:r>
            <w:r w:rsidR="009B49E1" w:rsidRPr="004B723C">
              <w:rPr>
                <w:rFonts w:cs="Times New Roman"/>
                <w:color w:val="000000"/>
                <w:sz w:val="18"/>
                <w:szCs w:val="18"/>
              </w:rPr>
              <w:t>.</w:t>
            </w:r>
            <w:r w:rsidRPr="004B723C">
              <w:rPr>
                <w:rFonts w:cs="Times New Roman"/>
                <w:color w:val="000000"/>
                <w:sz w:val="18"/>
                <w:szCs w:val="18"/>
              </w:rPr>
              <w:t>23</w:t>
            </w:r>
          </w:p>
        </w:tc>
        <w:tc>
          <w:tcPr>
            <w:tcW w:w="956" w:type="dxa"/>
            <w:noWrap/>
            <w:vAlign w:val="center"/>
          </w:tcPr>
          <w:p w14:paraId="5C3BC55B" w14:textId="0490664D"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252" w:type="dxa"/>
            <w:noWrap/>
            <w:vAlign w:val="center"/>
            <w:hideMark/>
          </w:tcPr>
          <w:p w14:paraId="7C0F29B1" w14:textId="77777777"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17/206</w:t>
            </w:r>
          </w:p>
        </w:tc>
        <w:tc>
          <w:tcPr>
            <w:tcW w:w="1529" w:type="dxa"/>
            <w:noWrap/>
            <w:vAlign w:val="center"/>
            <w:hideMark/>
          </w:tcPr>
          <w:p w14:paraId="6CBF723F" w14:textId="77777777"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0.92 (0.55–1.55)</w:t>
            </w:r>
          </w:p>
        </w:tc>
        <w:tc>
          <w:tcPr>
            <w:tcW w:w="1374" w:type="dxa"/>
            <w:noWrap/>
            <w:vAlign w:val="center"/>
            <w:hideMark/>
          </w:tcPr>
          <w:p w14:paraId="078EB9F9" w14:textId="4C49B406"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w:t>
            </w:r>
            <w:r w:rsidR="009B49E1" w:rsidRPr="004B723C">
              <w:rPr>
                <w:rFonts w:cs="Times New Roman"/>
                <w:color w:val="000000"/>
                <w:sz w:val="18"/>
                <w:szCs w:val="18"/>
              </w:rPr>
              <w:t>.</w:t>
            </w:r>
            <w:r w:rsidRPr="004B723C">
              <w:rPr>
                <w:rFonts w:cs="Times New Roman"/>
                <w:color w:val="000000"/>
                <w:sz w:val="18"/>
                <w:szCs w:val="18"/>
              </w:rPr>
              <w:t>77</w:t>
            </w:r>
          </w:p>
        </w:tc>
      </w:tr>
      <w:tr w:rsidR="0098697B" w:rsidRPr="004B723C" w14:paraId="5B8168C0" w14:textId="77777777" w:rsidTr="007F3A2D">
        <w:trPr>
          <w:trHeight w:val="300"/>
          <w:jc w:val="center"/>
        </w:trPr>
        <w:tc>
          <w:tcPr>
            <w:cnfStyle w:val="001000000000" w:firstRow="0" w:lastRow="0" w:firstColumn="1" w:lastColumn="0" w:oddVBand="0" w:evenVBand="0" w:oddHBand="0" w:evenHBand="0" w:firstRowFirstColumn="0" w:firstRowLastColumn="0" w:lastRowFirstColumn="0" w:lastRowLastColumn="0"/>
            <w:tcW w:w="2825" w:type="dxa"/>
            <w:noWrap/>
            <w:vAlign w:val="center"/>
            <w:hideMark/>
          </w:tcPr>
          <w:p w14:paraId="40579921" w14:textId="77777777" w:rsidR="00F252F5" w:rsidRPr="004B723C" w:rsidRDefault="00F252F5" w:rsidP="007F3A2D">
            <w:pPr>
              <w:spacing w:line="360" w:lineRule="auto"/>
              <w:rPr>
                <w:rFonts w:eastAsia="Times New Roman" w:cs="Times New Roman"/>
                <w:color w:val="000000"/>
                <w:sz w:val="18"/>
                <w:szCs w:val="18"/>
                <w:lang w:eastAsia="en-GB"/>
              </w:rPr>
            </w:pPr>
            <w:r w:rsidRPr="004B723C">
              <w:rPr>
                <w:rFonts w:eastAsia="Times New Roman" w:cs="Times New Roman"/>
                <w:color w:val="000000"/>
                <w:sz w:val="18"/>
                <w:szCs w:val="18"/>
                <w:lang w:eastAsia="en-GB"/>
              </w:rPr>
              <w:t>Recipient age (per 10 years)</w:t>
            </w:r>
          </w:p>
        </w:tc>
        <w:tc>
          <w:tcPr>
            <w:tcW w:w="937" w:type="dxa"/>
            <w:noWrap/>
            <w:vAlign w:val="center"/>
            <w:hideMark/>
          </w:tcPr>
          <w:p w14:paraId="7B9A6B50" w14:textId="77777777"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w:t>
            </w:r>
          </w:p>
        </w:tc>
        <w:tc>
          <w:tcPr>
            <w:tcW w:w="956" w:type="dxa"/>
            <w:noWrap/>
            <w:vAlign w:val="center"/>
            <w:hideMark/>
          </w:tcPr>
          <w:p w14:paraId="6E13E494" w14:textId="77777777"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249/2,314</w:t>
            </w:r>
          </w:p>
        </w:tc>
        <w:tc>
          <w:tcPr>
            <w:tcW w:w="1252" w:type="dxa"/>
            <w:noWrap/>
            <w:vAlign w:val="center"/>
            <w:hideMark/>
          </w:tcPr>
          <w:p w14:paraId="0C35002C" w14:textId="77777777"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w:t>
            </w:r>
          </w:p>
        </w:tc>
        <w:tc>
          <w:tcPr>
            <w:tcW w:w="1529" w:type="dxa"/>
            <w:noWrap/>
            <w:vAlign w:val="center"/>
            <w:hideMark/>
          </w:tcPr>
          <w:p w14:paraId="68545BF1" w14:textId="77777777"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1.04 (0.94–1.15)</w:t>
            </w:r>
          </w:p>
        </w:tc>
        <w:tc>
          <w:tcPr>
            <w:tcW w:w="1374" w:type="dxa"/>
            <w:noWrap/>
            <w:vAlign w:val="center"/>
            <w:hideMark/>
          </w:tcPr>
          <w:p w14:paraId="07582317" w14:textId="428C1C60"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w:t>
            </w:r>
            <w:r w:rsidR="009B49E1" w:rsidRPr="004B723C">
              <w:rPr>
                <w:rFonts w:cs="Times New Roman"/>
                <w:color w:val="000000"/>
                <w:sz w:val="18"/>
                <w:szCs w:val="18"/>
              </w:rPr>
              <w:t>.</w:t>
            </w:r>
            <w:r w:rsidRPr="004B723C">
              <w:rPr>
                <w:rFonts w:cs="Times New Roman"/>
                <w:color w:val="000000"/>
                <w:sz w:val="18"/>
                <w:szCs w:val="18"/>
              </w:rPr>
              <w:t>42</w:t>
            </w:r>
          </w:p>
        </w:tc>
        <w:tc>
          <w:tcPr>
            <w:tcW w:w="956" w:type="dxa"/>
            <w:noWrap/>
            <w:vAlign w:val="center"/>
            <w:hideMark/>
          </w:tcPr>
          <w:p w14:paraId="5B46EA78" w14:textId="77777777"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248/2,313</w:t>
            </w:r>
          </w:p>
        </w:tc>
        <w:tc>
          <w:tcPr>
            <w:tcW w:w="1252" w:type="dxa"/>
            <w:noWrap/>
            <w:vAlign w:val="center"/>
            <w:hideMark/>
          </w:tcPr>
          <w:p w14:paraId="4A9DD183" w14:textId="77777777"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w:t>
            </w:r>
          </w:p>
        </w:tc>
        <w:tc>
          <w:tcPr>
            <w:tcW w:w="1529" w:type="dxa"/>
            <w:noWrap/>
            <w:vAlign w:val="center"/>
            <w:hideMark/>
          </w:tcPr>
          <w:p w14:paraId="237B7937" w14:textId="77777777"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0.97 (0.87–1.08)</w:t>
            </w:r>
          </w:p>
        </w:tc>
        <w:tc>
          <w:tcPr>
            <w:tcW w:w="1374" w:type="dxa"/>
            <w:noWrap/>
            <w:vAlign w:val="center"/>
            <w:hideMark/>
          </w:tcPr>
          <w:p w14:paraId="52E5F8AA" w14:textId="142972AF"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w:t>
            </w:r>
            <w:r w:rsidR="009B49E1" w:rsidRPr="004B723C">
              <w:rPr>
                <w:rFonts w:cs="Times New Roman"/>
                <w:color w:val="000000"/>
                <w:sz w:val="18"/>
                <w:szCs w:val="18"/>
              </w:rPr>
              <w:t>.</w:t>
            </w:r>
            <w:r w:rsidRPr="004B723C">
              <w:rPr>
                <w:rFonts w:cs="Times New Roman"/>
                <w:color w:val="000000"/>
                <w:sz w:val="18"/>
                <w:szCs w:val="18"/>
              </w:rPr>
              <w:t>58</w:t>
            </w:r>
          </w:p>
        </w:tc>
      </w:tr>
      <w:tr w:rsidR="0098697B" w:rsidRPr="004B723C" w14:paraId="2DD2F6AF" w14:textId="77777777" w:rsidTr="007F3A2D">
        <w:trPr>
          <w:trHeight w:val="300"/>
          <w:jc w:val="center"/>
        </w:trPr>
        <w:tc>
          <w:tcPr>
            <w:cnfStyle w:val="001000000000" w:firstRow="0" w:lastRow="0" w:firstColumn="1" w:lastColumn="0" w:oddVBand="0" w:evenVBand="0" w:oddHBand="0" w:evenHBand="0" w:firstRowFirstColumn="0" w:firstRowLastColumn="0" w:lastRowFirstColumn="0" w:lastRowLastColumn="0"/>
            <w:tcW w:w="2825" w:type="dxa"/>
            <w:noWrap/>
            <w:vAlign w:val="center"/>
            <w:hideMark/>
          </w:tcPr>
          <w:p w14:paraId="0E9C632C" w14:textId="77777777" w:rsidR="00F252F5" w:rsidRPr="004B723C" w:rsidRDefault="00F252F5" w:rsidP="007F3A2D">
            <w:pPr>
              <w:spacing w:line="360" w:lineRule="auto"/>
              <w:rPr>
                <w:rFonts w:eastAsia="Times New Roman" w:cs="Times New Roman"/>
                <w:color w:val="000000"/>
                <w:sz w:val="18"/>
                <w:szCs w:val="18"/>
                <w:lang w:eastAsia="en-GB"/>
              </w:rPr>
            </w:pPr>
            <w:r w:rsidRPr="004B723C">
              <w:rPr>
                <w:rFonts w:eastAsia="Times New Roman" w:cs="Times New Roman"/>
                <w:color w:val="000000"/>
                <w:sz w:val="18"/>
                <w:szCs w:val="18"/>
                <w:lang w:eastAsia="en-GB"/>
              </w:rPr>
              <w:t>Recipient sex</w:t>
            </w:r>
          </w:p>
        </w:tc>
        <w:tc>
          <w:tcPr>
            <w:tcW w:w="937" w:type="dxa"/>
            <w:noWrap/>
            <w:vAlign w:val="center"/>
            <w:hideMark/>
          </w:tcPr>
          <w:p w14:paraId="20954529" w14:textId="77777777"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Male</w:t>
            </w:r>
          </w:p>
        </w:tc>
        <w:tc>
          <w:tcPr>
            <w:tcW w:w="956" w:type="dxa"/>
            <w:noWrap/>
            <w:vAlign w:val="center"/>
            <w:hideMark/>
          </w:tcPr>
          <w:p w14:paraId="198AF5E3" w14:textId="77777777"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249/2,314</w:t>
            </w:r>
          </w:p>
        </w:tc>
        <w:tc>
          <w:tcPr>
            <w:tcW w:w="1252" w:type="dxa"/>
            <w:noWrap/>
            <w:vAlign w:val="center"/>
            <w:hideMark/>
          </w:tcPr>
          <w:p w14:paraId="0307BD97" w14:textId="77777777"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143/1,454</w:t>
            </w:r>
          </w:p>
        </w:tc>
        <w:tc>
          <w:tcPr>
            <w:tcW w:w="1529" w:type="dxa"/>
            <w:noWrap/>
            <w:vAlign w:val="center"/>
            <w:hideMark/>
          </w:tcPr>
          <w:p w14:paraId="5B00FF34" w14:textId="152154F4" w:rsidR="00F252F5" w:rsidRPr="004B723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1374" w:type="dxa"/>
            <w:noWrap/>
            <w:vAlign w:val="center"/>
            <w:hideMark/>
          </w:tcPr>
          <w:p w14:paraId="504B5452" w14:textId="3AC4E304" w:rsidR="00F252F5" w:rsidRPr="004B723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956" w:type="dxa"/>
            <w:noWrap/>
            <w:vAlign w:val="center"/>
            <w:hideMark/>
          </w:tcPr>
          <w:p w14:paraId="74EEA3E1" w14:textId="77777777"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248/2,313</w:t>
            </w:r>
          </w:p>
        </w:tc>
        <w:tc>
          <w:tcPr>
            <w:tcW w:w="1252" w:type="dxa"/>
            <w:noWrap/>
            <w:vAlign w:val="center"/>
            <w:hideMark/>
          </w:tcPr>
          <w:p w14:paraId="0211E3A1" w14:textId="77777777"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142/1,453</w:t>
            </w:r>
          </w:p>
        </w:tc>
        <w:tc>
          <w:tcPr>
            <w:tcW w:w="1529" w:type="dxa"/>
            <w:noWrap/>
            <w:vAlign w:val="center"/>
            <w:hideMark/>
          </w:tcPr>
          <w:p w14:paraId="035658C1" w14:textId="2E45EA25" w:rsidR="00F252F5" w:rsidRPr="004B723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1374" w:type="dxa"/>
            <w:noWrap/>
            <w:vAlign w:val="center"/>
            <w:hideMark/>
          </w:tcPr>
          <w:p w14:paraId="22979F9C" w14:textId="4B34512D" w:rsidR="00F252F5" w:rsidRPr="004B723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r>
      <w:tr w:rsidR="0098697B" w:rsidRPr="004B723C" w14:paraId="531A7186" w14:textId="77777777" w:rsidTr="007F3A2D">
        <w:trPr>
          <w:trHeight w:val="300"/>
          <w:jc w:val="center"/>
        </w:trPr>
        <w:tc>
          <w:tcPr>
            <w:cnfStyle w:val="001000000000" w:firstRow="0" w:lastRow="0" w:firstColumn="1" w:lastColumn="0" w:oddVBand="0" w:evenVBand="0" w:oddHBand="0" w:evenHBand="0" w:firstRowFirstColumn="0" w:firstRowLastColumn="0" w:lastRowFirstColumn="0" w:lastRowLastColumn="0"/>
            <w:tcW w:w="2825" w:type="dxa"/>
            <w:noWrap/>
            <w:vAlign w:val="center"/>
          </w:tcPr>
          <w:p w14:paraId="114E6C0F" w14:textId="77777777" w:rsidR="00F252F5" w:rsidRPr="004B723C" w:rsidRDefault="00F252F5" w:rsidP="007F3A2D">
            <w:pPr>
              <w:spacing w:line="360" w:lineRule="auto"/>
              <w:rPr>
                <w:rFonts w:eastAsia="Times New Roman" w:cs="Times New Roman"/>
                <w:color w:val="000000"/>
                <w:sz w:val="18"/>
                <w:szCs w:val="18"/>
                <w:lang w:eastAsia="en-GB"/>
              </w:rPr>
            </w:pPr>
          </w:p>
        </w:tc>
        <w:tc>
          <w:tcPr>
            <w:tcW w:w="937" w:type="dxa"/>
            <w:noWrap/>
            <w:vAlign w:val="center"/>
            <w:hideMark/>
          </w:tcPr>
          <w:p w14:paraId="08943A6E" w14:textId="77777777"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Female</w:t>
            </w:r>
          </w:p>
        </w:tc>
        <w:tc>
          <w:tcPr>
            <w:tcW w:w="956" w:type="dxa"/>
            <w:noWrap/>
            <w:vAlign w:val="center"/>
          </w:tcPr>
          <w:p w14:paraId="399247EB" w14:textId="1EDCCBF8"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252" w:type="dxa"/>
            <w:noWrap/>
            <w:vAlign w:val="center"/>
            <w:hideMark/>
          </w:tcPr>
          <w:p w14:paraId="3BDDDC2C" w14:textId="77777777"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106/860</w:t>
            </w:r>
          </w:p>
        </w:tc>
        <w:tc>
          <w:tcPr>
            <w:tcW w:w="1529" w:type="dxa"/>
            <w:noWrap/>
            <w:vAlign w:val="center"/>
            <w:hideMark/>
          </w:tcPr>
          <w:p w14:paraId="49546564" w14:textId="77777777"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1.26 (0.98–1.62)</w:t>
            </w:r>
          </w:p>
        </w:tc>
        <w:tc>
          <w:tcPr>
            <w:tcW w:w="1374" w:type="dxa"/>
            <w:noWrap/>
            <w:vAlign w:val="center"/>
            <w:hideMark/>
          </w:tcPr>
          <w:p w14:paraId="45C28C43" w14:textId="311B0CFB"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w:t>
            </w:r>
            <w:r w:rsidR="009B49E1" w:rsidRPr="004B723C">
              <w:rPr>
                <w:rFonts w:cs="Times New Roman"/>
                <w:color w:val="000000"/>
                <w:sz w:val="18"/>
                <w:szCs w:val="18"/>
              </w:rPr>
              <w:t>.</w:t>
            </w:r>
            <w:r w:rsidRPr="004B723C">
              <w:rPr>
                <w:rFonts w:cs="Times New Roman"/>
                <w:color w:val="000000"/>
                <w:sz w:val="18"/>
                <w:szCs w:val="18"/>
              </w:rPr>
              <w:t>072</w:t>
            </w:r>
          </w:p>
        </w:tc>
        <w:tc>
          <w:tcPr>
            <w:tcW w:w="956" w:type="dxa"/>
            <w:noWrap/>
            <w:vAlign w:val="center"/>
          </w:tcPr>
          <w:p w14:paraId="538BC57F" w14:textId="7F776079"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252" w:type="dxa"/>
            <w:noWrap/>
            <w:vAlign w:val="center"/>
            <w:hideMark/>
          </w:tcPr>
          <w:p w14:paraId="34248D34" w14:textId="77777777"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106/860</w:t>
            </w:r>
          </w:p>
        </w:tc>
        <w:tc>
          <w:tcPr>
            <w:tcW w:w="1529" w:type="dxa"/>
            <w:noWrap/>
            <w:vAlign w:val="center"/>
            <w:hideMark/>
          </w:tcPr>
          <w:p w14:paraId="7949C53A" w14:textId="77777777"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1.48 (1.14–1.91)</w:t>
            </w:r>
          </w:p>
        </w:tc>
        <w:tc>
          <w:tcPr>
            <w:tcW w:w="1374" w:type="dxa"/>
            <w:noWrap/>
            <w:vAlign w:val="center"/>
            <w:hideMark/>
          </w:tcPr>
          <w:p w14:paraId="1E202AE6" w14:textId="75CDC6A8"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w:t>
            </w:r>
            <w:r w:rsidR="009B49E1" w:rsidRPr="004B723C">
              <w:rPr>
                <w:rFonts w:cs="Times New Roman"/>
                <w:color w:val="000000"/>
                <w:sz w:val="18"/>
                <w:szCs w:val="18"/>
              </w:rPr>
              <w:t>.</w:t>
            </w:r>
            <w:r w:rsidRPr="004B723C">
              <w:rPr>
                <w:rFonts w:cs="Times New Roman"/>
                <w:color w:val="000000"/>
                <w:sz w:val="18"/>
                <w:szCs w:val="18"/>
              </w:rPr>
              <w:t>0028</w:t>
            </w:r>
          </w:p>
        </w:tc>
      </w:tr>
      <w:tr w:rsidR="0098697B" w:rsidRPr="004B723C" w14:paraId="1511BC8C" w14:textId="77777777" w:rsidTr="007F3A2D">
        <w:trPr>
          <w:trHeight w:val="300"/>
          <w:jc w:val="center"/>
        </w:trPr>
        <w:tc>
          <w:tcPr>
            <w:cnfStyle w:val="001000000000" w:firstRow="0" w:lastRow="0" w:firstColumn="1" w:lastColumn="0" w:oddVBand="0" w:evenVBand="0" w:oddHBand="0" w:evenHBand="0" w:firstRowFirstColumn="0" w:firstRowLastColumn="0" w:lastRowFirstColumn="0" w:lastRowLastColumn="0"/>
            <w:tcW w:w="2825" w:type="dxa"/>
            <w:noWrap/>
            <w:vAlign w:val="center"/>
            <w:hideMark/>
          </w:tcPr>
          <w:p w14:paraId="388215D2" w14:textId="77777777" w:rsidR="00F252F5" w:rsidRPr="004B723C" w:rsidRDefault="00F252F5" w:rsidP="007F3A2D">
            <w:pPr>
              <w:spacing w:line="360" w:lineRule="auto"/>
              <w:rPr>
                <w:rFonts w:eastAsia="Times New Roman" w:cs="Times New Roman"/>
                <w:color w:val="000000"/>
                <w:sz w:val="18"/>
                <w:szCs w:val="18"/>
                <w:lang w:eastAsia="en-GB"/>
              </w:rPr>
            </w:pPr>
            <w:r w:rsidRPr="004B723C">
              <w:rPr>
                <w:rFonts w:eastAsia="Times New Roman" w:cs="Times New Roman"/>
                <w:color w:val="000000"/>
                <w:sz w:val="18"/>
                <w:szCs w:val="18"/>
                <w:lang w:eastAsia="en-GB"/>
              </w:rPr>
              <w:t>Repeat transplantation</w:t>
            </w:r>
          </w:p>
        </w:tc>
        <w:tc>
          <w:tcPr>
            <w:tcW w:w="937" w:type="dxa"/>
            <w:noWrap/>
            <w:vAlign w:val="center"/>
            <w:hideMark/>
          </w:tcPr>
          <w:p w14:paraId="718BE198" w14:textId="77777777"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No</w:t>
            </w:r>
          </w:p>
        </w:tc>
        <w:tc>
          <w:tcPr>
            <w:tcW w:w="956" w:type="dxa"/>
            <w:noWrap/>
            <w:vAlign w:val="center"/>
            <w:hideMark/>
          </w:tcPr>
          <w:p w14:paraId="1E5A68ED" w14:textId="77777777"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249/2,314</w:t>
            </w:r>
          </w:p>
        </w:tc>
        <w:tc>
          <w:tcPr>
            <w:tcW w:w="1252" w:type="dxa"/>
            <w:noWrap/>
            <w:vAlign w:val="center"/>
            <w:hideMark/>
          </w:tcPr>
          <w:p w14:paraId="0D78045F" w14:textId="77777777"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221/1,977</w:t>
            </w:r>
          </w:p>
        </w:tc>
        <w:tc>
          <w:tcPr>
            <w:tcW w:w="1529" w:type="dxa"/>
            <w:noWrap/>
            <w:vAlign w:val="center"/>
            <w:hideMark/>
          </w:tcPr>
          <w:p w14:paraId="504C73CC" w14:textId="724B1430" w:rsidR="00F252F5" w:rsidRPr="004B723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1374" w:type="dxa"/>
            <w:noWrap/>
            <w:vAlign w:val="center"/>
            <w:hideMark/>
          </w:tcPr>
          <w:p w14:paraId="2003374C" w14:textId="45526AB3" w:rsidR="00F252F5" w:rsidRPr="004B723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956" w:type="dxa"/>
            <w:noWrap/>
            <w:vAlign w:val="center"/>
            <w:hideMark/>
          </w:tcPr>
          <w:p w14:paraId="366D1E73" w14:textId="77777777"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248/2,313</w:t>
            </w:r>
          </w:p>
        </w:tc>
        <w:tc>
          <w:tcPr>
            <w:tcW w:w="1252" w:type="dxa"/>
            <w:noWrap/>
            <w:vAlign w:val="center"/>
            <w:hideMark/>
          </w:tcPr>
          <w:p w14:paraId="1335F254" w14:textId="77777777"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220/1,976</w:t>
            </w:r>
          </w:p>
        </w:tc>
        <w:tc>
          <w:tcPr>
            <w:tcW w:w="1529" w:type="dxa"/>
            <w:noWrap/>
            <w:vAlign w:val="center"/>
            <w:hideMark/>
          </w:tcPr>
          <w:p w14:paraId="179E3E1C" w14:textId="05D43936" w:rsidR="00F252F5" w:rsidRPr="004B723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1374" w:type="dxa"/>
            <w:noWrap/>
            <w:vAlign w:val="center"/>
            <w:hideMark/>
          </w:tcPr>
          <w:p w14:paraId="2CC1777D" w14:textId="39A37A79" w:rsidR="00F252F5" w:rsidRPr="004B723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r>
      <w:tr w:rsidR="0098697B" w:rsidRPr="004B723C" w14:paraId="28AAB25D" w14:textId="77777777" w:rsidTr="007F3A2D">
        <w:trPr>
          <w:trHeight w:val="300"/>
          <w:jc w:val="center"/>
        </w:trPr>
        <w:tc>
          <w:tcPr>
            <w:cnfStyle w:val="001000000000" w:firstRow="0" w:lastRow="0" w:firstColumn="1" w:lastColumn="0" w:oddVBand="0" w:evenVBand="0" w:oddHBand="0" w:evenHBand="0" w:firstRowFirstColumn="0" w:firstRowLastColumn="0" w:lastRowFirstColumn="0" w:lastRowLastColumn="0"/>
            <w:tcW w:w="2825" w:type="dxa"/>
            <w:noWrap/>
            <w:vAlign w:val="center"/>
          </w:tcPr>
          <w:p w14:paraId="647AFAEF" w14:textId="77777777" w:rsidR="00F252F5" w:rsidRPr="004B723C" w:rsidRDefault="00F252F5" w:rsidP="007F3A2D">
            <w:pPr>
              <w:spacing w:line="360" w:lineRule="auto"/>
              <w:rPr>
                <w:rFonts w:eastAsia="Times New Roman" w:cs="Times New Roman"/>
                <w:color w:val="000000"/>
                <w:sz w:val="18"/>
                <w:szCs w:val="18"/>
                <w:lang w:eastAsia="en-GB"/>
              </w:rPr>
            </w:pPr>
          </w:p>
        </w:tc>
        <w:tc>
          <w:tcPr>
            <w:tcW w:w="937" w:type="dxa"/>
            <w:noWrap/>
            <w:vAlign w:val="center"/>
            <w:hideMark/>
          </w:tcPr>
          <w:p w14:paraId="5CF985E1" w14:textId="77777777"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Yes</w:t>
            </w:r>
          </w:p>
        </w:tc>
        <w:tc>
          <w:tcPr>
            <w:tcW w:w="956" w:type="dxa"/>
            <w:noWrap/>
            <w:vAlign w:val="center"/>
          </w:tcPr>
          <w:p w14:paraId="6B91E785" w14:textId="4567449D"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252" w:type="dxa"/>
            <w:noWrap/>
            <w:vAlign w:val="center"/>
            <w:hideMark/>
          </w:tcPr>
          <w:p w14:paraId="576BD0E7" w14:textId="77777777"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28/337</w:t>
            </w:r>
          </w:p>
        </w:tc>
        <w:tc>
          <w:tcPr>
            <w:tcW w:w="1529" w:type="dxa"/>
            <w:noWrap/>
            <w:vAlign w:val="center"/>
            <w:hideMark/>
          </w:tcPr>
          <w:p w14:paraId="5E3A03DC" w14:textId="77777777"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0.73 (0.49–1.08)</w:t>
            </w:r>
          </w:p>
        </w:tc>
        <w:tc>
          <w:tcPr>
            <w:tcW w:w="1374" w:type="dxa"/>
            <w:noWrap/>
            <w:vAlign w:val="center"/>
            <w:hideMark/>
          </w:tcPr>
          <w:p w14:paraId="72B2F5DF" w14:textId="4F9E5417"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w:t>
            </w:r>
            <w:r w:rsidR="009B49E1" w:rsidRPr="004B723C">
              <w:rPr>
                <w:rFonts w:cs="Times New Roman"/>
                <w:color w:val="000000"/>
                <w:sz w:val="18"/>
                <w:szCs w:val="18"/>
              </w:rPr>
              <w:t>.</w:t>
            </w:r>
            <w:r w:rsidRPr="004B723C">
              <w:rPr>
                <w:rFonts w:cs="Times New Roman"/>
                <w:color w:val="000000"/>
                <w:sz w:val="18"/>
                <w:szCs w:val="18"/>
              </w:rPr>
              <w:t>12</w:t>
            </w:r>
          </w:p>
        </w:tc>
        <w:tc>
          <w:tcPr>
            <w:tcW w:w="956" w:type="dxa"/>
            <w:noWrap/>
            <w:vAlign w:val="center"/>
          </w:tcPr>
          <w:p w14:paraId="568F5BE1" w14:textId="075139DF"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252" w:type="dxa"/>
            <w:noWrap/>
            <w:vAlign w:val="center"/>
            <w:hideMark/>
          </w:tcPr>
          <w:p w14:paraId="54C4A7EB" w14:textId="77777777"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28/337</w:t>
            </w:r>
          </w:p>
        </w:tc>
        <w:tc>
          <w:tcPr>
            <w:tcW w:w="1529" w:type="dxa"/>
            <w:noWrap/>
            <w:vAlign w:val="center"/>
            <w:hideMark/>
          </w:tcPr>
          <w:p w14:paraId="176AD2C4" w14:textId="77777777"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0.81 (0.53–1.22)</w:t>
            </w:r>
          </w:p>
        </w:tc>
        <w:tc>
          <w:tcPr>
            <w:tcW w:w="1374" w:type="dxa"/>
            <w:noWrap/>
            <w:vAlign w:val="center"/>
            <w:hideMark/>
          </w:tcPr>
          <w:p w14:paraId="78246E5C" w14:textId="080CD1EC" w:rsidR="00F252F5" w:rsidRPr="004B723C" w:rsidRDefault="00F252F5"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w:t>
            </w:r>
            <w:r w:rsidR="009B49E1" w:rsidRPr="004B723C">
              <w:rPr>
                <w:rFonts w:cs="Times New Roman"/>
                <w:color w:val="000000"/>
                <w:sz w:val="18"/>
                <w:szCs w:val="18"/>
              </w:rPr>
              <w:t>.</w:t>
            </w:r>
            <w:r w:rsidRPr="004B723C">
              <w:rPr>
                <w:rFonts w:cs="Times New Roman"/>
                <w:color w:val="000000"/>
                <w:sz w:val="18"/>
                <w:szCs w:val="18"/>
              </w:rPr>
              <w:t>32</w:t>
            </w:r>
          </w:p>
        </w:tc>
      </w:tr>
    </w:tbl>
    <w:p w14:paraId="2352A65C" w14:textId="0CF6FCED" w:rsidR="00174E5A" w:rsidRPr="004B723C" w:rsidRDefault="00174E5A" w:rsidP="00174E5A">
      <w:pPr>
        <w:spacing w:before="240" w:line="360" w:lineRule="auto"/>
      </w:pPr>
      <w:r w:rsidRPr="004B723C">
        <w:t>Values are hazard ratios (HRs) with 95% confidence intervals (CIs) from univariable and multivariable Cox proportional-hazards models.</w:t>
      </w:r>
      <w:r w:rsidR="002B49F5" w:rsidRPr="004B723C">
        <w:t xml:space="preserve"> Post–transplant CMV disease was defined as either CMV syndrome or tissue-invasive CMV disease. </w:t>
      </w:r>
      <w:r w:rsidRPr="004B723C">
        <w:t xml:space="preserve">Total events and events per subgroup are presented as n/N, where n denotes the number of events and N the number of participants with non-missing data for the respective covariate. Multivariable models were adjusted for recipient age and sex, donor age and type (living, donation after circulatory death, donation after brain death), repeat transplantation, calendar year of transplantation, HLA mismatch, HLA-DSA status at transplantation, cold ischemia time, and transplant </w:t>
      </w:r>
      <w:r w:rsidR="00C519B9" w:rsidRPr="004B723C">
        <w:t>center</w:t>
      </w:r>
      <w:r w:rsidRPr="004B723C">
        <w:t>.</w:t>
      </w:r>
    </w:p>
    <w:p w14:paraId="2343CF00" w14:textId="7D0D4BFC" w:rsidR="00174E5A" w:rsidRPr="004B723C" w:rsidRDefault="00174E5A" w:rsidP="007F3A2D">
      <w:pPr>
        <w:spacing w:before="240" w:line="360" w:lineRule="auto"/>
      </w:pPr>
      <w:r w:rsidRPr="004B723C">
        <w:t xml:space="preserve">Abbreviations: CMV, cytomegalovirus; D, donor; DSA, donor-specific antibody; HLA, human leukocyte antigen; R, recipient; </w:t>
      </w:r>
      <w:r w:rsidR="00D45F56" w:rsidRPr="004B723C">
        <w:t>Ref.</w:t>
      </w:r>
      <w:r w:rsidRPr="004B723C">
        <w:t>, reference.</w:t>
      </w:r>
    </w:p>
    <w:p w14:paraId="58307607" w14:textId="77777777" w:rsidR="0000550B" w:rsidRPr="004B723C" w:rsidRDefault="0000550B" w:rsidP="007F3A2D">
      <w:pPr>
        <w:spacing w:line="360" w:lineRule="auto"/>
      </w:pPr>
    </w:p>
    <w:p w14:paraId="6CF39F6F" w14:textId="77777777" w:rsidR="008F2DD5" w:rsidRPr="004B723C" w:rsidRDefault="008F2DD5" w:rsidP="007F3A2D">
      <w:pPr>
        <w:spacing w:line="360" w:lineRule="auto"/>
        <w:sectPr w:rsidR="008F2DD5" w:rsidRPr="004B723C" w:rsidSect="00380509">
          <w:pgSz w:w="16838" w:h="11906" w:orient="landscape"/>
          <w:pgMar w:top="1417" w:right="1417" w:bottom="1417" w:left="1417" w:header="708" w:footer="708" w:gutter="0"/>
          <w:cols w:space="708"/>
          <w:docGrid w:linePitch="360"/>
        </w:sectPr>
      </w:pPr>
    </w:p>
    <w:p w14:paraId="5C100126" w14:textId="5E335319" w:rsidR="009B5C97" w:rsidRPr="004B723C" w:rsidRDefault="009B5C97" w:rsidP="009B5C97">
      <w:pPr>
        <w:pStyle w:val="Heading2"/>
      </w:pPr>
      <w:bookmarkStart w:id="16" w:name="_Toc216645098"/>
      <w:r w:rsidRPr="004B723C">
        <w:lastRenderedPageBreak/>
        <w:t>Table S1</w:t>
      </w:r>
      <w:r w:rsidR="00267FED" w:rsidRPr="004B723C">
        <w:t>4</w:t>
      </w:r>
      <w:r w:rsidRPr="004B723C">
        <w:t xml:space="preserve">: Time-dependent Cox proportional hazards models for post-transplant CMV </w:t>
      </w:r>
      <w:r w:rsidR="000F4D8B" w:rsidRPr="004B723C">
        <w:t>replication</w:t>
      </w:r>
      <w:r w:rsidRPr="004B723C">
        <w:t xml:space="preserve"> and first MVI</w:t>
      </w:r>
    </w:p>
    <w:tbl>
      <w:tblPr>
        <w:tblStyle w:val="Nature"/>
        <w:tblW w:w="0" w:type="auto"/>
        <w:jc w:val="center"/>
        <w:tblLook w:val="04A0" w:firstRow="1" w:lastRow="0" w:firstColumn="1" w:lastColumn="0" w:noHBand="0" w:noVBand="1"/>
      </w:tblPr>
      <w:tblGrid>
        <w:gridCol w:w="3280"/>
        <w:gridCol w:w="866"/>
        <w:gridCol w:w="1041"/>
        <w:gridCol w:w="1372"/>
        <w:gridCol w:w="1416"/>
        <w:gridCol w:w="1063"/>
        <w:gridCol w:w="1041"/>
        <w:gridCol w:w="1372"/>
        <w:gridCol w:w="1416"/>
        <w:gridCol w:w="1063"/>
      </w:tblGrid>
      <w:tr w:rsidR="00D53FD9" w:rsidRPr="004B723C" w14:paraId="1E3C0384" w14:textId="77777777" w:rsidTr="000A4648">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E4A4B9D" w14:textId="1B51C21B" w:rsidR="008D401B" w:rsidRPr="004B723C" w:rsidRDefault="00FF3CC9" w:rsidP="000A4648">
            <w:pPr>
              <w:spacing w:line="360" w:lineRule="auto"/>
              <w:jc w:val="center"/>
              <w:rPr>
                <w:rFonts w:eastAsia="Times New Roman" w:cs="Times New Roman"/>
                <w:b/>
                <w:bCs/>
                <w:iCs w:val="0"/>
                <w:color w:val="000000"/>
                <w:sz w:val="18"/>
                <w:szCs w:val="18"/>
                <w:lang w:eastAsia="en-GB"/>
              </w:rPr>
            </w:pPr>
            <w:r>
              <w:rPr>
                <w:rFonts w:eastAsia="Times New Roman" w:cs="Times New Roman"/>
                <w:b/>
                <w:bCs/>
                <w:color w:val="000000"/>
                <w:sz w:val="18"/>
                <w:szCs w:val="18"/>
                <w:lang w:eastAsia="en-GB"/>
              </w:rPr>
              <w:t>Factors</w:t>
            </w:r>
          </w:p>
        </w:tc>
        <w:tc>
          <w:tcPr>
            <w:tcW w:w="0" w:type="auto"/>
            <w:noWrap/>
            <w:vAlign w:val="center"/>
            <w:hideMark/>
          </w:tcPr>
          <w:p w14:paraId="23438ADC" w14:textId="77777777" w:rsidR="008D401B" w:rsidRPr="004B723C" w:rsidRDefault="008D401B" w:rsidP="000A4648">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iCs w:val="0"/>
                <w:color w:val="000000"/>
                <w:sz w:val="18"/>
                <w:szCs w:val="18"/>
                <w:lang w:eastAsia="en-GB"/>
              </w:rPr>
            </w:pPr>
            <w:r w:rsidRPr="004B723C">
              <w:rPr>
                <w:rFonts w:eastAsia="Times New Roman" w:cs="Times New Roman"/>
                <w:b/>
                <w:bCs/>
                <w:color w:val="000000"/>
                <w:sz w:val="18"/>
                <w:szCs w:val="18"/>
                <w:lang w:eastAsia="en-GB"/>
              </w:rPr>
              <w:t>Level</w:t>
            </w:r>
          </w:p>
        </w:tc>
        <w:tc>
          <w:tcPr>
            <w:tcW w:w="0" w:type="auto"/>
            <w:noWrap/>
            <w:vAlign w:val="center"/>
            <w:hideMark/>
          </w:tcPr>
          <w:p w14:paraId="7132DA52" w14:textId="7FDE860F" w:rsidR="008D401B" w:rsidRPr="004B723C" w:rsidRDefault="008D401B" w:rsidP="000A4648">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iCs w:val="0"/>
                <w:color w:val="000000"/>
                <w:sz w:val="18"/>
                <w:szCs w:val="18"/>
                <w:lang w:eastAsia="en-GB"/>
              </w:rPr>
            </w:pPr>
            <w:r w:rsidRPr="004B723C">
              <w:rPr>
                <w:rFonts w:eastAsia="Times New Roman" w:cs="Times New Roman"/>
                <w:b/>
                <w:bCs/>
                <w:color w:val="000000"/>
                <w:sz w:val="18"/>
                <w:szCs w:val="18"/>
                <w:lang w:eastAsia="en-GB"/>
              </w:rPr>
              <w:t>Events/</w:t>
            </w:r>
            <w:r w:rsidRPr="004B723C">
              <w:rPr>
                <w:rFonts w:eastAsia="Times New Roman" w:cs="Times New Roman"/>
                <w:b/>
                <w:bCs/>
                <w:color w:val="000000"/>
                <w:sz w:val="18"/>
                <w:szCs w:val="18"/>
                <w:lang w:eastAsia="en-GB"/>
              </w:rPr>
              <w:br/>
              <w:t xml:space="preserve">N </w:t>
            </w:r>
            <w:r w:rsidR="00E378EF" w:rsidRPr="004B723C">
              <w:rPr>
                <w:rFonts w:eastAsia="Times New Roman" w:cs="Times New Roman"/>
                <w:b/>
                <w:bCs/>
                <w:color w:val="000000"/>
                <w:sz w:val="18"/>
                <w:szCs w:val="18"/>
                <w:lang w:eastAsia="en-GB"/>
              </w:rPr>
              <w:t>analyzed</w:t>
            </w:r>
          </w:p>
        </w:tc>
        <w:tc>
          <w:tcPr>
            <w:tcW w:w="0" w:type="auto"/>
            <w:noWrap/>
            <w:vAlign w:val="center"/>
            <w:hideMark/>
          </w:tcPr>
          <w:p w14:paraId="46EE6D6B" w14:textId="77777777" w:rsidR="008D401B" w:rsidRPr="004B723C" w:rsidRDefault="008D401B" w:rsidP="000A4648">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iCs w:val="0"/>
                <w:color w:val="000000"/>
                <w:sz w:val="18"/>
                <w:szCs w:val="18"/>
                <w:lang w:eastAsia="en-GB"/>
              </w:rPr>
            </w:pPr>
            <w:r w:rsidRPr="004B723C">
              <w:rPr>
                <w:rFonts w:eastAsia="Times New Roman" w:cs="Times New Roman"/>
                <w:b/>
                <w:bCs/>
                <w:color w:val="000000"/>
                <w:sz w:val="18"/>
                <w:szCs w:val="18"/>
                <w:lang w:eastAsia="en-GB"/>
              </w:rPr>
              <w:t>Events (group)/</w:t>
            </w:r>
            <w:r w:rsidRPr="004B723C">
              <w:rPr>
                <w:rFonts w:eastAsia="Times New Roman" w:cs="Times New Roman"/>
                <w:b/>
                <w:bCs/>
                <w:color w:val="000000"/>
                <w:sz w:val="18"/>
                <w:szCs w:val="18"/>
                <w:lang w:eastAsia="en-GB"/>
              </w:rPr>
              <w:br/>
              <w:t>N (group)</w:t>
            </w:r>
          </w:p>
        </w:tc>
        <w:tc>
          <w:tcPr>
            <w:tcW w:w="0" w:type="auto"/>
            <w:noWrap/>
            <w:vAlign w:val="center"/>
            <w:hideMark/>
          </w:tcPr>
          <w:p w14:paraId="43E87A36" w14:textId="77777777" w:rsidR="008D401B" w:rsidRPr="004B723C" w:rsidRDefault="008D401B" w:rsidP="000A4648">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iCs w:val="0"/>
                <w:color w:val="000000"/>
                <w:sz w:val="18"/>
                <w:szCs w:val="18"/>
                <w:lang w:eastAsia="en-GB"/>
              </w:rPr>
            </w:pPr>
            <w:r w:rsidRPr="004B723C">
              <w:rPr>
                <w:rFonts w:eastAsia="Times New Roman" w:cs="Times New Roman"/>
                <w:b/>
                <w:bCs/>
                <w:color w:val="000000"/>
                <w:sz w:val="18"/>
                <w:szCs w:val="18"/>
                <w:lang w:eastAsia="en-GB"/>
              </w:rPr>
              <w:t>HR</w:t>
            </w:r>
            <w:r w:rsidRPr="004B723C">
              <w:rPr>
                <w:rFonts w:eastAsia="Times New Roman" w:cs="Times New Roman"/>
                <w:b/>
                <w:bCs/>
                <w:color w:val="000000"/>
                <w:sz w:val="18"/>
                <w:szCs w:val="18"/>
                <w:lang w:eastAsia="en-GB"/>
              </w:rPr>
              <w:br/>
              <w:t>(95% CI)</w:t>
            </w:r>
          </w:p>
        </w:tc>
        <w:tc>
          <w:tcPr>
            <w:tcW w:w="0" w:type="auto"/>
            <w:noWrap/>
            <w:vAlign w:val="center"/>
            <w:hideMark/>
          </w:tcPr>
          <w:p w14:paraId="48A54960" w14:textId="7B17A9FF" w:rsidR="008D401B" w:rsidRPr="004B723C" w:rsidRDefault="00FF3CC9" w:rsidP="000A4648">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iCs w:val="0"/>
                <w:color w:val="000000"/>
                <w:sz w:val="18"/>
                <w:szCs w:val="18"/>
                <w:lang w:eastAsia="en-GB"/>
              </w:rPr>
            </w:pPr>
            <w:r>
              <w:rPr>
                <w:rFonts w:eastAsia="Times New Roman" w:cs="Times New Roman"/>
                <w:b/>
                <w:bCs/>
                <w:color w:val="000000"/>
                <w:sz w:val="18"/>
                <w:szCs w:val="18"/>
                <w:lang w:eastAsia="en-GB"/>
              </w:rPr>
              <w:t>P</w:t>
            </w:r>
            <w:r w:rsidR="008D401B" w:rsidRPr="004B723C">
              <w:rPr>
                <w:rFonts w:eastAsia="Times New Roman" w:cs="Times New Roman"/>
                <w:b/>
                <w:bCs/>
                <w:color w:val="000000"/>
                <w:sz w:val="18"/>
                <w:szCs w:val="18"/>
                <w:lang w:eastAsia="en-GB"/>
              </w:rPr>
              <w:t xml:space="preserve"> value</w:t>
            </w:r>
          </w:p>
        </w:tc>
        <w:tc>
          <w:tcPr>
            <w:tcW w:w="0" w:type="auto"/>
            <w:noWrap/>
            <w:vAlign w:val="center"/>
            <w:hideMark/>
          </w:tcPr>
          <w:p w14:paraId="07FCC6F6" w14:textId="37974D98" w:rsidR="008D401B" w:rsidRPr="004B723C" w:rsidRDefault="008D401B" w:rsidP="000A4648">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iCs w:val="0"/>
                <w:color w:val="000000"/>
                <w:sz w:val="18"/>
                <w:szCs w:val="18"/>
                <w:lang w:eastAsia="en-GB"/>
              </w:rPr>
            </w:pPr>
            <w:r w:rsidRPr="004B723C">
              <w:rPr>
                <w:rFonts w:eastAsia="Times New Roman" w:cs="Times New Roman"/>
                <w:b/>
                <w:bCs/>
                <w:color w:val="000000"/>
                <w:sz w:val="18"/>
                <w:szCs w:val="18"/>
                <w:lang w:eastAsia="en-GB"/>
              </w:rPr>
              <w:t>Events/</w:t>
            </w:r>
            <w:r w:rsidRPr="004B723C">
              <w:rPr>
                <w:rFonts w:eastAsia="Times New Roman" w:cs="Times New Roman"/>
                <w:b/>
                <w:bCs/>
                <w:color w:val="000000"/>
                <w:sz w:val="18"/>
                <w:szCs w:val="18"/>
                <w:lang w:eastAsia="en-GB"/>
              </w:rPr>
              <w:br/>
              <w:t xml:space="preserve">N </w:t>
            </w:r>
            <w:r w:rsidR="00E378EF" w:rsidRPr="004B723C">
              <w:rPr>
                <w:rFonts w:eastAsia="Times New Roman" w:cs="Times New Roman"/>
                <w:b/>
                <w:bCs/>
                <w:color w:val="000000"/>
                <w:sz w:val="18"/>
                <w:szCs w:val="18"/>
                <w:lang w:eastAsia="en-GB"/>
              </w:rPr>
              <w:t>analyzed</w:t>
            </w:r>
          </w:p>
        </w:tc>
        <w:tc>
          <w:tcPr>
            <w:tcW w:w="0" w:type="auto"/>
            <w:noWrap/>
            <w:vAlign w:val="center"/>
            <w:hideMark/>
          </w:tcPr>
          <w:p w14:paraId="0769921A" w14:textId="77777777" w:rsidR="008D401B" w:rsidRPr="004B723C" w:rsidRDefault="008D401B" w:rsidP="000A4648">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iCs w:val="0"/>
                <w:sz w:val="18"/>
                <w:szCs w:val="18"/>
                <w:lang w:eastAsia="en-GB"/>
              </w:rPr>
            </w:pPr>
            <w:r w:rsidRPr="004B723C">
              <w:rPr>
                <w:rFonts w:eastAsia="Times New Roman" w:cs="Times New Roman"/>
                <w:b/>
                <w:bCs/>
                <w:color w:val="000000"/>
                <w:sz w:val="18"/>
                <w:szCs w:val="18"/>
                <w:lang w:eastAsia="en-GB"/>
              </w:rPr>
              <w:t>Events (group)/</w:t>
            </w:r>
            <w:r w:rsidRPr="004B723C">
              <w:rPr>
                <w:rFonts w:eastAsia="Times New Roman" w:cs="Times New Roman"/>
                <w:b/>
                <w:bCs/>
                <w:color w:val="000000"/>
                <w:sz w:val="18"/>
                <w:szCs w:val="18"/>
                <w:lang w:eastAsia="en-GB"/>
              </w:rPr>
              <w:br/>
              <w:t>N (group)</w:t>
            </w:r>
          </w:p>
        </w:tc>
        <w:tc>
          <w:tcPr>
            <w:tcW w:w="0" w:type="auto"/>
            <w:noWrap/>
            <w:vAlign w:val="center"/>
            <w:hideMark/>
          </w:tcPr>
          <w:p w14:paraId="7816B4E7" w14:textId="77777777" w:rsidR="008D401B" w:rsidRPr="004B723C" w:rsidRDefault="008D401B" w:rsidP="000A4648">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iCs w:val="0"/>
                <w:sz w:val="18"/>
                <w:szCs w:val="18"/>
                <w:lang w:eastAsia="en-GB"/>
              </w:rPr>
            </w:pPr>
            <w:r w:rsidRPr="004B723C">
              <w:rPr>
                <w:rFonts w:eastAsia="Times New Roman" w:cs="Times New Roman"/>
                <w:b/>
                <w:bCs/>
                <w:color w:val="000000"/>
                <w:sz w:val="18"/>
                <w:szCs w:val="18"/>
                <w:lang w:eastAsia="en-GB"/>
              </w:rPr>
              <w:t>Adjusted HR</w:t>
            </w:r>
            <w:r w:rsidRPr="004B723C">
              <w:rPr>
                <w:rFonts w:eastAsia="Times New Roman" w:cs="Times New Roman"/>
                <w:b/>
                <w:bCs/>
                <w:color w:val="000000"/>
                <w:sz w:val="18"/>
                <w:szCs w:val="18"/>
                <w:lang w:eastAsia="en-GB"/>
              </w:rPr>
              <w:br/>
              <w:t>(95% CI)</w:t>
            </w:r>
          </w:p>
        </w:tc>
        <w:tc>
          <w:tcPr>
            <w:tcW w:w="0" w:type="auto"/>
            <w:noWrap/>
            <w:vAlign w:val="center"/>
            <w:hideMark/>
          </w:tcPr>
          <w:p w14:paraId="1A26EA5F" w14:textId="4B5256C8" w:rsidR="008D401B" w:rsidRPr="004B723C" w:rsidRDefault="00FF3CC9" w:rsidP="000A4648">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iCs w:val="0"/>
                <w:sz w:val="18"/>
                <w:szCs w:val="18"/>
                <w:lang w:eastAsia="en-GB"/>
              </w:rPr>
            </w:pPr>
            <w:r>
              <w:rPr>
                <w:rFonts w:eastAsia="Times New Roman" w:cs="Times New Roman"/>
                <w:b/>
                <w:bCs/>
                <w:color w:val="000000"/>
                <w:sz w:val="18"/>
                <w:szCs w:val="18"/>
                <w:lang w:eastAsia="en-GB"/>
              </w:rPr>
              <w:t>P</w:t>
            </w:r>
            <w:r w:rsidR="008D401B" w:rsidRPr="004B723C">
              <w:rPr>
                <w:rFonts w:eastAsia="Times New Roman" w:cs="Times New Roman"/>
                <w:b/>
                <w:bCs/>
                <w:color w:val="000000"/>
                <w:sz w:val="18"/>
                <w:szCs w:val="18"/>
                <w:lang w:eastAsia="en-GB"/>
              </w:rPr>
              <w:t xml:space="preserve"> value</w:t>
            </w:r>
          </w:p>
        </w:tc>
      </w:tr>
      <w:tr w:rsidR="000A4648" w:rsidRPr="004B723C" w14:paraId="6191021F" w14:textId="77777777" w:rsidTr="007F3A2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4DFBBA9D" w14:textId="77777777" w:rsidR="008D401B" w:rsidRPr="004B723C" w:rsidRDefault="008D401B" w:rsidP="000A4648">
            <w:pPr>
              <w:spacing w:line="360" w:lineRule="auto"/>
              <w:jc w:val="center"/>
              <w:rPr>
                <w:rFonts w:eastAsia="Times New Roman" w:cs="Times New Roman"/>
                <w:color w:val="000000"/>
                <w:sz w:val="18"/>
                <w:szCs w:val="18"/>
                <w:lang w:eastAsia="en-GB"/>
              </w:rPr>
            </w:pPr>
          </w:p>
        </w:tc>
        <w:tc>
          <w:tcPr>
            <w:tcW w:w="0" w:type="auto"/>
            <w:noWrap/>
            <w:vAlign w:val="center"/>
          </w:tcPr>
          <w:p w14:paraId="4D3301B6" w14:textId="77777777" w:rsidR="008D401B" w:rsidRPr="004B723C" w:rsidRDefault="008D401B" w:rsidP="000A4648">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0" w:type="auto"/>
            <w:gridSpan w:val="4"/>
            <w:noWrap/>
            <w:vAlign w:val="center"/>
          </w:tcPr>
          <w:p w14:paraId="38D57371" w14:textId="77777777" w:rsidR="008D401B" w:rsidRPr="004B723C" w:rsidRDefault="008D401B" w:rsidP="000A4648">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eastAsia="en-GB"/>
              </w:rPr>
            </w:pPr>
            <w:r w:rsidRPr="004B723C">
              <w:rPr>
                <w:rFonts w:eastAsia="Times New Roman" w:cs="Times New Roman"/>
                <w:b/>
                <w:bCs/>
                <w:color w:val="000000"/>
                <w:sz w:val="18"/>
                <w:szCs w:val="18"/>
                <w:lang w:eastAsia="en-GB"/>
              </w:rPr>
              <w:t>UNIVARIABLE ANALYSIS</w:t>
            </w:r>
          </w:p>
        </w:tc>
        <w:tc>
          <w:tcPr>
            <w:tcW w:w="0" w:type="auto"/>
            <w:gridSpan w:val="4"/>
            <w:noWrap/>
            <w:vAlign w:val="center"/>
          </w:tcPr>
          <w:p w14:paraId="6FBA8519" w14:textId="77777777" w:rsidR="008D401B" w:rsidRPr="004B723C" w:rsidRDefault="008D401B" w:rsidP="000A4648">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eastAsia="en-GB"/>
              </w:rPr>
            </w:pPr>
            <w:r w:rsidRPr="004B723C">
              <w:rPr>
                <w:rFonts w:eastAsia="Times New Roman" w:cs="Times New Roman"/>
                <w:b/>
                <w:bCs/>
                <w:color w:val="000000"/>
                <w:sz w:val="18"/>
                <w:szCs w:val="18"/>
                <w:lang w:eastAsia="en-GB"/>
              </w:rPr>
              <w:t>MULTIVARIABLE ANALYSIS</w:t>
            </w:r>
          </w:p>
        </w:tc>
      </w:tr>
      <w:tr w:rsidR="00D53FD9" w:rsidRPr="004B723C" w14:paraId="5E05F478" w14:textId="77777777" w:rsidTr="000A4648">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30B4AC9" w14:textId="2EC4D4C0" w:rsidR="008D401B" w:rsidRPr="004B723C" w:rsidRDefault="008D401B" w:rsidP="007F3A2D">
            <w:pPr>
              <w:spacing w:line="360" w:lineRule="auto"/>
              <w:jc w:val="center"/>
              <w:rPr>
                <w:rFonts w:eastAsia="Times New Roman" w:cs="Times New Roman"/>
                <w:color w:val="000000"/>
                <w:sz w:val="18"/>
                <w:szCs w:val="18"/>
                <w:lang w:eastAsia="en-GB"/>
              </w:rPr>
            </w:pPr>
            <w:r w:rsidRPr="004B723C">
              <w:rPr>
                <w:rFonts w:eastAsia="Times New Roman" w:cs="Times New Roman"/>
                <w:color w:val="000000"/>
                <w:sz w:val="18"/>
                <w:szCs w:val="18"/>
                <w:lang w:eastAsia="en-GB"/>
              </w:rPr>
              <w:t>Post-transplant CMV replication</w:t>
            </w:r>
          </w:p>
        </w:tc>
        <w:tc>
          <w:tcPr>
            <w:tcW w:w="0" w:type="auto"/>
            <w:noWrap/>
            <w:vAlign w:val="center"/>
            <w:hideMark/>
          </w:tcPr>
          <w:p w14:paraId="3340CD99" w14:textId="77777777"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No</w:t>
            </w:r>
          </w:p>
        </w:tc>
        <w:tc>
          <w:tcPr>
            <w:tcW w:w="0" w:type="auto"/>
            <w:noWrap/>
            <w:vAlign w:val="center"/>
          </w:tcPr>
          <w:p w14:paraId="581C327C" w14:textId="68160362"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358/2,198</w:t>
            </w:r>
          </w:p>
        </w:tc>
        <w:tc>
          <w:tcPr>
            <w:tcW w:w="0" w:type="auto"/>
            <w:noWrap/>
            <w:vAlign w:val="center"/>
          </w:tcPr>
          <w:p w14:paraId="4CC998F6" w14:textId="47D00A61"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309/1,687</w:t>
            </w:r>
          </w:p>
        </w:tc>
        <w:tc>
          <w:tcPr>
            <w:tcW w:w="0" w:type="auto"/>
            <w:noWrap/>
            <w:vAlign w:val="center"/>
          </w:tcPr>
          <w:p w14:paraId="6CFDEE01" w14:textId="7A51D015" w:rsidR="008D401B" w:rsidRPr="004B723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0" w:type="auto"/>
            <w:noWrap/>
            <w:vAlign w:val="center"/>
          </w:tcPr>
          <w:p w14:paraId="64A097FE" w14:textId="2FA8BA7A" w:rsidR="008D401B" w:rsidRPr="004B723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0" w:type="auto"/>
            <w:noWrap/>
            <w:vAlign w:val="center"/>
          </w:tcPr>
          <w:p w14:paraId="7FF3E062" w14:textId="17978510"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357/2,197</w:t>
            </w:r>
          </w:p>
        </w:tc>
        <w:tc>
          <w:tcPr>
            <w:tcW w:w="0" w:type="auto"/>
            <w:noWrap/>
            <w:vAlign w:val="center"/>
          </w:tcPr>
          <w:p w14:paraId="49F40C22" w14:textId="22516642"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308/1,686</w:t>
            </w:r>
          </w:p>
        </w:tc>
        <w:tc>
          <w:tcPr>
            <w:tcW w:w="0" w:type="auto"/>
            <w:noWrap/>
            <w:vAlign w:val="center"/>
          </w:tcPr>
          <w:p w14:paraId="328249FF" w14:textId="7706B61B" w:rsidR="008D401B" w:rsidRPr="004B723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0" w:type="auto"/>
            <w:noWrap/>
            <w:vAlign w:val="center"/>
          </w:tcPr>
          <w:p w14:paraId="4B5D86B7" w14:textId="57851734" w:rsidR="008D401B" w:rsidRPr="004B723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r>
      <w:tr w:rsidR="00742124" w:rsidRPr="004B723C" w14:paraId="7100F134" w14:textId="77777777" w:rsidTr="000A4648">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25807F34" w14:textId="77777777" w:rsidR="008D401B" w:rsidRPr="004B723C" w:rsidRDefault="008D401B" w:rsidP="007F3A2D">
            <w:pPr>
              <w:spacing w:line="360" w:lineRule="auto"/>
              <w:jc w:val="center"/>
              <w:rPr>
                <w:rFonts w:eastAsia="Times New Roman" w:cs="Times New Roman"/>
                <w:color w:val="000000"/>
                <w:sz w:val="18"/>
                <w:szCs w:val="18"/>
                <w:lang w:eastAsia="en-GB"/>
              </w:rPr>
            </w:pPr>
          </w:p>
        </w:tc>
        <w:tc>
          <w:tcPr>
            <w:tcW w:w="0" w:type="auto"/>
            <w:noWrap/>
            <w:vAlign w:val="center"/>
            <w:hideMark/>
          </w:tcPr>
          <w:p w14:paraId="4D9CBF0A" w14:textId="77777777"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Yes</w:t>
            </w:r>
          </w:p>
        </w:tc>
        <w:tc>
          <w:tcPr>
            <w:tcW w:w="0" w:type="auto"/>
            <w:noWrap/>
            <w:vAlign w:val="center"/>
          </w:tcPr>
          <w:p w14:paraId="1159B19C" w14:textId="193E1E1A"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w:t>
            </w:r>
          </w:p>
        </w:tc>
        <w:tc>
          <w:tcPr>
            <w:tcW w:w="0" w:type="auto"/>
            <w:noWrap/>
            <w:vAlign w:val="center"/>
          </w:tcPr>
          <w:p w14:paraId="38FF7262" w14:textId="73606E17"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49/511</w:t>
            </w:r>
          </w:p>
        </w:tc>
        <w:tc>
          <w:tcPr>
            <w:tcW w:w="0" w:type="auto"/>
            <w:noWrap/>
            <w:vAlign w:val="center"/>
          </w:tcPr>
          <w:p w14:paraId="3AD3E2BB" w14:textId="2599EDAD"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 xml:space="preserve">1.26 </w:t>
            </w:r>
            <w:r w:rsidR="00795329" w:rsidRPr="004B723C">
              <w:rPr>
                <w:rFonts w:cs="Times New Roman"/>
                <w:color w:val="000000"/>
                <w:sz w:val="18"/>
                <w:szCs w:val="18"/>
              </w:rPr>
              <w:t>(</w:t>
            </w:r>
            <w:r w:rsidRPr="004B723C">
              <w:rPr>
                <w:rFonts w:cs="Times New Roman"/>
                <w:color w:val="000000"/>
                <w:sz w:val="18"/>
                <w:szCs w:val="18"/>
              </w:rPr>
              <w:t>0.91–1.74</w:t>
            </w:r>
            <w:r w:rsidR="00795329" w:rsidRPr="004B723C">
              <w:rPr>
                <w:rFonts w:cs="Times New Roman"/>
                <w:color w:val="000000"/>
                <w:sz w:val="18"/>
                <w:szCs w:val="18"/>
              </w:rPr>
              <w:t>)</w:t>
            </w:r>
          </w:p>
        </w:tc>
        <w:tc>
          <w:tcPr>
            <w:tcW w:w="0" w:type="auto"/>
            <w:noWrap/>
            <w:vAlign w:val="center"/>
          </w:tcPr>
          <w:p w14:paraId="6DAE048F" w14:textId="38AD4640"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0.17</w:t>
            </w:r>
          </w:p>
        </w:tc>
        <w:tc>
          <w:tcPr>
            <w:tcW w:w="0" w:type="auto"/>
            <w:noWrap/>
            <w:vAlign w:val="center"/>
          </w:tcPr>
          <w:p w14:paraId="47F1DFFA" w14:textId="26B4C841"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w:t>
            </w:r>
          </w:p>
        </w:tc>
        <w:tc>
          <w:tcPr>
            <w:tcW w:w="0" w:type="auto"/>
            <w:noWrap/>
            <w:vAlign w:val="center"/>
          </w:tcPr>
          <w:p w14:paraId="252A67BE" w14:textId="66AB8AEE"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49/511</w:t>
            </w:r>
          </w:p>
        </w:tc>
        <w:tc>
          <w:tcPr>
            <w:tcW w:w="0" w:type="auto"/>
            <w:noWrap/>
            <w:vAlign w:val="center"/>
          </w:tcPr>
          <w:p w14:paraId="66DAA968" w14:textId="321FA688"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 xml:space="preserve">1.20 </w:t>
            </w:r>
            <w:r w:rsidR="00795329" w:rsidRPr="004B723C">
              <w:rPr>
                <w:rFonts w:cs="Times New Roman"/>
                <w:color w:val="000000"/>
                <w:sz w:val="18"/>
                <w:szCs w:val="18"/>
              </w:rPr>
              <w:t>(</w:t>
            </w:r>
            <w:r w:rsidRPr="004B723C">
              <w:rPr>
                <w:rFonts w:cs="Times New Roman"/>
                <w:color w:val="000000"/>
                <w:sz w:val="18"/>
                <w:szCs w:val="18"/>
              </w:rPr>
              <w:t>0.86–1.69</w:t>
            </w:r>
            <w:r w:rsidR="00795329" w:rsidRPr="004B723C">
              <w:rPr>
                <w:rFonts w:cs="Times New Roman"/>
                <w:color w:val="000000"/>
                <w:sz w:val="18"/>
                <w:szCs w:val="18"/>
              </w:rPr>
              <w:t>)</w:t>
            </w:r>
          </w:p>
        </w:tc>
        <w:tc>
          <w:tcPr>
            <w:tcW w:w="0" w:type="auto"/>
            <w:noWrap/>
            <w:vAlign w:val="center"/>
          </w:tcPr>
          <w:p w14:paraId="6DA1DC43" w14:textId="67042817"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0.29</w:t>
            </w:r>
          </w:p>
        </w:tc>
      </w:tr>
      <w:tr w:rsidR="00D53FD9" w:rsidRPr="004B723C" w14:paraId="556FFE66" w14:textId="77777777" w:rsidTr="000A4648">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18D1191" w14:textId="77777777" w:rsidR="008D401B" w:rsidRPr="004B723C" w:rsidRDefault="008D401B" w:rsidP="007F3A2D">
            <w:pPr>
              <w:spacing w:line="360" w:lineRule="auto"/>
              <w:jc w:val="center"/>
              <w:rPr>
                <w:rFonts w:eastAsia="Times New Roman" w:cs="Times New Roman"/>
                <w:color w:val="000000"/>
                <w:sz w:val="18"/>
                <w:szCs w:val="18"/>
                <w:lang w:eastAsia="en-GB"/>
              </w:rPr>
            </w:pPr>
            <w:r w:rsidRPr="004B723C">
              <w:rPr>
                <w:rFonts w:eastAsia="Times New Roman" w:cs="Times New Roman"/>
                <w:color w:val="000000"/>
                <w:sz w:val="18"/>
                <w:szCs w:val="18"/>
                <w:lang w:eastAsia="en-GB"/>
              </w:rPr>
              <w:t>Donor–recipient CMV serostatus</w:t>
            </w:r>
          </w:p>
        </w:tc>
        <w:tc>
          <w:tcPr>
            <w:tcW w:w="0" w:type="auto"/>
            <w:noWrap/>
            <w:vAlign w:val="center"/>
            <w:hideMark/>
          </w:tcPr>
          <w:p w14:paraId="6BE78F76" w14:textId="77777777"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D−/R−</w:t>
            </w:r>
          </w:p>
        </w:tc>
        <w:tc>
          <w:tcPr>
            <w:tcW w:w="0" w:type="auto"/>
            <w:noWrap/>
            <w:vAlign w:val="center"/>
          </w:tcPr>
          <w:p w14:paraId="2D778D04" w14:textId="4304C8ED"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358/2,198</w:t>
            </w:r>
          </w:p>
        </w:tc>
        <w:tc>
          <w:tcPr>
            <w:tcW w:w="0" w:type="auto"/>
            <w:noWrap/>
            <w:vAlign w:val="center"/>
          </w:tcPr>
          <w:p w14:paraId="5E69A2B3" w14:textId="3B728202"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57/588</w:t>
            </w:r>
          </w:p>
        </w:tc>
        <w:tc>
          <w:tcPr>
            <w:tcW w:w="0" w:type="auto"/>
            <w:noWrap/>
            <w:vAlign w:val="center"/>
          </w:tcPr>
          <w:p w14:paraId="15939B79" w14:textId="03447445" w:rsidR="008D401B" w:rsidRPr="004B723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0" w:type="auto"/>
            <w:noWrap/>
            <w:vAlign w:val="center"/>
          </w:tcPr>
          <w:p w14:paraId="5AC040C1" w14:textId="742D2BC4" w:rsidR="008D401B" w:rsidRPr="004B723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0" w:type="auto"/>
            <w:noWrap/>
            <w:vAlign w:val="center"/>
          </w:tcPr>
          <w:p w14:paraId="1C81171D" w14:textId="4C35E1C3"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357/2,197</w:t>
            </w:r>
          </w:p>
        </w:tc>
        <w:tc>
          <w:tcPr>
            <w:tcW w:w="0" w:type="auto"/>
            <w:noWrap/>
            <w:vAlign w:val="center"/>
          </w:tcPr>
          <w:p w14:paraId="1F6075B3" w14:textId="5BB39A1C"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57/588</w:t>
            </w:r>
          </w:p>
        </w:tc>
        <w:tc>
          <w:tcPr>
            <w:tcW w:w="0" w:type="auto"/>
            <w:noWrap/>
            <w:vAlign w:val="center"/>
          </w:tcPr>
          <w:p w14:paraId="5290166A" w14:textId="03F500F6" w:rsidR="008D401B" w:rsidRPr="004B723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0" w:type="auto"/>
            <w:noWrap/>
            <w:vAlign w:val="center"/>
          </w:tcPr>
          <w:p w14:paraId="7CB8B7CC" w14:textId="6932800F" w:rsidR="008D401B" w:rsidRPr="004B723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r>
      <w:tr w:rsidR="00742124" w:rsidRPr="004B723C" w14:paraId="5EC11AA6" w14:textId="77777777" w:rsidTr="000A4648">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447F8178" w14:textId="77777777" w:rsidR="008D401B" w:rsidRPr="004B723C" w:rsidRDefault="008D401B" w:rsidP="007F3A2D">
            <w:pPr>
              <w:spacing w:line="360" w:lineRule="auto"/>
              <w:jc w:val="center"/>
              <w:rPr>
                <w:rFonts w:eastAsia="Times New Roman" w:cs="Times New Roman"/>
                <w:color w:val="000000"/>
                <w:sz w:val="18"/>
                <w:szCs w:val="18"/>
                <w:lang w:eastAsia="en-GB"/>
              </w:rPr>
            </w:pPr>
          </w:p>
        </w:tc>
        <w:tc>
          <w:tcPr>
            <w:tcW w:w="0" w:type="auto"/>
            <w:noWrap/>
            <w:vAlign w:val="center"/>
            <w:hideMark/>
          </w:tcPr>
          <w:p w14:paraId="6A96C071" w14:textId="77777777"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D+/R+</w:t>
            </w:r>
          </w:p>
        </w:tc>
        <w:tc>
          <w:tcPr>
            <w:tcW w:w="0" w:type="auto"/>
            <w:noWrap/>
            <w:vAlign w:val="center"/>
          </w:tcPr>
          <w:p w14:paraId="3461A5D0" w14:textId="6062350E"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w:t>
            </w:r>
          </w:p>
        </w:tc>
        <w:tc>
          <w:tcPr>
            <w:tcW w:w="0" w:type="auto"/>
            <w:noWrap/>
            <w:vAlign w:val="center"/>
          </w:tcPr>
          <w:p w14:paraId="2122F295" w14:textId="143C3135"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109/600</w:t>
            </w:r>
          </w:p>
        </w:tc>
        <w:tc>
          <w:tcPr>
            <w:tcW w:w="0" w:type="auto"/>
            <w:noWrap/>
            <w:vAlign w:val="center"/>
          </w:tcPr>
          <w:p w14:paraId="54C105AF" w14:textId="0F0316F6"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 xml:space="preserve">2.05 </w:t>
            </w:r>
            <w:r w:rsidR="00795329" w:rsidRPr="004B723C">
              <w:rPr>
                <w:rFonts w:cs="Times New Roman"/>
                <w:color w:val="000000"/>
                <w:sz w:val="18"/>
                <w:szCs w:val="18"/>
              </w:rPr>
              <w:t>(</w:t>
            </w:r>
            <w:r w:rsidRPr="004B723C">
              <w:rPr>
                <w:rFonts w:cs="Times New Roman"/>
                <w:color w:val="000000"/>
                <w:sz w:val="18"/>
                <w:szCs w:val="18"/>
              </w:rPr>
              <w:t>1.49–2.83</w:t>
            </w:r>
            <w:r w:rsidR="00795329" w:rsidRPr="004B723C">
              <w:rPr>
                <w:rFonts w:cs="Times New Roman"/>
                <w:color w:val="000000"/>
                <w:sz w:val="18"/>
                <w:szCs w:val="18"/>
              </w:rPr>
              <w:t>)</w:t>
            </w:r>
          </w:p>
        </w:tc>
        <w:tc>
          <w:tcPr>
            <w:tcW w:w="0" w:type="auto"/>
            <w:noWrap/>
            <w:vAlign w:val="center"/>
          </w:tcPr>
          <w:p w14:paraId="0C03F653" w14:textId="0494A267" w:rsidR="008D401B" w:rsidRPr="004B723C" w:rsidRDefault="00D53FD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1.09 × 10</w:t>
            </w:r>
            <w:r w:rsidRPr="004B723C">
              <w:rPr>
                <w:rFonts w:cs="Times New Roman"/>
                <w:color w:val="000000"/>
                <w:sz w:val="18"/>
                <w:szCs w:val="18"/>
                <w:vertAlign w:val="superscript"/>
              </w:rPr>
              <w:t>-5</w:t>
            </w:r>
          </w:p>
        </w:tc>
        <w:tc>
          <w:tcPr>
            <w:tcW w:w="0" w:type="auto"/>
            <w:noWrap/>
            <w:vAlign w:val="center"/>
          </w:tcPr>
          <w:p w14:paraId="0F0D8946" w14:textId="0669A96E"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w:t>
            </w:r>
          </w:p>
        </w:tc>
        <w:tc>
          <w:tcPr>
            <w:tcW w:w="0" w:type="auto"/>
            <w:noWrap/>
            <w:vAlign w:val="center"/>
          </w:tcPr>
          <w:p w14:paraId="155801F9" w14:textId="7E881711"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109/600</w:t>
            </w:r>
          </w:p>
        </w:tc>
        <w:tc>
          <w:tcPr>
            <w:tcW w:w="0" w:type="auto"/>
            <w:noWrap/>
            <w:vAlign w:val="center"/>
          </w:tcPr>
          <w:p w14:paraId="6C506221" w14:textId="54E021EE"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 xml:space="preserve">1.78 </w:t>
            </w:r>
            <w:r w:rsidR="00795329" w:rsidRPr="004B723C">
              <w:rPr>
                <w:rFonts w:cs="Times New Roman"/>
                <w:color w:val="000000"/>
                <w:sz w:val="18"/>
                <w:szCs w:val="18"/>
              </w:rPr>
              <w:t>(</w:t>
            </w:r>
            <w:r w:rsidRPr="004B723C">
              <w:rPr>
                <w:rFonts w:cs="Times New Roman"/>
                <w:color w:val="000000"/>
                <w:sz w:val="18"/>
                <w:szCs w:val="18"/>
              </w:rPr>
              <w:t>1.28–2.48</w:t>
            </w:r>
            <w:r w:rsidR="00795329" w:rsidRPr="004B723C">
              <w:rPr>
                <w:rFonts w:cs="Times New Roman"/>
                <w:color w:val="000000"/>
                <w:sz w:val="18"/>
                <w:szCs w:val="18"/>
              </w:rPr>
              <w:t>)</w:t>
            </w:r>
          </w:p>
        </w:tc>
        <w:tc>
          <w:tcPr>
            <w:tcW w:w="0" w:type="auto"/>
            <w:noWrap/>
            <w:vAlign w:val="center"/>
          </w:tcPr>
          <w:p w14:paraId="62D1806D" w14:textId="35828ABE" w:rsidR="008D401B" w:rsidRPr="004B723C" w:rsidRDefault="00D53FD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5.93 × 10</w:t>
            </w:r>
            <w:r w:rsidRPr="004B723C">
              <w:rPr>
                <w:rFonts w:cs="Times New Roman"/>
                <w:color w:val="000000"/>
                <w:sz w:val="18"/>
                <w:szCs w:val="18"/>
                <w:vertAlign w:val="superscript"/>
              </w:rPr>
              <w:t>-4</w:t>
            </w:r>
          </w:p>
        </w:tc>
      </w:tr>
      <w:tr w:rsidR="00742124" w:rsidRPr="004B723C" w14:paraId="50DE0425" w14:textId="77777777" w:rsidTr="000A4648">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0D419B42" w14:textId="77777777" w:rsidR="008D401B" w:rsidRPr="004B723C" w:rsidRDefault="008D401B" w:rsidP="007F3A2D">
            <w:pPr>
              <w:spacing w:line="360" w:lineRule="auto"/>
              <w:jc w:val="center"/>
              <w:rPr>
                <w:rFonts w:eastAsia="Times New Roman" w:cs="Times New Roman"/>
                <w:color w:val="000000"/>
                <w:sz w:val="18"/>
                <w:szCs w:val="18"/>
                <w:lang w:eastAsia="en-GB"/>
              </w:rPr>
            </w:pPr>
          </w:p>
        </w:tc>
        <w:tc>
          <w:tcPr>
            <w:tcW w:w="0" w:type="auto"/>
            <w:noWrap/>
            <w:vAlign w:val="center"/>
            <w:hideMark/>
          </w:tcPr>
          <w:p w14:paraId="28EDE482" w14:textId="77777777"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D+/R−</w:t>
            </w:r>
          </w:p>
        </w:tc>
        <w:tc>
          <w:tcPr>
            <w:tcW w:w="0" w:type="auto"/>
            <w:noWrap/>
            <w:vAlign w:val="center"/>
          </w:tcPr>
          <w:p w14:paraId="4964052D" w14:textId="62ACA6E9"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w:t>
            </w:r>
          </w:p>
        </w:tc>
        <w:tc>
          <w:tcPr>
            <w:tcW w:w="0" w:type="auto"/>
            <w:noWrap/>
            <w:vAlign w:val="center"/>
          </w:tcPr>
          <w:p w14:paraId="1D2760CC" w14:textId="67E81CA4"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71/429</w:t>
            </w:r>
          </w:p>
        </w:tc>
        <w:tc>
          <w:tcPr>
            <w:tcW w:w="0" w:type="auto"/>
            <w:noWrap/>
            <w:vAlign w:val="center"/>
          </w:tcPr>
          <w:p w14:paraId="0AB93699" w14:textId="72DD098D"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 xml:space="preserve">1.78 </w:t>
            </w:r>
            <w:r w:rsidR="00795329" w:rsidRPr="004B723C">
              <w:rPr>
                <w:rFonts w:cs="Times New Roman"/>
                <w:color w:val="000000"/>
                <w:sz w:val="18"/>
                <w:szCs w:val="18"/>
              </w:rPr>
              <w:t>(</w:t>
            </w:r>
            <w:r w:rsidRPr="004B723C">
              <w:rPr>
                <w:rFonts w:cs="Times New Roman"/>
                <w:color w:val="000000"/>
                <w:sz w:val="18"/>
                <w:szCs w:val="18"/>
              </w:rPr>
              <w:t>1.26–2.53</w:t>
            </w:r>
            <w:r w:rsidR="00795329" w:rsidRPr="004B723C">
              <w:rPr>
                <w:rFonts w:cs="Times New Roman"/>
                <w:color w:val="000000"/>
                <w:sz w:val="18"/>
                <w:szCs w:val="18"/>
              </w:rPr>
              <w:t>)</w:t>
            </w:r>
          </w:p>
        </w:tc>
        <w:tc>
          <w:tcPr>
            <w:tcW w:w="0" w:type="auto"/>
            <w:noWrap/>
            <w:vAlign w:val="center"/>
          </w:tcPr>
          <w:p w14:paraId="7E703FCE" w14:textId="6C3F4012"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0.0011</w:t>
            </w:r>
          </w:p>
        </w:tc>
        <w:tc>
          <w:tcPr>
            <w:tcW w:w="0" w:type="auto"/>
            <w:noWrap/>
            <w:vAlign w:val="center"/>
          </w:tcPr>
          <w:p w14:paraId="334CB2D4" w14:textId="68AC1E0B"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w:t>
            </w:r>
          </w:p>
        </w:tc>
        <w:tc>
          <w:tcPr>
            <w:tcW w:w="0" w:type="auto"/>
            <w:noWrap/>
            <w:vAlign w:val="center"/>
          </w:tcPr>
          <w:p w14:paraId="2075458F" w14:textId="381281C5"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70/428</w:t>
            </w:r>
          </w:p>
        </w:tc>
        <w:tc>
          <w:tcPr>
            <w:tcW w:w="0" w:type="auto"/>
            <w:noWrap/>
            <w:vAlign w:val="center"/>
          </w:tcPr>
          <w:p w14:paraId="4DFA50EC" w14:textId="1D32BA01"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 xml:space="preserve">1.68 </w:t>
            </w:r>
            <w:r w:rsidR="00795329" w:rsidRPr="004B723C">
              <w:rPr>
                <w:rFonts w:cs="Times New Roman"/>
                <w:color w:val="000000"/>
                <w:sz w:val="18"/>
                <w:szCs w:val="18"/>
              </w:rPr>
              <w:t>(</w:t>
            </w:r>
            <w:r w:rsidRPr="004B723C">
              <w:rPr>
                <w:rFonts w:cs="Times New Roman"/>
                <w:color w:val="000000"/>
                <w:sz w:val="18"/>
                <w:szCs w:val="18"/>
              </w:rPr>
              <w:t>1.17–2.41</w:t>
            </w:r>
            <w:r w:rsidR="00795329" w:rsidRPr="004B723C">
              <w:rPr>
                <w:rFonts w:cs="Times New Roman"/>
                <w:color w:val="000000"/>
                <w:sz w:val="18"/>
                <w:szCs w:val="18"/>
              </w:rPr>
              <w:t>)</w:t>
            </w:r>
          </w:p>
        </w:tc>
        <w:tc>
          <w:tcPr>
            <w:tcW w:w="0" w:type="auto"/>
            <w:noWrap/>
            <w:vAlign w:val="center"/>
          </w:tcPr>
          <w:p w14:paraId="16FF3CA3" w14:textId="327072AE"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0.0048</w:t>
            </w:r>
          </w:p>
        </w:tc>
      </w:tr>
      <w:tr w:rsidR="00742124" w:rsidRPr="004B723C" w14:paraId="734EE79F" w14:textId="77777777" w:rsidTr="000A4648">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3D9FE241" w14:textId="77777777" w:rsidR="008D401B" w:rsidRPr="004B723C" w:rsidRDefault="008D401B" w:rsidP="007F3A2D">
            <w:pPr>
              <w:spacing w:line="360" w:lineRule="auto"/>
              <w:jc w:val="center"/>
              <w:rPr>
                <w:rFonts w:eastAsia="Times New Roman" w:cs="Times New Roman"/>
                <w:color w:val="000000"/>
                <w:sz w:val="18"/>
                <w:szCs w:val="18"/>
                <w:lang w:eastAsia="en-GB"/>
              </w:rPr>
            </w:pPr>
          </w:p>
        </w:tc>
        <w:tc>
          <w:tcPr>
            <w:tcW w:w="0" w:type="auto"/>
            <w:noWrap/>
            <w:vAlign w:val="center"/>
            <w:hideMark/>
          </w:tcPr>
          <w:p w14:paraId="39B7BBDE" w14:textId="77777777"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D−/R+</w:t>
            </w:r>
          </w:p>
        </w:tc>
        <w:tc>
          <w:tcPr>
            <w:tcW w:w="0" w:type="auto"/>
            <w:noWrap/>
            <w:vAlign w:val="center"/>
          </w:tcPr>
          <w:p w14:paraId="58AF0ED6" w14:textId="6179597F"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w:t>
            </w:r>
          </w:p>
        </w:tc>
        <w:tc>
          <w:tcPr>
            <w:tcW w:w="0" w:type="auto"/>
            <w:noWrap/>
            <w:vAlign w:val="center"/>
          </w:tcPr>
          <w:p w14:paraId="4ED903C1" w14:textId="605F5AE8"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121/581</w:t>
            </w:r>
          </w:p>
        </w:tc>
        <w:tc>
          <w:tcPr>
            <w:tcW w:w="0" w:type="auto"/>
            <w:noWrap/>
            <w:vAlign w:val="center"/>
          </w:tcPr>
          <w:p w14:paraId="7671DF0C" w14:textId="7D6A8651"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 xml:space="preserve">2.30 </w:t>
            </w:r>
            <w:r w:rsidR="00795329" w:rsidRPr="004B723C">
              <w:rPr>
                <w:rFonts w:cs="Times New Roman"/>
                <w:color w:val="000000"/>
                <w:sz w:val="18"/>
                <w:szCs w:val="18"/>
              </w:rPr>
              <w:t>(</w:t>
            </w:r>
            <w:r w:rsidRPr="004B723C">
              <w:rPr>
                <w:rFonts w:cs="Times New Roman"/>
                <w:color w:val="000000"/>
                <w:sz w:val="18"/>
                <w:szCs w:val="18"/>
              </w:rPr>
              <w:t>1.68–3.15</w:t>
            </w:r>
            <w:r w:rsidR="00795329" w:rsidRPr="004B723C">
              <w:rPr>
                <w:rFonts w:cs="Times New Roman"/>
                <w:color w:val="000000"/>
                <w:sz w:val="18"/>
                <w:szCs w:val="18"/>
              </w:rPr>
              <w:t>)</w:t>
            </w:r>
          </w:p>
        </w:tc>
        <w:tc>
          <w:tcPr>
            <w:tcW w:w="0" w:type="auto"/>
            <w:noWrap/>
            <w:vAlign w:val="center"/>
          </w:tcPr>
          <w:p w14:paraId="0986CAB2" w14:textId="7AAFCF9A" w:rsidR="008D401B" w:rsidRPr="004B723C" w:rsidRDefault="00D53FD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2.16 × 10</w:t>
            </w:r>
            <w:r w:rsidRPr="004B723C">
              <w:rPr>
                <w:rFonts w:cs="Times New Roman"/>
                <w:color w:val="000000"/>
                <w:sz w:val="18"/>
                <w:szCs w:val="18"/>
                <w:vertAlign w:val="superscript"/>
              </w:rPr>
              <w:t>-7</w:t>
            </w:r>
          </w:p>
        </w:tc>
        <w:tc>
          <w:tcPr>
            <w:tcW w:w="0" w:type="auto"/>
            <w:noWrap/>
            <w:vAlign w:val="center"/>
          </w:tcPr>
          <w:p w14:paraId="131AC18B" w14:textId="3B57E01C"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w:t>
            </w:r>
          </w:p>
        </w:tc>
        <w:tc>
          <w:tcPr>
            <w:tcW w:w="0" w:type="auto"/>
            <w:noWrap/>
            <w:vAlign w:val="center"/>
          </w:tcPr>
          <w:p w14:paraId="047FB1CA" w14:textId="1EEC3DE0"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121/581</w:t>
            </w:r>
          </w:p>
        </w:tc>
        <w:tc>
          <w:tcPr>
            <w:tcW w:w="0" w:type="auto"/>
            <w:noWrap/>
            <w:vAlign w:val="center"/>
          </w:tcPr>
          <w:p w14:paraId="31D44004" w14:textId="6255D64F"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 xml:space="preserve">1.90 </w:t>
            </w:r>
            <w:r w:rsidR="00795329" w:rsidRPr="004B723C">
              <w:rPr>
                <w:rFonts w:cs="Times New Roman"/>
                <w:color w:val="000000"/>
                <w:sz w:val="18"/>
                <w:szCs w:val="18"/>
              </w:rPr>
              <w:t>(</w:t>
            </w:r>
            <w:r w:rsidRPr="004B723C">
              <w:rPr>
                <w:rFonts w:cs="Times New Roman"/>
                <w:color w:val="000000"/>
                <w:sz w:val="18"/>
                <w:szCs w:val="18"/>
              </w:rPr>
              <w:t>1.38–2.62</w:t>
            </w:r>
            <w:r w:rsidR="00795329" w:rsidRPr="004B723C">
              <w:rPr>
                <w:rFonts w:cs="Times New Roman"/>
                <w:color w:val="000000"/>
                <w:sz w:val="18"/>
                <w:szCs w:val="18"/>
              </w:rPr>
              <w:t>)</w:t>
            </w:r>
          </w:p>
        </w:tc>
        <w:tc>
          <w:tcPr>
            <w:tcW w:w="0" w:type="auto"/>
            <w:noWrap/>
            <w:vAlign w:val="center"/>
          </w:tcPr>
          <w:p w14:paraId="36A8A4AF" w14:textId="120B8625" w:rsidR="008D401B" w:rsidRPr="004B723C" w:rsidRDefault="00D53FD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9.65 × 10</w:t>
            </w:r>
            <w:r w:rsidRPr="004B723C">
              <w:rPr>
                <w:rFonts w:cs="Times New Roman"/>
                <w:color w:val="000000"/>
                <w:sz w:val="18"/>
                <w:szCs w:val="18"/>
                <w:vertAlign w:val="superscript"/>
              </w:rPr>
              <w:t>-5</w:t>
            </w:r>
          </w:p>
        </w:tc>
      </w:tr>
      <w:tr w:rsidR="00D53FD9" w:rsidRPr="004B723C" w14:paraId="237ED17D" w14:textId="77777777" w:rsidTr="000A4648">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8FA0916" w14:textId="6EC6B656" w:rsidR="008D401B" w:rsidRPr="004B723C" w:rsidRDefault="008D401B" w:rsidP="007F3A2D">
            <w:pPr>
              <w:spacing w:line="360" w:lineRule="auto"/>
              <w:jc w:val="center"/>
              <w:rPr>
                <w:rFonts w:eastAsia="Times New Roman" w:cs="Times New Roman"/>
                <w:color w:val="000000"/>
                <w:sz w:val="18"/>
                <w:szCs w:val="18"/>
                <w:lang w:eastAsia="en-GB"/>
              </w:rPr>
            </w:pPr>
            <w:r w:rsidRPr="004B723C">
              <w:rPr>
                <w:rFonts w:eastAsia="Times New Roman" w:cs="Times New Roman"/>
                <w:color w:val="000000"/>
                <w:sz w:val="18"/>
                <w:szCs w:val="18"/>
                <w:lang w:eastAsia="en-GB"/>
              </w:rPr>
              <w:t xml:space="preserve">Cold </w:t>
            </w:r>
            <w:r w:rsidR="00E378EF" w:rsidRPr="004B723C">
              <w:rPr>
                <w:rFonts w:eastAsia="Times New Roman" w:cs="Times New Roman"/>
                <w:color w:val="000000"/>
                <w:sz w:val="18"/>
                <w:szCs w:val="18"/>
                <w:lang w:eastAsia="en-GB"/>
              </w:rPr>
              <w:t>ischemia</w:t>
            </w:r>
            <w:r w:rsidRPr="004B723C">
              <w:rPr>
                <w:rFonts w:eastAsia="Times New Roman" w:cs="Times New Roman"/>
                <w:color w:val="000000"/>
                <w:sz w:val="18"/>
                <w:szCs w:val="18"/>
                <w:lang w:eastAsia="en-GB"/>
              </w:rPr>
              <w:t xml:space="preserve"> time (per 5 hours)</w:t>
            </w:r>
          </w:p>
        </w:tc>
        <w:tc>
          <w:tcPr>
            <w:tcW w:w="0" w:type="auto"/>
            <w:noWrap/>
            <w:vAlign w:val="center"/>
            <w:hideMark/>
          </w:tcPr>
          <w:p w14:paraId="7B3B3CAC" w14:textId="77777777"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w:t>
            </w:r>
          </w:p>
        </w:tc>
        <w:tc>
          <w:tcPr>
            <w:tcW w:w="0" w:type="auto"/>
            <w:noWrap/>
            <w:vAlign w:val="center"/>
          </w:tcPr>
          <w:p w14:paraId="2A938EB8" w14:textId="6FAD9067"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357/2,197</w:t>
            </w:r>
          </w:p>
        </w:tc>
        <w:tc>
          <w:tcPr>
            <w:tcW w:w="0" w:type="auto"/>
            <w:noWrap/>
            <w:vAlign w:val="center"/>
          </w:tcPr>
          <w:p w14:paraId="79D6E29C" w14:textId="44AB5537"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w:t>
            </w:r>
          </w:p>
        </w:tc>
        <w:tc>
          <w:tcPr>
            <w:tcW w:w="0" w:type="auto"/>
            <w:noWrap/>
            <w:vAlign w:val="center"/>
          </w:tcPr>
          <w:p w14:paraId="43C07C99" w14:textId="4D0484C9"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 xml:space="preserve">1.11 </w:t>
            </w:r>
            <w:r w:rsidR="00795329" w:rsidRPr="004B723C">
              <w:rPr>
                <w:rFonts w:cs="Times New Roman"/>
                <w:color w:val="000000"/>
                <w:sz w:val="18"/>
                <w:szCs w:val="18"/>
              </w:rPr>
              <w:t>(</w:t>
            </w:r>
            <w:r w:rsidRPr="004B723C">
              <w:rPr>
                <w:rFonts w:cs="Times New Roman"/>
                <w:color w:val="000000"/>
                <w:sz w:val="18"/>
                <w:szCs w:val="18"/>
              </w:rPr>
              <w:t>1.02–1.21</w:t>
            </w:r>
            <w:r w:rsidR="00795329" w:rsidRPr="004B723C">
              <w:rPr>
                <w:rFonts w:cs="Times New Roman"/>
                <w:color w:val="000000"/>
                <w:sz w:val="18"/>
                <w:szCs w:val="18"/>
              </w:rPr>
              <w:t>)</w:t>
            </w:r>
          </w:p>
        </w:tc>
        <w:tc>
          <w:tcPr>
            <w:tcW w:w="0" w:type="auto"/>
            <w:noWrap/>
            <w:vAlign w:val="center"/>
          </w:tcPr>
          <w:p w14:paraId="4A78D239" w14:textId="2FD6E6F3"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0.014</w:t>
            </w:r>
          </w:p>
        </w:tc>
        <w:tc>
          <w:tcPr>
            <w:tcW w:w="0" w:type="auto"/>
            <w:noWrap/>
            <w:vAlign w:val="center"/>
          </w:tcPr>
          <w:p w14:paraId="1825A9FA" w14:textId="393A7927"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357/2,197</w:t>
            </w:r>
          </w:p>
        </w:tc>
        <w:tc>
          <w:tcPr>
            <w:tcW w:w="0" w:type="auto"/>
            <w:noWrap/>
            <w:vAlign w:val="center"/>
          </w:tcPr>
          <w:p w14:paraId="77F6AA6B" w14:textId="6E29E40D"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w:t>
            </w:r>
          </w:p>
        </w:tc>
        <w:tc>
          <w:tcPr>
            <w:tcW w:w="0" w:type="auto"/>
            <w:noWrap/>
            <w:vAlign w:val="center"/>
          </w:tcPr>
          <w:p w14:paraId="4CF4B977" w14:textId="234C1499"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 xml:space="preserve">1.13 </w:t>
            </w:r>
            <w:r w:rsidR="00795329" w:rsidRPr="004B723C">
              <w:rPr>
                <w:rFonts w:cs="Times New Roman"/>
                <w:color w:val="000000"/>
                <w:sz w:val="18"/>
                <w:szCs w:val="18"/>
              </w:rPr>
              <w:t>(</w:t>
            </w:r>
            <w:r w:rsidRPr="004B723C">
              <w:rPr>
                <w:rFonts w:cs="Times New Roman"/>
                <w:color w:val="000000"/>
                <w:sz w:val="18"/>
                <w:szCs w:val="18"/>
              </w:rPr>
              <w:t>1.00–1.27</w:t>
            </w:r>
            <w:r w:rsidR="00795329" w:rsidRPr="004B723C">
              <w:rPr>
                <w:rFonts w:cs="Times New Roman"/>
                <w:color w:val="000000"/>
                <w:sz w:val="18"/>
                <w:szCs w:val="18"/>
              </w:rPr>
              <w:t>)</w:t>
            </w:r>
          </w:p>
        </w:tc>
        <w:tc>
          <w:tcPr>
            <w:tcW w:w="0" w:type="auto"/>
            <w:noWrap/>
            <w:vAlign w:val="center"/>
          </w:tcPr>
          <w:p w14:paraId="637BE7F7" w14:textId="2B4D1743"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0.051</w:t>
            </w:r>
          </w:p>
        </w:tc>
      </w:tr>
      <w:tr w:rsidR="00D53FD9" w:rsidRPr="004B723C" w14:paraId="4639C6DD" w14:textId="77777777" w:rsidTr="000A4648">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3376B52" w14:textId="77777777" w:rsidR="008D401B" w:rsidRPr="004B723C" w:rsidRDefault="008D401B" w:rsidP="007F3A2D">
            <w:pPr>
              <w:spacing w:line="360" w:lineRule="auto"/>
              <w:jc w:val="center"/>
              <w:rPr>
                <w:rFonts w:eastAsia="Times New Roman" w:cs="Times New Roman"/>
                <w:color w:val="000000"/>
                <w:sz w:val="18"/>
                <w:szCs w:val="18"/>
                <w:lang w:eastAsia="en-GB"/>
              </w:rPr>
            </w:pPr>
            <w:r w:rsidRPr="004B723C">
              <w:rPr>
                <w:rFonts w:eastAsia="Times New Roman" w:cs="Times New Roman"/>
                <w:color w:val="000000"/>
                <w:sz w:val="18"/>
                <w:szCs w:val="18"/>
                <w:lang w:eastAsia="en-GB"/>
              </w:rPr>
              <w:t>Calendar year of transplantation (per year)</w:t>
            </w:r>
          </w:p>
        </w:tc>
        <w:tc>
          <w:tcPr>
            <w:tcW w:w="0" w:type="auto"/>
            <w:noWrap/>
            <w:vAlign w:val="center"/>
            <w:hideMark/>
          </w:tcPr>
          <w:p w14:paraId="101D0A80" w14:textId="77777777"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w:t>
            </w:r>
          </w:p>
        </w:tc>
        <w:tc>
          <w:tcPr>
            <w:tcW w:w="0" w:type="auto"/>
            <w:noWrap/>
            <w:vAlign w:val="center"/>
          </w:tcPr>
          <w:p w14:paraId="45287E95" w14:textId="70899FB3"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358/2,198</w:t>
            </w:r>
          </w:p>
        </w:tc>
        <w:tc>
          <w:tcPr>
            <w:tcW w:w="0" w:type="auto"/>
            <w:noWrap/>
            <w:vAlign w:val="center"/>
          </w:tcPr>
          <w:p w14:paraId="3D8CE8CE" w14:textId="6815EFFC"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w:t>
            </w:r>
          </w:p>
        </w:tc>
        <w:tc>
          <w:tcPr>
            <w:tcW w:w="0" w:type="auto"/>
            <w:noWrap/>
            <w:vAlign w:val="center"/>
          </w:tcPr>
          <w:p w14:paraId="61CBF609" w14:textId="10FB6461"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 xml:space="preserve">0.96 </w:t>
            </w:r>
            <w:r w:rsidR="00795329" w:rsidRPr="004B723C">
              <w:rPr>
                <w:rFonts w:cs="Times New Roman"/>
                <w:color w:val="000000"/>
                <w:sz w:val="18"/>
                <w:szCs w:val="18"/>
              </w:rPr>
              <w:t>(</w:t>
            </w:r>
            <w:r w:rsidRPr="004B723C">
              <w:rPr>
                <w:rFonts w:cs="Times New Roman"/>
                <w:color w:val="000000"/>
                <w:sz w:val="18"/>
                <w:szCs w:val="18"/>
              </w:rPr>
              <w:t>0.94–0.98</w:t>
            </w:r>
            <w:r w:rsidR="00795329" w:rsidRPr="004B723C">
              <w:rPr>
                <w:rFonts w:cs="Times New Roman"/>
                <w:color w:val="000000"/>
                <w:sz w:val="18"/>
                <w:szCs w:val="18"/>
              </w:rPr>
              <w:t>)</w:t>
            </w:r>
          </w:p>
        </w:tc>
        <w:tc>
          <w:tcPr>
            <w:tcW w:w="0" w:type="auto"/>
            <w:noWrap/>
            <w:vAlign w:val="center"/>
          </w:tcPr>
          <w:p w14:paraId="68AA90E2" w14:textId="17469B82" w:rsidR="008D401B" w:rsidRPr="004B723C" w:rsidRDefault="00D53FD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3.68 × 10</w:t>
            </w:r>
            <w:r w:rsidRPr="004B723C">
              <w:rPr>
                <w:rFonts w:cs="Times New Roman"/>
                <w:color w:val="000000"/>
                <w:sz w:val="18"/>
                <w:szCs w:val="18"/>
                <w:vertAlign w:val="superscript"/>
              </w:rPr>
              <w:t>-5</w:t>
            </w:r>
          </w:p>
        </w:tc>
        <w:tc>
          <w:tcPr>
            <w:tcW w:w="0" w:type="auto"/>
            <w:noWrap/>
            <w:vAlign w:val="center"/>
          </w:tcPr>
          <w:p w14:paraId="7285113B" w14:textId="134693FA"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357/2,197</w:t>
            </w:r>
          </w:p>
        </w:tc>
        <w:tc>
          <w:tcPr>
            <w:tcW w:w="0" w:type="auto"/>
            <w:noWrap/>
            <w:vAlign w:val="center"/>
          </w:tcPr>
          <w:p w14:paraId="75F2EA2F" w14:textId="40300125"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w:t>
            </w:r>
          </w:p>
        </w:tc>
        <w:tc>
          <w:tcPr>
            <w:tcW w:w="0" w:type="auto"/>
            <w:noWrap/>
            <w:vAlign w:val="center"/>
          </w:tcPr>
          <w:p w14:paraId="030F00B1" w14:textId="4837D7D0"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 xml:space="preserve">0.94 </w:t>
            </w:r>
            <w:r w:rsidR="00795329" w:rsidRPr="004B723C">
              <w:rPr>
                <w:rFonts w:cs="Times New Roman"/>
                <w:color w:val="000000"/>
                <w:sz w:val="18"/>
                <w:szCs w:val="18"/>
              </w:rPr>
              <w:t>(</w:t>
            </w:r>
            <w:r w:rsidRPr="004B723C">
              <w:rPr>
                <w:rFonts w:cs="Times New Roman"/>
                <w:color w:val="000000"/>
                <w:sz w:val="18"/>
                <w:szCs w:val="18"/>
              </w:rPr>
              <w:t>0.91–0.96</w:t>
            </w:r>
            <w:r w:rsidR="00795329" w:rsidRPr="004B723C">
              <w:rPr>
                <w:rFonts w:cs="Times New Roman"/>
                <w:color w:val="000000"/>
                <w:sz w:val="18"/>
                <w:szCs w:val="18"/>
              </w:rPr>
              <w:t>)</w:t>
            </w:r>
          </w:p>
        </w:tc>
        <w:tc>
          <w:tcPr>
            <w:tcW w:w="0" w:type="auto"/>
            <w:noWrap/>
            <w:vAlign w:val="center"/>
          </w:tcPr>
          <w:p w14:paraId="719A4444" w14:textId="215F2460" w:rsidR="008D401B" w:rsidRPr="004B723C" w:rsidRDefault="00D53FD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2.36 × 10</w:t>
            </w:r>
            <w:r w:rsidRPr="004B723C">
              <w:rPr>
                <w:rFonts w:cs="Times New Roman"/>
                <w:color w:val="000000"/>
                <w:sz w:val="18"/>
                <w:szCs w:val="18"/>
                <w:vertAlign w:val="superscript"/>
              </w:rPr>
              <w:t>-6</w:t>
            </w:r>
          </w:p>
        </w:tc>
      </w:tr>
      <w:tr w:rsidR="00D53FD9" w:rsidRPr="004B723C" w14:paraId="7F861960" w14:textId="77777777" w:rsidTr="000A4648">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18ED4E4" w14:textId="0248D8E0" w:rsidR="008D401B" w:rsidRPr="004B723C" w:rsidRDefault="008D401B" w:rsidP="007F3A2D">
            <w:pPr>
              <w:spacing w:line="360" w:lineRule="auto"/>
              <w:jc w:val="center"/>
              <w:rPr>
                <w:rFonts w:eastAsia="Times New Roman" w:cs="Times New Roman"/>
                <w:color w:val="000000"/>
                <w:sz w:val="18"/>
                <w:szCs w:val="18"/>
                <w:lang w:eastAsia="en-GB"/>
              </w:rPr>
            </w:pPr>
            <w:r w:rsidRPr="004B723C">
              <w:rPr>
                <w:rFonts w:eastAsia="Times New Roman" w:cs="Times New Roman"/>
                <w:color w:val="000000"/>
                <w:sz w:val="18"/>
                <w:szCs w:val="18"/>
                <w:lang w:eastAsia="en-GB"/>
              </w:rPr>
              <w:t>Cente</w:t>
            </w:r>
            <w:r w:rsidR="00E378EF" w:rsidRPr="004B723C">
              <w:rPr>
                <w:rFonts w:eastAsia="Times New Roman" w:cs="Times New Roman"/>
                <w:color w:val="000000"/>
                <w:sz w:val="18"/>
                <w:szCs w:val="18"/>
                <w:lang w:eastAsia="en-GB"/>
              </w:rPr>
              <w:t>r</w:t>
            </w:r>
          </w:p>
        </w:tc>
        <w:tc>
          <w:tcPr>
            <w:tcW w:w="0" w:type="auto"/>
            <w:noWrap/>
            <w:vAlign w:val="center"/>
            <w:hideMark/>
          </w:tcPr>
          <w:p w14:paraId="4F8A090B" w14:textId="77777777"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Basel</w:t>
            </w:r>
          </w:p>
        </w:tc>
        <w:tc>
          <w:tcPr>
            <w:tcW w:w="0" w:type="auto"/>
            <w:noWrap/>
            <w:vAlign w:val="center"/>
          </w:tcPr>
          <w:p w14:paraId="7D89B925" w14:textId="6AC07F99"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358/2,198</w:t>
            </w:r>
          </w:p>
        </w:tc>
        <w:tc>
          <w:tcPr>
            <w:tcW w:w="0" w:type="auto"/>
            <w:noWrap/>
            <w:vAlign w:val="center"/>
          </w:tcPr>
          <w:p w14:paraId="2790AB97" w14:textId="3BCE93C2"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61/393</w:t>
            </w:r>
          </w:p>
        </w:tc>
        <w:tc>
          <w:tcPr>
            <w:tcW w:w="0" w:type="auto"/>
            <w:noWrap/>
            <w:vAlign w:val="center"/>
          </w:tcPr>
          <w:p w14:paraId="7413901A" w14:textId="5A033A3C" w:rsidR="008D401B" w:rsidRPr="004B723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0" w:type="auto"/>
            <w:noWrap/>
            <w:vAlign w:val="center"/>
          </w:tcPr>
          <w:p w14:paraId="2D8C23E4" w14:textId="48DDF4F3" w:rsidR="008D401B" w:rsidRPr="004B723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0" w:type="auto"/>
            <w:noWrap/>
            <w:vAlign w:val="center"/>
          </w:tcPr>
          <w:p w14:paraId="7449B1C6" w14:textId="15A7AA40"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357/2,197</w:t>
            </w:r>
          </w:p>
        </w:tc>
        <w:tc>
          <w:tcPr>
            <w:tcW w:w="0" w:type="auto"/>
            <w:noWrap/>
            <w:vAlign w:val="center"/>
          </w:tcPr>
          <w:p w14:paraId="4A35F1DD" w14:textId="731A8B7A"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61/393</w:t>
            </w:r>
          </w:p>
        </w:tc>
        <w:tc>
          <w:tcPr>
            <w:tcW w:w="0" w:type="auto"/>
            <w:noWrap/>
            <w:vAlign w:val="center"/>
          </w:tcPr>
          <w:p w14:paraId="128C8BB9" w14:textId="060AF05D" w:rsidR="008D401B" w:rsidRPr="004B723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0" w:type="auto"/>
            <w:noWrap/>
            <w:vAlign w:val="center"/>
          </w:tcPr>
          <w:p w14:paraId="34D8E2EB" w14:textId="6CB3CA58" w:rsidR="008D401B" w:rsidRPr="004B723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r>
      <w:tr w:rsidR="00742124" w:rsidRPr="004B723C" w14:paraId="528CBA04" w14:textId="77777777" w:rsidTr="000A4648">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56886711" w14:textId="77777777" w:rsidR="008D401B" w:rsidRPr="004B723C" w:rsidRDefault="008D401B" w:rsidP="007F3A2D">
            <w:pPr>
              <w:spacing w:line="360" w:lineRule="auto"/>
              <w:jc w:val="center"/>
              <w:rPr>
                <w:rFonts w:eastAsia="Times New Roman" w:cs="Times New Roman"/>
                <w:color w:val="000000"/>
                <w:sz w:val="18"/>
                <w:szCs w:val="18"/>
                <w:lang w:eastAsia="en-GB"/>
              </w:rPr>
            </w:pPr>
          </w:p>
        </w:tc>
        <w:tc>
          <w:tcPr>
            <w:tcW w:w="0" w:type="auto"/>
            <w:noWrap/>
            <w:vAlign w:val="center"/>
            <w:hideMark/>
          </w:tcPr>
          <w:p w14:paraId="49E6E64B" w14:textId="77777777"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Leuven</w:t>
            </w:r>
          </w:p>
        </w:tc>
        <w:tc>
          <w:tcPr>
            <w:tcW w:w="0" w:type="auto"/>
            <w:noWrap/>
            <w:vAlign w:val="center"/>
          </w:tcPr>
          <w:p w14:paraId="3A1DB366" w14:textId="0192D2DB"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w:t>
            </w:r>
          </w:p>
        </w:tc>
        <w:tc>
          <w:tcPr>
            <w:tcW w:w="0" w:type="auto"/>
            <w:noWrap/>
            <w:vAlign w:val="center"/>
          </w:tcPr>
          <w:p w14:paraId="207815F7" w14:textId="55BB2B9E"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297/1,805</w:t>
            </w:r>
          </w:p>
        </w:tc>
        <w:tc>
          <w:tcPr>
            <w:tcW w:w="0" w:type="auto"/>
            <w:noWrap/>
            <w:vAlign w:val="center"/>
          </w:tcPr>
          <w:p w14:paraId="39EF6A44" w14:textId="1D3FAA91"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 xml:space="preserve">0.87 </w:t>
            </w:r>
            <w:r w:rsidR="00795329" w:rsidRPr="004B723C">
              <w:rPr>
                <w:rFonts w:cs="Times New Roman"/>
                <w:color w:val="000000"/>
                <w:sz w:val="18"/>
                <w:szCs w:val="18"/>
              </w:rPr>
              <w:t>(</w:t>
            </w:r>
            <w:r w:rsidRPr="004B723C">
              <w:rPr>
                <w:rFonts w:cs="Times New Roman"/>
                <w:color w:val="000000"/>
                <w:sz w:val="18"/>
                <w:szCs w:val="18"/>
              </w:rPr>
              <w:t>0.66–1.15</w:t>
            </w:r>
            <w:r w:rsidR="00795329" w:rsidRPr="004B723C">
              <w:rPr>
                <w:rFonts w:cs="Times New Roman"/>
                <w:color w:val="000000"/>
                <w:sz w:val="18"/>
                <w:szCs w:val="18"/>
              </w:rPr>
              <w:t>)</w:t>
            </w:r>
          </w:p>
        </w:tc>
        <w:tc>
          <w:tcPr>
            <w:tcW w:w="0" w:type="auto"/>
            <w:noWrap/>
            <w:vAlign w:val="center"/>
          </w:tcPr>
          <w:p w14:paraId="30CC7BC2" w14:textId="30E3D2D9"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0.34</w:t>
            </w:r>
          </w:p>
        </w:tc>
        <w:tc>
          <w:tcPr>
            <w:tcW w:w="0" w:type="auto"/>
            <w:noWrap/>
            <w:vAlign w:val="center"/>
          </w:tcPr>
          <w:p w14:paraId="2FB49F23" w14:textId="711AE444"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w:t>
            </w:r>
          </w:p>
        </w:tc>
        <w:tc>
          <w:tcPr>
            <w:tcW w:w="0" w:type="auto"/>
            <w:noWrap/>
            <w:vAlign w:val="center"/>
          </w:tcPr>
          <w:p w14:paraId="3F49DD81" w14:textId="5210411E"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296/1,804</w:t>
            </w:r>
          </w:p>
        </w:tc>
        <w:tc>
          <w:tcPr>
            <w:tcW w:w="0" w:type="auto"/>
            <w:noWrap/>
            <w:vAlign w:val="center"/>
          </w:tcPr>
          <w:p w14:paraId="0FC364E6" w14:textId="64860A60"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 xml:space="preserve">0.82 </w:t>
            </w:r>
            <w:r w:rsidR="00795329" w:rsidRPr="004B723C">
              <w:rPr>
                <w:rFonts w:cs="Times New Roman"/>
                <w:color w:val="000000"/>
                <w:sz w:val="18"/>
                <w:szCs w:val="18"/>
              </w:rPr>
              <w:t>(</w:t>
            </w:r>
            <w:r w:rsidRPr="004B723C">
              <w:rPr>
                <w:rFonts w:cs="Times New Roman"/>
                <w:color w:val="000000"/>
                <w:sz w:val="18"/>
                <w:szCs w:val="18"/>
              </w:rPr>
              <w:t>0.57–1.18</w:t>
            </w:r>
            <w:r w:rsidR="00795329" w:rsidRPr="004B723C">
              <w:rPr>
                <w:rFonts w:cs="Times New Roman"/>
                <w:color w:val="000000"/>
                <w:sz w:val="18"/>
                <w:szCs w:val="18"/>
              </w:rPr>
              <w:t>)</w:t>
            </w:r>
          </w:p>
        </w:tc>
        <w:tc>
          <w:tcPr>
            <w:tcW w:w="0" w:type="auto"/>
            <w:noWrap/>
            <w:vAlign w:val="center"/>
          </w:tcPr>
          <w:p w14:paraId="56028686" w14:textId="716E6385"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0.28</w:t>
            </w:r>
          </w:p>
        </w:tc>
      </w:tr>
      <w:tr w:rsidR="00D53FD9" w:rsidRPr="004B723C" w14:paraId="372F13A0" w14:textId="77777777" w:rsidTr="000A4648">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80C8F39" w14:textId="77777777" w:rsidR="008D401B" w:rsidRPr="004B723C" w:rsidRDefault="008D401B" w:rsidP="007F3A2D">
            <w:pPr>
              <w:spacing w:line="360" w:lineRule="auto"/>
              <w:jc w:val="center"/>
              <w:rPr>
                <w:rFonts w:eastAsia="Times New Roman" w:cs="Times New Roman"/>
                <w:color w:val="000000"/>
                <w:sz w:val="18"/>
                <w:szCs w:val="18"/>
                <w:lang w:eastAsia="en-GB"/>
              </w:rPr>
            </w:pPr>
            <w:r w:rsidRPr="004B723C">
              <w:rPr>
                <w:rFonts w:eastAsia="Times New Roman" w:cs="Times New Roman"/>
                <w:color w:val="000000"/>
                <w:sz w:val="18"/>
                <w:szCs w:val="18"/>
                <w:lang w:eastAsia="en-GB"/>
              </w:rPr>
              <w:t>Donor age (per 10 years)</w:t>
            </w:r>
          </w:p>
        </w:tc>
        <w:tc>
          <w:tcPr>
            <w:tcW w:w="0" w:type="auto"/>
            <w:noWrap/>
            <w:vAlign w:val="center"/>
            <w:hideMark/>
          </w:tcPr>
          <w:p w14:paraId="54DF4B08" w14:textId="77777777"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w:t>
            </w:r>
          </w:p>
        </w:tc>
        <w:tc>
          <w:tcPr>
            <w:tcW w:w="0" w:type="auto"/>
            <w:noWrap/>
            <w:vAlign w:val="center"/>
          </w:tcPr>
          <w:p w14:paraId="154E5D22" w14:textId="7BEB0516"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358/2,198</w:t>
            </w:r>
          </w:p>
        </w:tc>
        <w:tc>
          <w:tcPr>
            <w:tcW w:w="0" w:type="auto"/>
            <w:noWrap/>
            <w:vAlign w:val="center"/>
          </w:tcPr>
          <w:p w14:paraId="7A57920D" w14:textId="766C4B97"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w:t>
            </w:r>
          </w:p>
        </w:tc>
        <w:tc>
          <w:tcPr>
            <w:tcW w:w="0" w:type="auto"/>
            <w:noWrap/>
            <w:vAlign w:val="center"/>
          </w:tcPr>
          <w:p w14:paraId="0C8AFF7A" w14:textId="5AD39EC7"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 xml:space="preserve">1.14 </w:t>
            </w:r>
            <w:r w:rsidR="00795329" w:rsidRPr="004B723C">
              <w:rPr>
                <w:rFonts w:cs="Times New Roman"/>
                <w:color w:val="000000"/>
                <w:sz w:val="18"/>
                <w:szCs w:val="18"/>
              </w:rPr>
              <w:t>(</w:t>
            </w:r>
            <w:r w:rsidRPr="004B723C">
              <w:rPr>
                <w:rFonts w:cs="Times New Roman"/>
                <w:color w:val="000000"/>
                <w:sz w:val="18"/>
                <w:szCs w:val="18"/>
              </w:rPr>
              <w:t>1.06–1.22</w:t>
            </w:r>
            <w:r w:rsidR="00795329" w:rsidRPr="004B723C">
              <w:rPr>
                <w:rFonts w:cs="Times New Roman"/>
                <w:color w:val="000000"/>
                <w:sz w:val="18"/>
                <w:szCs w:val="18"/>
              </w:rPr>
              <w:t>)</w:t>
            </w:r>
          </w:p>
        </w:tc>
        <w:tc>
          <w:tcPr>
            <w:tcW w:w="0" w:type="auto"/>
            <w:noWrap/>
            <w:vAlign w:val="center"/>
          </w:tcPr>
          <w:p w14:paraId="4B779D72" w14:textId="037F0FF7" w:rsidR="008D401B" w:rsidRPr="004B723C" w:rsidRDefault="00D53FD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6.42 × 10</w:t>
            </w:r>
            <w:r w:rsidRPr="004B723C">
              <w:rPr>
                <w:rFonts w:cs="Times New Roman"/>
                <w:color w:val="000000"/>
                <w:sz w:val="18"/>
                <w:szCs w:val="18"/>
                <w:vertAlign w:val="superscript"/>
              </w:rPr>
              <w:t>-4</w:t>
            </w:r>
          </w:p>
        </w:tc>
        <w:tc>
          <w:tcPr>
            <w:tcW w:w="0" w:type="auto"/>
            <w:noWrap/>
            <w:vAlign w:val="center"/>
          </w:tcPr>
          <w:p w14:paraId="46E00C1C" w14:textId="61F67B23"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357/2,197</w:t>
            </w:r>
          </w:p>
        </w:tc>
        <w:tc>
          <w:tcPr>
            <w:tcW w:w="0" w:type="auto"/>
            <w:noWrap/>
            <w:vAlign w:val="center"/>
          </w:tcPr>
          <w:p w14:paraId="1C3D6504" w14:textId="020DD04D"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w:t>
            </w:r>
          </w:p>
        </w:tc>
        <w:tc>
          <w:tcPr>
            <w:tcW w:w="0" w:type="auto"/>
            <w:noWrap/>
            <w:vAlign w:val="center"/>
          </w:tcPr>
          <w:p w14:paraId="7A5911EE" w14:textId="1860E4BE"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 xml:space="preserve">1.17 </w:t>
            </w:r>
            <w:r w:rsidR="00795329" w:rsidRPr="004B723C">
              <w:rPr>
                <w:rFonts w:cs="Times New Roman"/>
                <w:color w:val="000000"/>
                <w:sz w:val="18"/>
                <w:szCs w:val="18"/>
              </w:rPr>
              <w:t>(</w:t>
            </w:r>
            <w:r w:rsidRPr="004B723C">
              <w:rPr>
                <w:rFonts w:cs="Times New Roman"/>
                <w:color w:val="000000"/>
                <w:sz w:val="18"/>
                <w:szCs w:val="18"/>
              </w:rPr>
              <w:t>1.08–1.26</w:t>
            </w:r>
            <w:r w:rsidR="00795329" w:rsidRPr="004B723C">
              <w:rPr>
                <w:rFonts w:cs="Times New Roman"/>
                <w:color w:val="000000"/>
                <w:sz w:val="18"/>
                <w:szCs w:val="18"/>
              </w:rPr>
              <w:t>)</w:t>
            </w:r>
          </w:p>
        </w:tc>
        <w:tc>
          <w:tcPr>
            <w:tcW w:w="0" w:type="auto"/>
            <w:noWrap/>
            <w:vAlign w:val="center"/>
          </w:tcPr>
          <w:p w14:paraId="4611E29A" w14:textId="58341062" w:rsidR="008D401B" w:rsidRPr="004B723C" w:rsidRDefault="00D53FD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1.36 × 10</w:t>
            </w:r>
            <w:r w:rsidRPr="004B723C">
              <w:rPr>
                <w:rFonts w:cs="Times New Roman"/>
                <w:color w:val="000000"/>
                <w:sz w:val="18"/>
                <w:szCs w:val="18"/>
                <w:vertAlign w:val="superscript"/>
              </w:rPr>
              <w:t>-4</w:t>
            </w:r>
          </w:p>
        </w:tc>
      </w:tr>
      <w:tr w:rsidR="00D53FD9" w:rsidRPr="004B723C" w14:paraId="501C2576" w14:textId="77777777" w:rsidTr="000A4648">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410A743" w14:textId="77777777" w:rsidR="008D401B" w:rsidRPr="004B723C" w:rsidRDefault="008D401B" w:rsidP="007F3A2D">
            <w:pPr>
              <w:spacing w:line="360" w:lineRule="auto"/>
              <w:jc w:val="center"/>
              <w:rPr>
                <w:rFonts w:eastAsia="Times New Roman" w:cs="Times New Roman"/>
                <w:color w:val="000000"/>
                <w:sz w:val="18"/>
                <w:szCs w:val="18"/>
                <w:lang w:eastAsia="en-GB"/>
              </w:rPr>
            </w:pPr>
            <w:r w:rsidRPr="004B723C">
              <w:rPr>
                <w:rFonts w:eastAsia="Times New Roman" w:cs="Times New Roman"/>
                <w:color w:val="000000"/>
                <w:sz w:val="18"/>
                <w:szCs w:val="18"/>
                <w:lang w:eastAsia="en-GB"/>
              </w:rPr>
              <w:t>Donor type</w:t>
            </w:r>
          </w:p>
        </w:tc>
        <w:tc>
          <w:tcPr>
            <w:tcW w:w="0" w:type="auto"/>
            <w:noWrap/>
            <w:vAlign w:val="center"/>
            <w:hideMark/>
          </w:tcPr>
          <w:p w14:paraId="2DED696B" w14:textId="77777777"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Living</w:t>
            </w:r>
          </w:p>
        </w:tc>
        <w:tc>
          <w:tcPr>
            <w:tcW w:w="0" w:type="auto"/>
            <w:noWrap/>
            <w:vAlign w:val="center"/>
          </w:tcPr>
          <w:p w14:paraId="07F1EA91" w14:textId="022F0F69"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358/2,198</w:t>
            </w:r>
          </w:p>
        </w:tc>
        <w:tc>
          <w:tcPr>
            <w:tcW w:w="0" w:type="auto"/>
            <w:noWrap/>
            <w:vAlign w:val="center"/>
          </w:tcPr>
          <w:p w14:paraId="66C07518" w14:textId="210AD6B4"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40/287</w:t>
            </w:r>
          </w:p>
        </w:tc>
        <w:tc>
          <w:tcPr>
            <w:tcW w:w="0" w:type="auto"/>
            <w:noWrap/>
            <w:vAlign w:val="center"/>
          </w:tcPr>
          <w:p w14:paraId="0059114F" w14:textId="606564C1" w:rsidR="008D401B" w:rsidRPr="004B723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0" w:type="auto"/>
            <w:noWrap/>
            <w:vAlign w:val="center"/>
          </w:tcPr>
          <w:p w14:paraId="73F9B347" w14:textId="2CD72232" w:rsidR="008D401B" w:rsidRPr="004B723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0" w:type="auto"/>
            <w:noWrap/>
            <w:vAlign w:val="center"/>
          </w:tcPr>
          <w:p w14:paraId="4D5F91BF" w14:textId="47DEC59B"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357/2,197</w:t>
            </w:r>
          </w:p>
        </w:tc>
        <w:tc>
          <w:tcPr>
            <w:tcW w:w="0" w:type="auto"/>
            <w:noWrap/>
            <w:vAlign w:val="center"/>
          </w:tcPr>
          <w:p w14:paraId="66672447" w14:textId="131EF07B"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40/287</w:t>
            </w:r>
          </w:p>
        </w:tc>
        <w:tc>
          <w:tcPr>
            <w:tcW w:w="0" w:type="auto"/>
            <w:noWrap/>
            <w:vAlign w:val="center"/>
          </w:tcPr>
          <w:p w14:paraId="1DE7941B" w14:textId="5447A916" w:rsidR="008D401B" w:rsidRPr="004B723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0" w:type="auto"/>
            <w:noWrap/>
            <w:vAlign w:val="center"/>
          </w:tcPr>
          <w:p w14:paraId="5829A141" w14:textId="5C2E916C" w:rsidR="008D401B" w:rsidRPr="004B723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r>
      <w:tr w:rsidR="00742124" w:rsidRPr="004B723C" w14:paraId="3B8CF121" w14:textId="77777777" w:rsidTr="000A4648">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62D5FA74" w14:textId="77777777" w:rsidR="008D401B" w:rsidRPr="004B723C" w:rsidRDefault="008D401B" w:rsidP="007F3A2D">
            <w:pPr>
              <w:spacing w:line="360" w:lineRule="auto"/>
              <w:jc w:val="center"/>
              <w:rPr>
                <w:rFonts w:eastAsia="Times New Roman" w:cs="Times New Roman"/>
                <w:color w:val="000000"/>
                <w:sz w:val="18"/>
                <w:szCs w:val="18"/>
                <w:lang w:eastAsia="en-GB"/>
              </w:rPr>
            </w:pPr>
          </w:p>
        </w:tc>
        <w:tc>
          <w:tcPr>
            <w:tcW w:w="0" w:type="auto"/>
            <w:noWrap/>
            <w:vAlign w:val="center"/>
            <w:hideMark/>
          </w:tcPr>
          <w:p w14:paraId="45F62522" w14:textId="77777777"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DBD</w:t>
            </w:r>
          </w:p>
        </w:tc>
        <w:tc>
          <w:tcPr>
            <w:tcW w:w="0" w:type="auto"/>
            <w:noWrap/>
            <w:vAlign w:val="center"/>
          </w:tcPr>
          <w:p w14:paraId="0EFB5FE6" w14:textId="0393DA35"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w:t>
            </w:r>
          </w:p>
        </w:tc>
        <w:tc>
          <w:tcPr>
            <w:tcW w:w="0" w:type="auto"/>
            <w:noWrap/>
            <w:vAlign w:val="center"/>
          </w:tcPr>
          <w:p w14:paraId="5C9AA629" w14:textId="7979E2FA"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260/1,498</w:t>
            </w:r>
          </w:p>
        </w:tc>
        <w:tc>
          <w:tcPr>
            <w:tcW w:w="0" w:type="auto"/>
            <w:noWrap/>
            <w:vAlign w:val="center"/>
          </w:tcPr>
          <w:p w14:paraId="33E56829" w14:textId="38FE357E"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 xml:space="preserve">1.19 </w:t>
            </w:r>
            <w:r w:rsidR="00795329" w:rsidRPr="004B723C">
              <w:rPr>
                <w:rFonts w:cs="Times New Roman"/>
                <w:color w:val="000000"/>
                <w:sz w:val="18"/>
                <w:szCs w:val="18"/>
              </w:rPr>
              <w:t>(</w:t>
            </w:r>
            <w:r w:rsidRPr="004B723C">
              <w:rPr>
                <w:rFonts w:cs="Times New Roman"/>
                <w:color w:val="000000"/>
                <w:sz w:val="18"/>
                <w:szCs w:val="18"/>
              </w:rPr>
              <w:t>0.85–1.65</w:t>
            </w:r>
            <w:r w:rsidR="00795329" w:rsidRPr="004B723C">
              <w:rPr>
                <w:rFonts w:cs="Times New Roman"/>
                <w:color w:val="000000"/>
                <w:sz w:val="18"/>
                <w:szCs w:val="18"/>
              </w:rPr>
              <w:t>)</w:t>
            </w:r>
          </w:p>
        </w:tc>
        <w:tc>
          <w:tcPr>
            <w:tcW w:w="0" w:type="auto"/>
            <w:noWrap/>
            <w:vAlign w:val="center"/>
          </w:tcPr>
          <w:p w14:paraId="02D9AAA4" w14:textId="207C62FC"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0.32</w:t>
            </w:r>
          </w:p>
        </w:tc>
        <w:tc>
          <w:tcPr>
            <w:tcW w:w="0" w:type="auto"/>
            <w:noWrap/>
            <w:vAlign w:val="center"/>
          </w:tcPr>
          <w:p w14:paraId="7373FC77" w14:textId="7BE4C6C2"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w:t>
            </w:r>
          </w:p>
        </w:tc>
        <w:tc>
          <w:tcPr>
            <w:tcW w:w="0" w:type="auto"/>
            <w:noWrap/>
            <w:vAlign w:val="center"/>
          </w:tcPr>
          <w:p w14:paraId="43A9457D" w14:textId="7AECA44E"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259/1,497</w:t>
            </w:r>
          </w:p>
        </w:tc>
        <w:tc>
          <w:tcPr>
            <w:tcW w:w="0" w:type="auto"/>
            <w:noWrap/>
            <w:vAlign w:val="center"/>
          </w:tcPr>
          <w:p w14:paraId="4FDB9850" w14:textId="20996D88"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 xml:space="preserve">0.91 </w:t>
            </w:r>
            <w:r w:rsidR="00795329" w:rsidRPr="004B723C">
              <w:rPr>
                <w:rFonts w:cs="Times New Roman"/>
                <w:color w:val="000000"/>
                <w:sz w:val="18"/>
                <w:szCs w:val="18"/>
              </w:rPr>
              <w:t>(</w:t>
            </w:r>
            <w:r w:rsidRPr="004B723C">
              <w:rPr>
                <w:rFonts w:cs="Times New Roman"/>
                <w:color w:val="000000"/>
                <w:sz w:val="18"/>
                <w:szCs w:val="18"/>
              </w:rPr>
              <w:t>0.57–1.44</w:t>
            </w:r>
            <w:r w:rsidR="00795329" w:rsidRPr="004B723C">
              <w:rPr>
                <w:rFonts w:cs="Times New Roman"/>
                <w:color w:val="000000"/>
                <w:sz w:val="18"/>
                <w:szCs w:val="18"/>
              </w:rPr>
              <w:t>)</w:t>
            </w:r>
          </w:p>
        </w:tc>
        <w:tc>
          <w:tcPr>
            <w:tcW w:w="0" w:type="auto"/>
            <w:noWrap/>
            <w:vAlign w:val="center"/>
          </w:tcPr>
          <w:p w14:paraId="366F0EFA" w14:textId="30095737"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0.68</w:t>
            </w:r>
          </w:p>
        </w:tc>
      </w:tr>
      <w:tr w:rsidR="00742124" w:rsidRPr="004B723C" w14:paraId="1A1F1A90" w14:textId="77777777" w:rsidTr="000A4648">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20A73523" w14:textId="77777777" w:rsidR="008D401B" w:rsidRPr="004B723C" w:rsidRDefault="008D401B" w:rsidP="007F3A2D">
            <w:pPr>
              <w:spacing w:line="360" w:lineRule="auto"/>
              <w:jc w:val="center"/>
              <w:rPr>
                <w:rFonts w:eastAsia="Times New Roman" w:cs="Times New Roman"/>
                <w:color w:val="000000"/>
                <w:sz w:val="18"/>
                <w:szCs w:val="18"/>
                <w:lang w:eastAsia="en-GB"/>
              </w:rPr>
            </w:pPr>
          </w:p>
        </w:tc>
        <w:tc>
          <w:tcPr>
            <w:tcW w:w="0" w:type="auto"/>
            <w:noWrap/>
            <w:vAlign w:val="center"/>
            <w:hideMark/>
          </w:tcPr>
          <w:p w14:paraId="49AE4E50" w14:textId="77777777"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DCD</w:t>
            </w:r>
          </w:p>
        </w:tc>
        <w:tc>
          <w:tcPr>
            <w:tcW w:w="0" w:type="auto"/>
            <w:noWrap/>
            <w:vAlign w:val="center"/>
          </w:tcPr>
          <w:p w14:paraId="3EFF41A8" w14:textId="1FF16B22"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w:t>
            </w:r>
          </w:p>
        </w:tc>
        <w:tc>
          <w:tcPr>
            <w:tcW w:w="0" w:type="auto"/>
            <w:noWrap/>
            <w:vAlign w:val="center"/>
          </w:tcPr>
          <w:p w14:paraId="6186A7C4" w14:textId="761D738A"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58/413</w:t>
            </w:r>
          </w:p>
        </w:tc>
        <w:tc>
          <w:tcPr>
            <w:tcW w:w="0" w:type="auto"/>
            <w:noWrap/>
            <w:vAlign w:val="center"/>
          </w:tcPr>
          <w:p w14:paraId="05DEECF6" w14:textId="110BFDEA"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 xml:space="preserve">0.96 </w:t>
            </w:r>
            <w:r w:rsidR="00795329" w:rsidRPr="004B723C">
              <w:rPr>
                <w:rFonts w:cs="Times New Roman"/>
                <w:color w:val="000000"/>
                <w:sz w:val="18"/>
                <w:szCs w:val="18"/>
              </w:rPr>
              <w:t>(</w:t>
            </w:r>
            <w:r w:rsidRPr="004B723C">
              <w:rPr>
                <w:rFonts w:cs="Times New Roman"/>
                <w:color w:val="000000"/>
                <w:sz w:val="18"/>
                <w:szCs w:val="18"/>
              </w:rPr>
              <w:t>0.64–1.44</w:t>
            </w:r>
            <w:r w:rsidR="00795329" w:rsidRPr="004B723C">
              <w:rPr>
                <w:rFonts w:cs="Times New Roman"/>
                <w:color w:val="000000"/>
                <w:sz w:val="18"/>
                <w:szCs w:val="18"/>
              </w:rPr>
              <w:t>)</w:t>
            </w:r>
          </w:p>
        </w:tc>
        <w:tc>
          <w:tcPr>
            <w:tcW w:w="0" w:type="auto"/>
            <w:noWrap/>
            <w:vAlign w:val="center"/>
          </w:tcPr>
          <w:p w14:paraId="54355C47" w14:textId="5EEE215B"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0.86</w:t>
            </w:r>
          </w:p>
        </w:tc>
        <w:tc>
          <w:tcPr>
            <w:tcW w:w="0" w:type="auto"/>
            <w:noWrap/>
            <w:vAlign w:val="center"/>
          </w:tcPr>
          <w:p w14:paraId="1E21F180" w14:textId="1C67E1BA"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w:t>
            </w:r>
          </w:p>
        </w:tc>
        <w:tc>
          <w:tcPr>
            <w:tcW w:w="0" w:type="auto"/>
            <w:noWrap/>
            <w:vAlign w:val="center"/>
          </w:tcPr>
          <w:p w14:paraId="173A8FF2" w14:textId="7163AF4C"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58/413</w:t>
            </w:r>
          </w:p>
        </w:tc>
        <w:tc>
          <w:tcPr>
            <w:tcW w:w="0" w:type="auto"/>
            <w:noWrap/>
            <w:vAlign w:val="center"/>
          </w:tcPr>
          <w:p w14:paraId="3CB10597" w14:textId="1190820D"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 xml:space="preserve">0.92 </w:t>
            </w:r>
            <w:r w:rsidR="00795329" w:rsidRPr="004B723C">
              <w:rPr>
                <w:rFonts w:cs="Times New Roman"/>
                <w:color w:val="000000"/>
                <w:sz w:val="18"/>
                <w:szCs w:val="18"/>
              </w:rPr>
              <w:t>(</w:t>
            </w:r>
            <w:r w:rsidRPr="004B723C">
              <w:rPr>
                <w:rFonts w:cs="Times New Roman"/>
                <w:color w:val="000000"/>
                <w:sz w:val="18"/>
                <w:szCs w:val="18"/>
              </w:rPr>
              <w:t>0.55–1.54</w:t>
            </w:r>
            <w:r w:rsidR="00795329" w:rsidRPr="004B723C">
              <w:rPr>
                <w:rFonts w:cs="Times New Roman"/>
                <w:color w:val="000000"/>
                <w:sz w:val="18"/>
                <w:szCs w:val="18"/>
              </w:rPr>
              <w:t>)</w:t>
            </w:r>
          </w:p>
        </w:tc>
        <w:tc>
          <w:tcPr>
            <w:tcW w:w="0" w:type="auto"/>
            <w:noWrap/>
            <w:vAlign w:val="center"/>
          </w:tcPr>
          <w:p w14:paraId="6E30410D" w14:textId="3DE18CF9"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0.75</w:t>
            </w:r>
          </w:p>
        </w:tc>
      </w:tr>
      <w:tr w:rsidR="00D53FD9" w:rsidRPr="004B723C" w14:paraId="241F9387" w14:textId="77777777" w:rsidTr="000A4648">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A61A928" w14:textId="77777777" w:rsidR="008D401B" w:rsidRPr="004B723C" w:rsidRDefault="008D401B" w:rsidP="007F3A2D">
            <w:pPr>
              <w:spacing w:line="360" w:lineRule="auto"/>
              <w:jc w:val="center"/>
              <w:rPr>
                <w:rFonts w:eastAsia="Times New Roman" w:cs="Times New Roman"/>
                <w:color w:val="000000"/>
                <w:sz w:val="18"/>
                <w:szCs w:val="18"/>
                <w:lang w:eastAsia="en-GB"/>
              </w:rPr>
            </w:pPr>
            <w:r w:rsidRPr="004B723C">
              <w:rPr>
                <w:rFonts w:eastAsia="Times New Roman" w:cs="Times New Roman"/>
                <w:color w:val="000000"/>
                <w:sz w:val="18"/>
                <w:szCs w:val="18"/>
                <w:lang w:eastAsia="en-GB"/>
              </w:rPr>
              <w:t>HLA mismatch (per mismatch)</w:t>
            </w:r>
          </w:p>
        </w:tc>
        <w:tc>
          <w:tcPr>
            <w:tcW w:w="0" w:type="auto"/>
            <w:noWrap/>
            <w:vAlign w:val="center"/>
            <w:hideMark/>
          </w:tcPr>
          <w:p w14:paraId="1FA34949" w14:textId="77777777"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w:t>
            </w:r>
          </w:p>
        </w:tc>
        <w:tc>
          <w:tcPr>
            <w:tcW w:w="0" w:type="auto"/>
            <w:noWrap/>
            <w:vAlign w:val="center"/>
          </w:tcPr>
          <w:p w14:paraId="563F429F" w14:textId="278AB92A"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358/2,198</w:t>
            </w:r>
          </w:p>
        </w:tc>
        <w:tc>
          <w:tcPr>
            <w:tcW w:w="0" w:type="auto"/>
            <w:noWrap/>
            <w:vAlign w:val="center"/>
          </w:tcPr>
          <w:p w14:paraId="53EBA414" w14:textId="3D52E006"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w:t>
            </w:r>
          </w:p>
        </w:tc>
        <w:tc>
          <w:tcPr>
            <w:tcW w:w="0" w:type="auto"/>
            <w:noWrap/>
            <w:vAlign w:val="center"/>
          </w:tcPr>
          <w:p w14:paraId="120276B3" w14:textId="1407DB60"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 xml:space="preserve">1.15 </w:t>
            </w:r>
            <w:r w:rsidR="00795329" w:rsidRPr="004B723C">
              <w:rPr>
                <w:rFonts w:cs="Times New Roman"/>
                <w:color w:val="000000"/>
                <w:sz w:val="18"/>
                <w:szCs w:val="18"/>
              </w:rPr>
              <w:t>(</w:t>
            </w:r>
            <w:r w:rsidRPr="004B723C">
              <w:rPr>
                <w:rFonts w:cs="Times New Roman"/>
                <w:color w:val="000000"/>
                <w:sz w:val="18"/>
                <w:szCs w:val="18"/>
              </w:rPr>
              <w:t>1.07–1.23</w:t>
            </w:r>
            <w:r w:rsidR="00795329" w:rsidRPr="004B723C">
              <w:rPr>
                <w:rFonts w:cs="Times New Roman"/>
                <w:color w:val="000000"/>
                <w:sz w:val="18"/>
                <w:szCs w:val="18"/>
              </w:rPr>
              <w:t>)</w:t>
            </w:r>
          </w:p>
        </w:tc>
        <w:tc>
          <w:tcPr>
            <w:tcW w:w="0" w:type="auto"/>
            <w:noWrap/>
            <w:vAlign w:val="center"/>
          </w:tcPr>
          <w:p w14:paraId="039065EE" w14:textId="0C77B072" w:rsidR="008D401B" w:rsidRPr="004B723C" w:rsidRDefault="00D53FD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1.68 × 10</w:t>
            </w:r>
            <w:r w:rsidRPr="004B723C">
              <w:rPr>
                <w:rFonts w:cs="Times New Roman"/>
                <w:color w:val="000000"/>
                <w:sz w:val="18"/>
                <w:szCs w:val="18"/>
                <w:vertAlign w:val="superscript"/>
              </w:rPr>
              <w:t>-4</w:t>
            </w:r>
          </w:p>
        </w:tc>
        <w:tc>
          <w:tcPr>
            <w:tcW w:w="0" w:type="auto"/>
            <w:noWrap/>
            <w:vAlign w:val="center"/>
          </w:tcPr>
          <w:p w14:paraId="55A31814" w14:textId="15B7EC1B"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357/2,197</w:t>
            </w:r>
          </w:p>
        </w:tc>
        <w:tc>
          <w:tcPr>
            <w:tcW w:w="0" w:type="auto"/>
            <w:noWrap/>
            <w:vAlign w:val="center"/>
          </w:tcPr>
          <w:p w14:paraId="6CDF8F14" w14:textId="7D278BBC"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w:t>
            </w:r>
          </w:p>
        </w:tc>
        <w:tc>
          <w:tcPr>
            <w:tcW w:w="0" w:type="auto"/>
            <w:noWrap/>
            <w:vAlign w:val="center"/>
          </w:tcPr>
          <w:p w14:paraId="5780EDF9" w14:textId="55B40A5B"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 xml:space="preserve">1.16 </w:t>
            </w:r>
            <w:r w:rsidR="00795329" w:rsidRPr="004B723C">
              <w:rPr>
                <w:rFonts w:cs="Times New Roman"/>
                <w:color w:val="000000"/>
                <w:sz w:val="18"/>
                <w:szCs w:val="18"/>
              </w:rPr>
              <w:t>(</w:t>
            </w:r>
            <w:r w:rsidRPr="004B723C">
              <w:rPr>
                <w:rFonts w:cs="Times New Roman"/>
                <w:color w:val="000000"/>
                <w:sz w:val="18"/>
                <w:szCs w:val="18"/>
              </w:rPr>
              <w:t>1.06–1.26</w:t>
            </w:r>
            <w:r w:rsidR="00795329" w:rsidRPr="004B723C">
              <w:rPr>
                <w:rFonts w:cs="Times New Roman"/>
                <w:color w:val="000000"/>
                <w:sz w:val="18"/>
                <w:szCs w:val="18"/>
              </w:rPr>
              <w:t>)</w:t>
            </w:r>
          </w:p>
        </w:tc>
        <w:tc>
          <w:tcPr>
            <w:tcW w:w="0" w:type="auto"/>
            <w:noWrap/>
            <w:vAlign w:val="center"/>
          </w:tcPr>
          <w:p w14:paraId="08363F1B" w14:textId="76FE245D" w:rsidR="008D401B" w:rsidRPr="004B723C" w:rsidRDefault="00D53FD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9.94 × 10</w:t>
            </w:r>
            <w:r w:rsidRPr="004B723C">
              <w:rPr>
                <w:rFonts w:cs="Times New Roman"/>
                <w:color w:val="000000"/>
                <w:sz w:val="18"/>
                <w:szCs w:val="18"/>
                <w:vertAlign w:val="superscript"/>
              </w:rPr>
              <w:t>-4</w:t>
            </w:r>
          </w:p>
        </w:tc>
      </w:tr>
      <w:tr w:rsidR="00D53FD9" w:rsidRPr="004B723C" w14:paraId="0D354F67" w14:textId="77777777" w:rsidTr="000A4648">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A6B55AB" w14:textId="77777777" w:rsidR="008D401B" w:rsidRPr="004B723C" w:rsidRDefault="008D401B" w:rsidP="007F3A2D">
            <w:pPr>
              <w:spacing w:line="360" w:lineRule="auto"/>
              <w:jc w:val="center"/>
              <w:rPr>
                <w:rFonts w:eastAsia="Times New Roman" w:cs="Times New Roman"/>
                <w:color w:val="000000"/>
                <w:sz w:val="18"/>
                <w:szCs w:val="18"/>
                <w:lang w:eastAsia="en-GB"/>
              </w:rPr>
            </w:pPr>
            <w:r w:rsidRPr="004B723C">
              <w:rPr>
                <w:rFonts w:eastAsia="Times New Roman" w:cs="Times New Roman"/>
                <w:color w:val="000000"/>
                <w:sz w:val="18"/>
                <w:szCs w:val="18"/>
                <w:lang w:eastAsia="en-GB"/>
              </w:rPr>
              <w:t>HLA-DSA status</w:t>
            </w:r>
          </w:p>
        </w:tc>
        <w:tc>
          <w:tcPr>
            <w:tcW w:w="0" w:type="auto"/>
            <w:noWrap/>
            <w:vAlign w:val="center"/>
            <w:hideMark/>
          </w:tcPr>
          <w:p w14:paraId="32C260BB" w14:textId="77777777"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Negative</w:t>
            </w:r>
          </w:p>
        </w:tc>
        <w:tc>
          <w:tcPr>
            <w:tcW w:w="0" w:type="auto"/>
            <w:noWrap/>
            <w:vAlign w:val="center"/>
          </w:tcPr>
          <w:p w14:paraId="6605B714" w14:textId="0FEE3F20"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358/2,198</w:t>
            </w:r>
          </w:p>
        </w:tc>
        <w:tc>
          <w:tcPr>
            <w:tcW w:w="0" w:type="auto"/>
            <w:noWrap/>
            <w:vAlign w:val="center"/>
          </w:tcPr>
          <w:p w14:paraId="044D6F9B" w14:textId="6CD36A72"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263/2,002</w:t>
            </w:r>
          </w:p>
        </w:tc>
        <w:tc>
          <w:tcPr>
            <w:tcW w:w="0" w:type="auto"/>
            <w:noWrap/>
            <w:vAlign w:val="center"/>
          </w:tcPr>
          <w:p w14:paraId="29BF5205" w14:textId="0EC605CA" w:rsidR="008D401B" w:rsidRPr="004B723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0" w:type="auto"/>
            <w:noWrap/>
            <w:vAlign w:val="center"/>
          </w:tcPr>
          <w:p w14:paraId="2BBA52F3" w14:textId="5DD8CF8D" w:rsidR="008D401B" w:rsidRPr="004B723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0" w:type="auto"/>
            <w:noWrap/>
            <w:vAlign w:val="center"/>
          </w:tcPr>
          <w:p w14:paraId="260CF28B" w14:textId="4BE97C09"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357/2,197</w:t>
            </w:r>
          </w:p>
        </w:tc>
        <w:tc>
          <w:tcPr>
            <w:tcW w:w="0" w:type="auto"/>
            <w:noWrap/>
            <w:vAlign w:val="center"/>
          </w:tcPr>
          <w:p w14:paraId="59C19629" w14:textId="1E5EE27C"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262/2,001</w:t>
            </w:r>
          </w:p>
        </w:tc>
        <w:tc>
          <w:tcPr>
            <w:tcW w:w="0" w:type="auto"/>
            <w:noWrap/>
            <w:vAlign w:val="center"/>
          </w:tcPr>
          <w:p w14:paraId="72AA90A9" w14:textId="619F44C3" w:rsidR="008D401B" w:rsidRPr="004B723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0" w:type="auto"/>
            <w:noWrap/>
            <w:vAlign w:val="center"/>
          </w:tcPr>
          <w:p w14:paraId="147CA792" w14:textId="361DE64D" w:rsidR="008D401B" w:rsidRPr="004B723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r>
      <w:tr w:rsidR="00742124" w:rsidRPr="004B723C" w14:paraId="2218FA11" w14:textId="77777777" w:rsidTr="000A4648">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5133E135" w14:textId="77777777" w:rsidR="008D401B" w:rsidRPr="004B723C" w:rsidRDefault="008D401B" w:rsidP="007F3A2D">
            <w:pPr>
              <w:spacing w:line="360" w:lineRule="auto"/>
              <w:jc w:val="center"/>
              <w:rPr>
                <w:rFonts w:eastAsia="Times New Roman" w:cs="Times New Roman"/>
                <w:color w:val="000000"/>
                <w:sz w:val="18"/>
                <w:szCs w:val="18"/>
                <w:lang w:eastAsia="en-GB"/>
              </w:rPr>
            </w:pPr>
          </w:p>
        </w:tc>
        <w:tc>
          <w:tcPr>
            <w:tcW w:w="0" w:type="auto"/>
            <w:noWrap/>
            <w:vAlign w:val="center"/>
            <w:hideMark/>
          </w:tcPr>
          <w:p w14:paraId="4E539056" w14:textId="77777777"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Positive</w:t>
            </w:r>
          </w:p>
        </w:tc>
        <w:tc>
          <w:tcPr>
            <w:tcW w:w="0" w:type="auto"/>
            <w:noWrap/>
            <w:vAlign w:val="center"/>
          </w:tcPr>
          <w:p w14:paraId="76D50429" w14:textId="0B1305B7"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w:t>
            </w:r>
          </w:p>
        </w:tc>
        <w:tc>
          <w:tcPr>
            <w:tcW w:w="0" w:type="auto"/>
            <w:noWrap/>
            <w:vAlign w:val="center"/>
          </w:tcPr>
          <w:p w14:paraId="650D9FB0" w14:textId="07D54C91"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95/196</w:t>
            </w:r>
          </w:p>
        </w:tc>
        <w:tc>
          <w:tcPr>
            <w:tcW w:w="0" w:type="auto"/>
            <w:noWrap/>
            <w:vAlign w:val="center"/>
          </w:tcPr>
          <w:p w14:paraId="56B41A72" w14:textId="38C88F5A"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 xml:space="preserve">5.07 </w:t>
            </w:r>
            <w:r w:rsidR="00795329" w:rsidRPr="004B723C">
              <w:rPr>
                <w:rFonts w:cs="Times New Roman"/>
                <w:color w:val="000000"/>
                <w:sz w:val="18"/>
                <w:szCs w:val="18"/>
              </w:rPr>
              <w:t>(</w:t>
            </w:r>
            <w:r w:rsidRPr="004B723C">
              <w:rPr>
                <w:rFonts w:cs="Times New Roman"/>
                <w:color w:val="000000"/>
                <w:sz w:val="18"/>
                <w:szCs w:val="18"/>
              </w:rPr>
              <w:t>4.00–6.42</w:t>
            </w:r>
            <w:r w:rsidR="00795329" w:rsidRPr="004B723C">
              <w:rPr>
                <w:rFonts w:cs="Times New Roman"/>
                <w:color w:val="000000"/>
                <w:sz w:val="18"/>
                <w:szCs w:val="18"/>
              </w:rPr>
              <w:t>)</w:t>
            </w:r>
          </w:p>
        </w:tc>
        <w:tc>
          <w:tcPr>
            <w:tcW w:w="0" w:type="auto"/>
            <w:noWrap/>
            <w:vAlign w:val="center"/>
          </w:tcPr>
          <w:p w14:paraId="56677CC0" w14:textId="01304292" w:rsidR="008D401B" w:rsidRPr="004B723C" w:rsidRDefault="00D53FD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3.58 × 10</w:t>
            </w:r>
            <w:r w:rsidRPr="004B723C">
              <w:rPr>
                <w:rFonts w:cs="Times New Roman"/>
                <w:color w:val="000000"/>
                <w:sz w:val="18"/>
                <w:szCs w:val="18"/>
                <w:vertAlign w:val="superscript"/>
              </w:rPr>
              <w:t>-41</w:t>
            </w:r>
          </w:p>
        </w:tc>
        <w:tc>
          <w:tcPr>
            <w:tcW w:w="0" w:type="auto"/>
            <w:noWrap/>
            <w:vAlign w:val="center"/>
          </w:tcPr>
          <w:p w14:paraId="5B29BCD2" w14:textId="18F8C7CA"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w:t>
            </w:r>
          </w:p>
        </w:tc>
        <w:tc>
          <w:tcPr>
            <w:tcW w:w="0" w:type="auto"/>
            <w:noWrap/>
            <w:vAlign w:val="center"/>
          </w:tcPr>
          <w:p w14:paraId="6B3DB3C8" w14:textId="02076B07"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95/196</w:t>
            </w:r>
          </w:p>
        </w:tc>
        <w:tc>
          <w:tcPr>
            <w:tcW w:w="0" w:type="auto"/>
            <w:noWrap/>
            <w:vAlign w:val="center"/>
          </w:tcPr>
          <w:p w14:paraId="3926E449" w14:textId="65AAF69C"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 xml:space="preserve">4.00 </w:t>
            </w:r>
            <w:r w:rsidR="00795329" w:rsidRPr="004B723C">
              <w:rPr>
                <w:rFonts w:cs="Times New Roman"/>
                <w:color w:val="000000"/>
                <w:sz w:val="18"/>
                <w:szCs w:val="18"/>
              </w:rPr>
              <w:t>(</w:t>
            </w:r>
            <w:r w:rsidRPr="004B723C">
              <w:rPr>
                <w:rFonts w:cs="Times New Roman"/>
                <w:color w:val="000000"/>
                <w:sz w:val="18"/>
                <w:szCs w:val="18"/>
              </w:rPr>
              <w:t>3.06–5.22</w:t>
            </w:r>
            <w:r w:rsidR="00795329" w:rsidRPr="004B723C">
              <w:rPr>
                <w:rFonts w:cs="Times New Roman"/>
                <w:color w:val="000000"/>
                <w:sz w:val="18"/>
                <w:szCs w:val="18"/>
              </w:rPr>
              <w:t>)</w:t>
            </w:r>
          </w:p>
        </w:tc>
        <w:tc>
          <w:tcPr>
            <w:tcW w:w="0" w:type="auto"/>
            <w:noWrap/>
            <w:vAlign w:val="center"/>
          </w:tcPr>
          <w:p w14:paraId="24109C43" w14:textId="6AC39BEB" w:rsidR="008D401B" w:rsidRPr="004B723C" w:rsidRDefault="00D53FD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2.92 × 10</w:t>
            </w:r>
            <w:r w:rsidRPr="004B723C">
              <w:rPr>
                <w:rFonts w:cs="Times New Roman"/>
                <w:color w:val="000000"/>
                <w:sz w:val="18"/>
                <w:szCs w:val="18"/>
                <w:vertAlign w:val="superscript"/>
              </w:rPr>
              <w:t>-24</w:t>
            </w:r>
          </w:p>
        </w:tc>
      </w:tr>
      <w:tr w:rsidR="00D53FD9" w:rsidRPr="004B723C" w14:paraId="1B230762" w14:textId="77777777" w:rsidTr="000A4648">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EBB3A2B" w14:textId="77777777" w:rsidR="008D401B" w:rsidRPr="004B723C" w:rsidRDefault="008D401B" w:rsidP="007F3A2D">
            <w:pPr>
              <w:spacing w:line="360" w:lineRule="auto"/>
              <w:jc w:val="center"/>
              <w:rPr>
                <w:rFonts w:eastAsia="Times New Roman" w:cs="Times New Roman"/>
                <w:color w:val="000000"/>
                <w:sz w:val="18"/>
                <w:szCs w:val="18"/>
                <w:lang w:eastAsia="en-GB"/>
              </w:rPr>
            </w:pPr>
            <w:r w:rsidRPr="004B723C">
              <w:rPr>
                <w:rFonts w:eastAsia="Times New Roman" w:cs="Times New Roman"/>
                <w:color w:val="000000"/>
                <w:sz w:val="18"/>
                <w:szCs w:val="18"/>
                <w:lang w:eastAsia="en-GB"/>
              </w:rPr>
              <w:t>Recipient age (per 10 years)</w:t>
            </w:r>
          </w:p>
        </w:tc>
        <w:tc>
          <w:tcPr>
            <w:tcW w:w="0" w:type="auto"/>
            <w:noWrap/>
            <w:vAlign w:val="center"/>
            <w:hideMark/>
          </w:tcPr>
          <w:p w14:paraId="7FB36DB7" w14:textId="77777777"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w:t>
            </w:r>
          </w:p>
        </w:tc>
        <w:tc>
          <w:tcPr>
            <w:tcW w:w="0" w:type="auto"/>
            <w:noWrap/>
            <w:vAlign w:val="center"/>
          </w:tcPr>
          <w:p w14:paraId="21850D7A" w14:textId="731FD6DC"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358/2,198</w:t>
            </w:r>
          </w:p>
        </w:tc>
        <w:tc>
          <w:tcPr>
            <w:tcW w:w="0" w:type="auto"/>
            <w:noWrap/>
            <w:vAlign w:val="center"/>
          </w:tcPr>
          <w:p w14:paraId="0862CEE0" w14:textId="687FD4B0"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w:t>
            </w:r>
          </w:p>
        </w:tc>
        <w:tc>
          <w:tcPr>
            <w:tcW w:w="0" w:type="auto"/>
            <w:noWrap/>
            <w:vAlign w:val="center"/>
          </w:tcPr>
          <w:p w14:paraId="51A71AC6" w14:textId="034244B2"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 xml:space="preserve">1.04 </w:t>
            </w:r>
            <w:r w:rsidR="00795329" w:rsidRPr="004B723C">
              <w:rPr>
                <w:rFonts w:cs="Times New Roman"/>
                <w:color w:val="000000"/>
                <w:sz w:val="18"/>
                <w:szCs w:val="18"/>
              </w:rPr>
              <w:t>(</w:t>
            </w:r>
            <w:r w:rsidRPr="004B723C">
              <w:rPr>
                <w:rFonts w:cs="Times New Roman"/>
                <w:color w:val="000000"/>
                <w:sz w:val="18"/>
                <w:szCs w:val="18"/>
              </w:rPr>
              <w:t>0.96–1.13</w:t>
            </w:r>
            <w:r w:rsidR="00795329" w:rsidRPr="004B723C">
              <w:rPr>
                <w:rFonts w:cs="Times New Roman"/>
                <w:color w:val="000000"/>
                <w:sz w:val="18"/>
                <w:szCs w:val="18"/>
              </w:rPr>
              <w:t>)</w:t>
            </w:r>
          </w:p>
        </w:tc>
        <w:tc>
          <w:tcPr>
            <w:tcW w:w="0" w:type="auto"/>
            <w:noWrap/>
            <w:vAlign w:val="center"/>
          </w:tcPr>
          <w:p w14:paraId="12BB0F00" w14:textId="4243E4E8"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0.34</w:t>
            </w:r>
          </w:p>
        </w:tc>
        <w:tc>
          <w:tcPr>
            <w:tcW w:w="0" w:type="auto"/>
            <w:noWrap/>
            <w:vAlign w:val="center"/>
          </w:tcPr>
          <w:p w14:paraId="2D3B2A26" w14:textId="0762611A"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357/2,197</w:t>
            </w:r>
          </w:p>
        </w:tc>
        <w:tc>
          <w:tcPr>
            <w:tcW w:w="0" w:type="auto"/>
            <w:noWrap/>
            <w:vAlign w:val="center"/>
          </w:tcPr>
          <w:p w14:paraId="51CCC1A8" w14:textId="05A416AF"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w:t>
            </w:r>
          </w:p>
        </w:tc>
        <w:tc>
          <w:tcPr>
            <w:tcW w:w="0" w:type="auto"/>
            <w:noWrap/>
            <w:vAlign w:val="center"/>
          </w:tcPr>
          <w:p w14:paraId="372E194E" w14:textId="057FD5EA"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 xml:space="preserve">0.96 </w:t>
            </w:r>
            <w:r w:rsidR="00795329" w:rsidRPr="004B723C">
              <w:rPr>
                <w:rFonts w:cs="Times New Roman"/>
                <w:color w:val="000000"/>
                <w:sz w:val="18"/>
                <w:szCs w:val="18"/>
              </w:rPr>
              <w:t>(</w:t>
            </w:r>
            <w:r w:rsidRPr="004B723C">
              <w:rPr>
                <w:rFonts w:cs="Times New Roman"/>
                <w:color w:val="000000"/>
                <w:sz w:val="18"/>
                <w:szCs w:val="18"/>
              </w:rPr>
              <w:t>0.87–1.05</w:t>
            </w:r>
            <w:r w:rsidR="00795329" w:rsidRPr="004B723C">
              <w:rPr>
                <w:rFonts w:cs="Times New Roman"/>
                <w:color w:val="000000"/>
                <w:sz w:val="18"/>
                <w:szCs w:val="18"/>
              </w:rPr>
              <w:t>)</w:t>
            </w:r>
          </w:p>
        </w:tc>
        <w:tc>
          <w:tcPr>
            <w:tcW w:w="0" w:type="auto"/>
            <w:noWrap/>
            <w:vAlign w:val="center"/>
          </w:tcPr>
          <w:p w14:paraId="7E8DA5EA" w14:textId="3D822BBA"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0.36</w:t>
            </w:r>
          </w:p>
        </w:tc>
      </w:tr>
      <w:tr w:rsidR="00D53FD9" w:rsidRPr="004B723C" w14:paraId="7716A0C8" w14:textId="77777777" w:rsidTr="000A4648">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9DEFA5E" w14:textId="77777777" w:rsidR="008D401B" w:rsidRPr="004B723C" w:rsidRDefault="008D401B" w:rsidP="007F3A2D">
            <w:pPr>
              <w:spacing w:line="360" w:lineRule="auto"/>
              <w:jc w:val="center"/>
              <w:rPr>
                <w:rFonts w:eastAsia="Times New Roman" w:cs="Times New Roman"/>
                <w:color w:val="000000"/>
                <w:sz w:val="18"/>
                <w:szCs w:val="18"/>
                <w:lang w:eastAsia="en-GB"/>
              </w:rPr>
            </w:pPr>
            <w:r w:rsidRPr="004B723C">
              <w:rPr>
                <w:rFonts w:eastAsia="Times New Roman" w:cs="Times New Roman"/>
                <w:color w:val="000000"/>
                <w:sz w:val="18"/>
                <w:szCs w:val="18"/>
                <w:lang w:eastAsia="en-GB"/>
              </w:rPr>
              <w:t>Recipient sex</w:t>
            </w:r>
          </w:p>
        </w:tc>
        <w:tc>
          <w:tcPr>
            <w:tcW w:w="0" w:type="auto"/>
            <w:noWrap/>
            <w:vAlign w:val="center"/>
            <w:hideMark/>
          </w:tcPr>
          <w:p w14:paraId="6A37B1BA" w14:textId="77777777"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Male</w:t>
            </w:r>
          </w:p>
        </w:tc>
        <w:tc>
          <w:tcPr>
            <w:tcW w:w="0" w:type="auto"/>
            <w:noWrap/>
            <w:vAlign w:val="center"/>
          </w:tcPr>
          <w:p w14:paraId="75AA14A5" w14:textId="2782BD18"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358/2,198</w:t>
            </w:r>
          </w:p>
        </w:tc>
        <w:tc>
          <w:tcPr>
            <w:tcW w:w="0" w:type="auto"/>
            <w:noWrap/>
            <w:vAlign w:val="center"/>
          </w:tcPr>
          <w:p w14:paraId="18E6E33F" w14:textId="671FFAA8"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185/1,385</w:t>
            </w:r>
          </w:p>
        </w:tc>
        <w:tc>
          <w:tcPr>
            <w:tcW w:w="0" w:type="auto"/>
            <w:noWrap/>
            <w:vAlign w:val="center"/>
          </w:tcPr>
          <w:p w14:paraId="6CA8B18A" w14:textId="143E2B1B" w:rsidR="008D401B" w:rsidRPr="004B723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0" w:type="auto"/>
            <w:noWrap/>
            <w:vAlign w:val="center"/>
          </w:tcPr>
          <w:p w14:paraId="1EAFEA2E" w14:textId="30086E05" w:rsidR="008D401B" w:rsidRPr="004B723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0" w:type="auto"/>
            <w:noWrap/>
            <w:vAlign w:val="center"/>
          </w:tcPr>
          <w:p w14:paraId="5DB7A1AE" w14:textId="6433CE0D"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357/2,197</w:t>
            </w:r>
          </w:p>
        </w:tc>
        <w:tc>
          <w:tcPr>
            <w:tcW w:w="0" w:type="auto"/>
            <w:noWrap/>
            <w:vAlign w:val="center"/>
          </w:tcPr>
          <w:p w14:paraId="68C2682D" w14:textId="6515CD34"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184/1,384</w:t>
            </w:r>
          </w:p>
        </w:tc>
        <w:tc>
          <w:tcPr>
            <w:tcW w:w="0" w:type="auto"/>
            <w:noWrap/>
            <w:vAlign w:val="center"/>
          </w:tcPr>
          <w:p w14:paraId="052369A2" w14:textId="4E718D08" w:rsidR="008D401B" w:rsidRPr="004B723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0" w:type="auto"/>
            <w:noWrap/>
            <w:vAlign w:val="center"/>
          </w:tcPr>
          <w:p w14:paraId="3A9812D1" w14:textId="753C563A" w:rsidR="008D401B" w:rsidRPr="004B723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r>
      <w:tr w:rsidR="00742124" w:rsidRPr="004B723C" w14:paraId="0DD2E1A4" w14:textId="77777777" w:rsidTr="000A4648">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3A231616" w14:textId="77777777" w:rsidR="008D401B" w:rsidRPr="004B723C" w:rsidRDefault="008D401B" w:rsidP="007F3A2D">
            <w:pPr>
              <w:spacing w:line="360" w:lineRule="auto"/>
              <w:jc w:val="center"/>
              <w:rPr>
                <w:rFonts w:eastAsia="Times New Roman" w:cs="Times New Roman"/>
                <w:color w:val="000000"/>
                <w:sz w:val="18"/>
                <w:szCs w:val="18"/>
                <w:lang w:eastAsia="en-GB"/>
              </w:rPr>
            </w:pPr>
          </w:p>
        </w:tc>
        <w:tc>
          <w:tcPr>
            <w:tcW w:w="0" w:type="auto"/>
            <w:noWrap/>
            <w:vAlign w:val="center"/>
            <w:hideMark/>
          </w:tcPr>
          <w:p w14:paraId="6F132687" w14:textId="77777777"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Female</w:t>
            </w:r>
          </w:p>
        </w:tc>
        <w:tc>
          <w:tcPr>
            <w:tcW w:w="0" w:type="auto"/>
            <w:noWrap/>
            <w:vAlign w:val="center"/>
          </w:tcPr>
          <w:p w14:paraId="4CB9EF65" w14:textId="106769AA"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w:t>
            </w:r>
          </w:p>
        </w:tc>
        <w:tc>
          <w:tcPr>
            <w:tcW w:w="0" w:type="auto"/>
            <w:noWrap/>
            <w:vAlign w:val="center"/>
          </w:tcPr>
          <w:p w14:paraId="1421D454" w14:textId="37B7C75D"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173/813</w:t>
            </w:r>
          </w:p>
        </w:tc>
        <w:tc>
          <w:tcPr>
            <w:tcW w:w="0" w:type="auto"/>
            <w:noWrap/>
            <w:vAlign w:val="center"/>
          </w:tcPr>
          <w:p w14:paraId="70DB5DCC" w14:textId="6AA952EF"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 xml:space="preserve">1.62 </w:t>
            </w:r>
            <w:r w:rsidR="00795329" w:rsidRPr="004B723C">
              <w:rPr>
                <w:rFonts w:cs="Times New Roman"/>
                <w:color w:val="000000"/>
                <w:sz w:val="18"/>
                <w:szCs w:val="18"/>
              </w:rPr>
              <w:t>(</w:t>
            </w:r>
            <w:r w:rsidRPr="004B723C">
              <w:rPr>
                <w:rFonts w:cs="Times New Roman"/>
                <w:color w:val="000000"/>
                <w:sz w:val="18"/>
                <w:szCs w:val="18"/>
              </w:rPr>
              <w:t>1.32–2.00</w:t>
            </w:r>
            <w:r w:rsidR="00795329" w:rsidRPr="004B723C">
              <w:rPr>
                <w:rFonts w:cs="Times New Roman"/>
                <w:color w:val="000000"/>
                <w:sz w:val="18"/>
                <w:szCs w:val="18"/>
              </w:rPr>
              <w:t>)</w:t>
            </w:r>
          </w:p>
        </w:tc>
        <w:tc>
          <w:tcPr>
            <w:tcW w:w="0" w:type="auto"/>
            <w:noWrap/>
            <w:vAlign w:val="center"/>
          </w:tcPr>
          <w:p w14:paraId="2AAA5FA9" w14:textId="7CDF7CAD" w:rsidR="008D401B" w:rsidRPr="004B723C" w:rsidRDefault="00D53FD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4.90 × 10</w:t>
            </w:r>
            <w:r w:rsidRPr="004B723C">
              <w:rPr>
                <w:rFonts w:cs="Times New Roman"/>
                <w:color w:val="000000"/>
                <w:sz w:val="18"/>
                <w:szCs w:val="18"/>
                <w:vertAlign w:val="superscript"/>
              </w:rPr>
              <w:t>-6</w:t>
            </w:r>
          </w:p>
        </w:tc>
        <w:tc>
          <w:tcPr>
            <w:tcW w:w="0" w:type="auto"/>
            <w:noWrap/>
            <w:vAlign w:val="center"/>
          </w:tcPr>
          <w:p w14:paraId="6524964E" w14:textId="7A926131"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w:t>
            </w:r>
          </w:p>
        </w:tc>
        <w:tc>
          <w:tcPr>
            <w:tcW w:w="0" w:type="auto"/>
            <w:noWrap/>
            <w:vAlign w:val="center"/>
          </w:tcPr>
          <w:p w14:paraId="47A72C37" w14:textId="7AE4E230"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173/813</w:t>
            </w:r>
          </w:p>
        </w:tc>
        <w:tc>
          <w:tcPr>
            <w:tcW w:w="0" w:type="auto"/>
            <w:noWrap/>
            <w:vAlign w:val="center"/>
          </w:tcPr>
          <w:p w14:paraId="735819D0" w14:textId="4EACEABA"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 xml:space="preserve">1.33 </w:t>
            </w:r>
            <w:r w:rsidR="00795329" w:rsidRPr="004B723C">
              <w:rPr>
                <w:rFonts w:cs="Times New Roman"/>
                <w:color w:val="000000"/>
                <w:sz w:val="18"/>
                <w:szCs w:val="18"/>
              </w:rPr>
              <w:t>(</w:t>
            </w:r>
            <w:r w:rsidRPr="004B723C">
              <w:rPr>
                <w:rFonts w:cs="Times New Roman"/>
                <w:color w:val="000000"/>
                <w:sz w:val="18"/>
                <w:szCs w:val="18"/>
              </w:rPr>
              <w:t>1.07–1.65</w:t>
            </w:r>
            <w:r w:rsidR="00795329" w:rsidRPr="004B723C">
              <w:rPr>
                <w:rFonts w:cs="Times New Roman"/>
                <w:color w:val="000000"/>
                <w:sz w:val="18"/>
                <w:szCs w:val="18"/>
              </w:rPr>
              <w:t>)</w:t>
            </w:r>
          </w:p>
        </w:tc>
        <w:tc>
          <w:tcPr>
            <w:tcW w:w="0" w:type="auto"/>
            <w:noWrap/>
            <w:vAlign w:val="center"/>
          </w:tcPr>
          <w:p w14:paraId="15E3269E" w14:textId="0625B1C7"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0.0087</w:t>
            </w:r>
          </w:p>
        </w:tc>
      </w:tr>
      <w:tr w:rsidR="00D53FD9" w:rsidRPr="004B723C" w14:paraId="687F0685" w14:textId="77777777" w:rsidTr="000A4648">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C567EAB" w14:textId="77777777" w:rsidR="008D401B" w:rsidRPr="004B723C" w:rsidRDefault="008D401B" w:rsidP="007F3A2D">
            <w:pPr>
              <w:spacing w:line="360" w:lineRule="auto"/>
              <w:jc w:val="center"/>
              <w:rPr>
                <w:rFonts w:eastAsia="Times New Roman" w:cs="Times New Roman"/>
                <w:color w:val="000000"/>
                <w:sz w:val="18"/>
                <w:szCs w:val="18"/>
                <w:lang w:eastAsia="en-GB"/>
              </w:rPr>
            </w:pPr>
            <w:r w:rsidRPr="004B723C">
              <w:rPr>
                <w:rFonts w:eastAsia="Times New Roman" w:cs="Times New Roman"/>
                <w:color w:val="000000"/>
                <w:sz w:val="18"/>
                <w:szCs w:val="18"/>
                <w:lang w:eastAsia="en-GB"/>
              </w:rPr>
              <w:t>Repeat transplantation</w:t>
            </w:r>
          </w:p>
        </w:tc>
        <w:tc>
          <w:tcPr>
            <w:tcW w:w="0" w:type="auto"/>
            <w:noWrap/>
            <w:vAlign w:val="center"/>
            <w:hideMark/>
          </w:tcPr>
          <w:p w14:paraId="3D461C72" w14:textId="77777777"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No</w:t>
            </w:r>
          </w:p>
        </w:tc>
        <w:tc>
          <w:tcPr>
            <w:tcW w:w="0" w:type="auto"/>
            <w:noWrap/>
            <w:vAlign w:val="center"/>
          </w:tcPr>
          <w:p w14:paraId="45BE0F57" w14:textId="6D5FA3D4"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358/2,198</w:t>
            </w:r>
          </w:p>
        </w:tc>
        <w:tc>
          <w:tcPr>
            <w:tcW w:w="0" w:type="auto"/>
            <w:noWrap/>
            <w:vAlign w:val="center"/>
          </w:tcPr>
          <w:p w14:paraId="275F52DA" w14:textId="537BF4D7"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277/1,879</w:t>
            </w:r>
          </w:p>
        </w:tc>
        <w:tc>
          <w:tcPr>
            <w:tcW w:w="0" w:type="auto"/>
            <w:noWrap/>
            <w:vAlign w:val="center"/>
          </w:tcPr>
          <w:p w14:paraId="0EFA2B4C" w14:textId="5AB5B87C" w:rsidR="008D401B" w:rsidRPr="004B723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0" w:type="auto"/>
            <w:noWrap/>
            <w:vAlign w:val="center"/>
          </w:tcPr>
          <w:p w14:paraId="2E5BBBA2" w14:textId="087361DD" w:rsidR="008D401B" w:rsidRPr="004B723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0" w:type="auto"/>
            <w:noWrap/>
            <w:vAlign w:val="center"/>
          </w:tcPr>
          <w:p w14:paraId="1039F219" w14:textId="43A950A7"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357/2,197</w:t>
            </w:r>
          </w:p>
        </w:tc>
        <w:tc>
          <w:tcPr>
            <w:tcW w:w="0" w:type="auto"/>
            <w:noWrap/>
            <w:vAlign w:val="center"/>
          </w:tcPr>
          <w:p w14:paraId="1A095E0F" w14:textId="2616DFDC"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276/1,878</w:t>
            </w:r>
          </w:p>
        </w:tc>
        <w:tc>
          <w:tcPr>
            <w:tcW w:w="0" w:type="auto"/>
            <w:noWrap/>
            <w:vAlign w:val="center"/>
          </w:tcPr>
          <w:p w14:paraId="746A2908" w14:textId="4D7E1594" w:rsidR="008D401B" w:rsidRPr="004B723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0" w:type="auto"/>
            <w:noWrap/>
            <w:vAlign w:val="center"/>
          </w:tcPr>
          <w:p w14:paraId="27B511F7" w14:textId="790EB4BD" w:rsidR="008D401B" w:rsidRPr="004B723C" w:rsidRDefault="00D45F56"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r>
      <w:tr w:rsidR="00742124" w:rsidRPr="004B723C" w14:paraId="25FDA945" w14:textId="77777777" w:rsidTr="000A4648">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6C2A1BB1" w14:textId="77777777" w:rsidR="008D401B" w:rsidRPr="004B723C" w:rsidRDefault="008D401B" w:rsidP="007F3A2D">
            <w:pPr>
              <w:spacing w:line="360" w:lineRule="auto"/>
              <w:jc w:val="center"/>
              <w:rPr>
                <w:rFonts w:eastAsia="Times New Roman" w:cs="Times New Roman"/>
                <w:color w:val="000000"/>
                <w:sz w:val="18"/>
                <w:szCs w:val="18"/>
                <w:lang w:eastAsia="en-GB"/>
              </w:rPr>
            </w:pPr>
          </w:p>
        </w:tc>
        <w:tc>
          <w:tcPr>
            <w:tcW w:w="0" w:type="auto"/>
            <w:noWrap/>
            <w:vAlign w:val="center"/>
            <w:hideMark/>
          </w:tcPr>
          <w:p w14:paraId="26754D6A" w14:textId="77777777"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Yes</w:t>
            </w:r>
          </w:p>
        </w:tc>
        <w:tc>
          <w:tcPr>
            <w:tcW w:w="0" w:type="auto"/>
            <w:noWrap/>
            <w:vAlign w:val="center"/>
          </w:tcPr>
          <w:p w14:paraId="7D279593" w14:textId="778DFD20"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w:t>
            </w:r>
          </w:p>
        </w:tc>
        <w:tc>
          <w:tcPr>
            <w:tcW w:w="0" w:type="auto"/>
            <w:noWrap/>
            <w:vAlign w:val="center"/>
          </w:tcPr>
          <w:p w14:paraId="72A21FD6" w14:textId="47926AD1"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81/319</w:t>
            </w:r>
          </w:p>
        </w:tc>
        <w:tc>
          <w:tcPr>
            <w:tcW w:w="0" w:type="auto"/>
            <w:noWrap/>
            <w:vAlign w:val="center"/>
          </w:tcPr>
          <w:p w14:paraId="50AC4343" w14:textId="50055FDC"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 xml:space="preserve">1.93 </w:t>
            </w:r>
            <w:r w:rsidR="00795329" w:rsidRPr="004B723C">
              <w:rPr>
                <w:rFonts w:cs="Times New Roman"/>
                <w:color w:val="000000"/>
                <w:sz w:val="18"/>
                <w:szCs w:val="18"/>
              </w:rPr>
              <w:t>(</w:t>
            </w:r>
            <w:r w:rsidRPr="004B723C">
              <w:rPr>
                <w:rFonts w:cs="Times New Roman"/>
                <w:color w:val="000000"/>
                <w:sz w:val="18"/>
                <w:szCs w:val="18"/>
              </w:rPr>
              <w:t>1.51–2.48</w:t>
            </w:r>
            <w:r w:rsidR="00795329" w:rsidRPr="004B723C">
              <w:rPr>
                <w:rFonts w:cs="Times New Roman"/>
                <w:color w:val="000000"/>
                <w:sz w:val="18"/>
                <w:szCs w:val="18"/>
              </w:rPr>
              <w:t>)</w:t>
            </w:r>
          </w:p>
        </w:tc>
        <w:tc>
          <w:tcPr>
            <w:tcW w:w="0" w:type="auto"/>
            <w:noWrap/>
            <w:vAlign w:val="center"/>
          </w:tcPr>
          <w:p w14:paraId="7B9D382E" w14:textId="793B5F79" w:rsidR="008D401B" w:rsidRPr="004B723C" w:rsidRDefault="00D53FD9"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1.79 × 10</w:t>
            </w:r>
            <w:r w:rsidRPr="004B723C">
              <w:rPr>
                <w:rFonts w:cs="Times New Roman"/>
                <w:color w:val="000000"/>
                <w:sz w:val="18"/>
                <w:szCs w:val="18"/>
                <w:vertAlign w:val="superscript"/>
              </w:rPr>
              <w:t>-7</w:t>
            </w:r>
          </w:p>
        </w:tc>
        <w:tc>
          <w:tcPr>
            <w:tcW w:w="0" w:type="auto"/>
            <w:noWrap/>
            <w:vAlign w:val="center"/>
          </w:tcPr>
          <w:p w14:paraId="59812A8E" w14:textId="6136B72F"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w:t>
            </w:r>
          </w:p>
        </w:tc>
        <w:tc>
          <w:tcPr>
            <w:tcW w:w="0" w:type="auto"/>
            <w:noWrap/>
            <w:vAlign w:val="center"/>
          </w:tcPr>
          <w:p w14:paraId="4B4A6E84" w14:textId="516292E5"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81/319</w:t>
            </w:r>
          </w:p>
        </w:tc>
        <w:tc>
          <w:tcPr>
            <w:tcW w:w="0" w:type="auto"/>
            <w:noWrap/>
            <w:vAlign w:val="center"/>
          </w:tcPr>
          <w:p w14:paraId="017E8B22" w14:textId="78D0376A"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 xml:space="preserve">1.40 </w:t>
            </w:r>
            <w:r w:rsidR="00795329" w:rsidRPr="004B723C">
              <w:rPr>
                <w:rFonts w:cs="Times New Roman"/>
                <w:color w:val="000000"/>
                <w:sz w:val="18"/>
                <w:szCs w:val="18"/>
              </w:rPr>
              <w:t>(</w:t>
            </w:r>
            <w:r w:rsidRPr="004B723C">
              <w:rPr>
                <w:rFonts w:cs="Times New Roman"/>
                <w:color w:val="000000"/>
                <w:sz w:val="18"/>
                <w:szCs w:val="18"/>
              </w:rPr>
              <w:t>1.06–1.85</w:t>
            </w:r>
            <w:r w:rsidR="00795329" w:rsidRPr="004B723C">
              <w:rPr>
                <w:rFonts w:cs="Times New Roman"/>
                <w:color w:val="000000"/>
                <w:sz w:val="18"/>
                <w:szCs w:val="18"/>
              </w:rPr>
              <w:t>)</w:t>
            </w:r>
          </w:p>
        </w:tc>
        <w:tc>
          <w:tcPr>
            <w:tcW w:w="0" w:type="auto"/>
            <w:noWrap/>
            <w:vAlign w:val="center"/>
          </w:tcPr>
          <w:p w14:paraId="6EAC4E45" w14:textId="19938F52" w:rsidR="008D401B" w:rsidRPr="004B723C" w:rsidRDefault="008D401B" w:rsidP="007F3A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0.019</w:t>
            </w:r>
          </w:p>
        </w:tc>
      </w:tr>
    </w:tbl>
    <w:p w14:paraId="6672A5BD" w14:textId="249F2083" w:rsidR="00EB3DCD" w:rsidRPr="004B723C" w:rsidRDefault="00EB3DCD" w:rsidP="00EB3DCD">
      <w:pPr>
        <w:spacing w:before="240" w:line="360" w:lineRule="auto"/>
      </w:pPr>
      <w:r w:rsidRPr="004B723C">
        <w:lastRenderedPageBreak/>
        <w:t xml:space="preserve">Values are hazard ratios (HRs) with 95% confidence intervals (CIs) from univariable and multivariable time-dependent Cox proportional-hazards models. Total events and events per subgroup are presented as n/N, where n denotes the number of events and N the number of participants with non-missing data for the respective covariate. Multivariable models were adjusted for </w:t>
      </w:r>
      <w:r w:rsidR="00E378EF" w:rsidRPr="004B723C">
        <w:t xml:space="preserve">CMV serostatus, </w:t>
      </w:r>
      <w:r w:rsidRPr="004B723C">
        <w:t xml:space="preserve">recipient age and sex, donor age and type (living, donation after circulatory death, donation after brain death), repeat transplantation, calendar year of transplantation, HLA mismatch, HLA-DSA status at transplantation, cold </w:t>
      </w:r>
      <w:r w:rsidR="00E378EF" w:rsidRPr="004B723C">
        <w:t>ischemia</w:t>
      </w:r>
      <w:r w:rsidRPr="004B723C">
        <w:t xml:space="preserve"> time, and transplant </w:t>
      </w:r>
      <w:r w:rsidR="00E378EF" w:rsidRPr="004B723C">
        <w:t>center</w:t>
      </w:r>
      <w:r w:rsidRPr="004B723C">
        <w:t>.</w:t>
      </w:r>
    </w:p>
    <w:p w14:paraId="5650545E" w14:textId="6A1180DC" w:rsidR="00574F49" w:rsidRPr="004B723C" w:rsidRDefault="00EB3DCD" w:rsidP="007F3A2D">
      <w:pPr>
        <w:spacing w:before="240" w:line="360" w:lineRule="auto"/>
      </w:pPr>
      <w:r w:rsidRPr="004B723C">
        <w:t xml:space="preserve">Abbreviations: CMV, cytomegalovirus; D, donor; DSA, donor-specific antibody; HLA, human leukocyte antigen; R, recipient; </w:t>
      </w:r>
      <w:r w:rsidR="00D45F56" w:rsidRPr="004B723C">
        <w:t>Ref.</w:t>
      </w:r>
      <w:r w:rsidRPr="004B723C">
        <w:t>, reference.</w:t>
      </w:r>
    </w:p>
    <w:p w14:paraId="7158E5A6" w14:textId="77777777" w:rsidR="009B5C97" w:rsidRPr="004B723C" w:rsidRDefault="009B5C97" w:rsidP="007F3A2D">
      <w:pPr>
        <w:spacing w:before="240" w:line="360" w:lineRule="auto"/>
      </w:pPr>
    </w:p>
    <w:p w14:paraId="7AE542CD" w14:textId="77777777" w:rsidR="008F2DD5" w:rsidRPr="004B723C" w:rsidRDefault="008F2DD5" w:rsidP="007F3A2D">
      <w:pPr>
        <w:sectPr w:rsidR="008F2DD5" w:rsidRPr="004B723C" w:rsidSect="00380509">
          <w:pgSz w:w="16838" w:h="11906" w:orient="landscape"/>
          <w:pgMar w:top="1417" w:right="1417" w:bottom="1417" w:left="1417" w:header="708" w:footer="708" w:gutter="0"/>
          <w:cols w:space="708"/>
          <w:docGrid w:linePitch="360"/>
        </w:sectPr>
      </w:pPr>
    </w:p>
    <w:p w14:paraId="76B30138" w14:textId="1063AB48" w:rsidR="00D1228F" w:rsidRPr="004B723C" w:rsidRDefault="00D1228F" w:rsidP="00A16782">
      <w:pPr>
        <w:pStyle w:val="Heading2"/>
      </w:pPr>
      <w:r w:rsidRPr="004B723C">
        <w:lastRenderedPageBreak/>
        <w:t xml:space="preserve">Table </w:t>
      </w:r>
      <w:r w:rsidR="004E783B" w:rsidRPr="004B723C">
        <w:t>S1</w:t>
      </w:r>
      <w:r w:rsidR="00267FED" w:rsidRPr="004B723C">
        <w:t>5</w:t>
      </w:r>
      <w:r w:rsidRPr="004B723C">
        <w:t xml:space="preserve">: </w:t>
      </w:r>
      <w:r w:rsidR="001C10C8" w:rsidRPr="004B723C">
        <w:t xml:space="preserve">Time-dependent Cox proportional hazards models for post-transplant CMV </w:t>
      </w:r>
      <w:r w:rsidR="008C1700" w:rsidRPr="004B723C">
        <w:t>disease</w:t>
      </w:r>
      <w:r w:rsidR="004E783B" w:rsidRPr="004B723C">
        <w:t xml:space="preserve"> </w:t>
      </w:r>
      <w:r w:rsidR="001C10C8" w:rsidRPr="004B723C">
        <w:t>and first MVI</w:t>
      </w:r>
      <w:bookmarkEnd w:id="16"/>
    </w:p>
    <w:tbl>
      <w:tblPr>
        <w:tblStyle w:val="Nature"/>
        <w:tblW w:w="0" w:type="auto"/>
        <w:jc w:val="center"/>
        <w:tblLook w:val="04A0" w:firstRow="1" w:lastRow="0" w:firstColumn="1" w:lastColumn="0" w:noHBand="0" w:noVBand="1"/>
      </w:tblPr>
      <w:tblGrid>
        <w:gridCol w:w="3280"/>
        <w:gridCol w:w="866"/>
        <w:gridCol w:w="1041"/>
        <w:gridCol w:w="1372"/>
        <w:gridCol w:w="1416"/>
        <w:gridCol w:w="1063"/>
        <w:gridCol w:w="1041"/>
        <w:gridCol w:w="1372"/>
        <w:gridCol w:w="1416"/>
        <w:gridCol w:w="1063"/>
      </w:tblGrid>
      <w:tr w:rsidR="0031090B" w:rsidRPr="004B723C" w14:paraId="637E2450" w14:textId="77777777" w:rsidTr="00D33F55">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BA08891" w14:textId="2324EAB0" w:rsidR="00F937EF" w:rsidRPr="004B723C" w:rsidRDefault="005B1550" w:rsidP="0025243F">
            <w:pPr>
              <w:spacing w:line="360" w:lineRule="auto"/>
              <w:jc w:val="center"/>
              <w:rPr>
                <w:rFonts w:eastAsia="Times New Roman" w:cs="Times New Roman"/>
                <w:b/>
                <w:bCs/>
                <w:iCs w:val="0"/>
                <w:color w:val="000000"/>
                <w:sz w:val="18"/>
                <w:szCs w:val="18"/>
                <w:lang w:eastAsia="en-GB"/>
              </w:rPr>
            </w:pPr>
            <w:r>
              <w:rPr>
                <w:rFonts w:eastAsia="Times New Roman" w:cs="Times New Roman"/>
                <w:b/>
                <w:bCs/>
                <w:color w:val="000000"/>
                <w:sz w:val="18"/>
                <w:szCs w:val="18"/>
                <w:lang w:eastAsia="en-GB"/>
              </w:rPr>
              <w:t>Factors</w:t>
            </w:r>
          </w:p>
        </w:tc>
        <w:tc>
          <w:tcPr>
            <w:tcW w:w="0" w:type="auto"/>
            <w:noWrap/>
            <w:vAlign w:val="center"/>
            <w:hideMark/>
          </w:tcPr>
          <w:p w14:paraId="68A40A87" w14:textId="77777777" w:rsidR="00F937EF" w:rsidRPr="004B723C" w:rsidRDefault="00F937EF" w:rsidP="0025243F">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iCs w:val="0"/>
                <w:color w:val="000000"/>
                <w:sz w:val="18"/>
                <w:szCs w:val="18"/>
                <w:lang w:eastAsia="en-GB"/>
              </w:rPr>
            </w:pPr>
            <w:r w:rsidRPr="004B723C">
              <w:rPr>
                <w:rFonts w:eastAsia="Times New Roman" w:cs="Times New Roman"/>
                <w:b/>
                <w:bCs/>
                <w:color w:val="000000"/>
                <w:sz w:val="18"/>
                <w:szCs w:val="18"/>
                <w:lang w:eastAsia="en-GB"/>
              </w:rPr>
              <w:t>Level</w:t>
            </w:r>
          </w:p>
        </w:tc>
        <w:tc>
          <w:tcPr>
            <w:tcW w:w="0" w:type="auto"/>
            <w:noWrap/>
            <w:vAlign w:val="center"/>
            <w:hideMark/>
          </w:tcPr>
          <w:p w14:paraId="7834C471" w14:textId="77777777" w:rsidR="00F937EF" w:rsidRPr="004B723C" w:rsidRDefault="00F937EF" w:rsidP="0025243F">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iCs w:val="0"/>
                <w:color w:val="000000"/>
                <w:sz w:val="18"/>
                <w:szCs w:val="18"/>
                <w:lang w:eastAsia="en-GB"/>
              </w:rPr>
            </w:pPr>
            <w:r w:rsidRPr="004B723C">
              <w:rPr>
                <w:rFonts w:eastAsia="Times New Roman" w:cs="Times New Roman"/>
                <w:b/>
                <w:bCs/>
                <w:color w:val="000000"/>
                <w:sz w:val="18"/>
                <w:szCs w:val="18"/>
                <w:lang w:eastAsia="en-GB"/>
              </w:rPr>
              <w:t>Events/</w:t>
            </w:r>
            <w:r w:rsidRPr="004B723C">
              <w:rPr>
                <w:rFonts w:eastAsia="Times New Roman" w:cs="Times New Roman"/>
                <w:b/>
                <w:bCs/>
                <w:color w:val="000000"/>
                <w:sz w:val="18"/>
                <w:szCs w:val="18"/>
                <w:lang w:eastAsia="en-GB"/>
              </w:rPr>
              <w:br/>
              <w:t>N analyzed</w:t>
            </w:r>
          </w:p>
        </w:tc>
        <w:tc>
          <w:tcPr>
            <w:tcW w:w="0" w:type="auto"/>
            <w:noWrap/>
            <w:vAlign w:val="center"/>
            <w:hideMark/>
          </w:tcPr>
          <w:p w14:paraId="1B61165E" w14:textId="77777777" w:rsidR="00F937EF" w:rsidRPr="004B723C" w:rsidRDefault="00F937EF" w:rsidP="0025243F">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iCs w:val="0"/>
                <w:color w:val="000000"/>
                <w:sz w:val="18"/>
                <w:szCs w:val="18"/>
                <w:lang w:eastAsia="en-GB"/>
              </w:rPr>
            </w:pPr>
            <w:r w:rsidRPr="004B723C">
              <w:rPr>
                <w:rFonts w:eastAsia="Times New Roman" w:cs="Times New Roman"/>
                <w:b/>
                <w:bCs/>
                <w:color w:val="000000"/>
                <w:sz w:val="18"/>
                <w:szCs w:val="18"/>
                <w:lang w:eastAsia="en-GB"/>
              </w:rPr>
              <w:t>Events (group)/</w:t>
            </w:r>
            <w:r w:rsidRPr="004B723C">
              <w:rPr>
                <w:rFonts w:eastAsia="Times New Roman" w:cs="Times New Roman"/>
                <w:b/>
                <w:bCs/>
                <w:color w:val="000000"/>
                <w:sz w:val="18"/>
                <w:szCs w:val="18"/>
                <w:lang w:eastAsia="en-GB"/>
              </w:rPr>
              <w:br/>
              <w:t>N (group)</w:t>
            </w:r>
          </w:p>
        </w:tc>
        <w:tc>
          <w:tcPr>
            <w:tcW w:w="0" w:type="auto"/>
            <w:noWrap/>
            <w:vAlign w:val="center"/>
            <w:hideMark/>
          </w:tcPr>
          <w:p w14:paraId="76A3DC9A" w14:textId="77777777" w:rsidR="00F937EF" w:rsidRPr="004B723C" w:rsidRDefault="00F937EF" w:rsidP="0025243F">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iCs w:val="0"/>
                <w:color w:val="000000"/>
                <w:sz w:val="18"/>
                <w:szCs w:val="18"/>
                <w:lang w:eastAsia="en-GB"/>
              </w:rPr>
            </w:pPr>
            <w:r w:rsidRPr="004B723C">
              <w:rPr>
                <w:rFonts w:eastAsia="Times New Roman" w:cs="Times New Roman"/>
                <w:b/>
                <w:bCs/>
                <w:color w:val="000000"/>
                <w:sz w:val="18"/>
                <w:szCs w:val="18"/>
                <w:lang w:eastAsia="en-GB"/>
              </w:rPr>
              <w:t>HR</w:t>
            </w:r>
            <w:r w:rsidRPr="004B723C">
              <w:rPr>
                <w:rFonts w:eastAsia="Times New Roman" w:cs="Times New Roman"/>
                <w:b/>
                <w:bCs/>
                <w:color w:val="000000"/>
                <w:sz w:val="18"/>
                <w:szCs w:val="18"/>
                <w:lang w:eastAsia="en-GB"/>
              </w:rPr>
              <w:br/>
              <w:t>(95% CI)</w:t>
            </w:r>
          </w:p>
        </w:tc>
        <w:tc>
          <w:tcPr>
            <w:tcW w:w="0" w:type="auto"/>
            <w:noWrap/>
            <w:vAlign w:val="center"/>
            <w:hideMark/>
          </w:tcPr>
          <w:p w14:paraId="0752F297" w14:textId="36CC936D" w:rsidR="00F937EF" w:rsidRPr="004B723C" w:rsidRDefault="005B1550" w:rsidP="0025243F">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iCs w:val="0"/>
                <w:color w:val="000000"/>
                <w:sz w:val="18"/>
                <w:szCs w:val="18"/>
                <w:lang w:eastAsia="en-GB"/>
              </w:rPr>
            </w:pPr>
            <w:r>
              <w:rPr>
                <w:rFonts w:eastAsia="Times New Roman" w:cs="Times New Roman"/>
                <w:b/>
                <w:bCs/>
                <w:color w:val="000000"/>
                <w:sz w:val="18"/>
                <w:szCs w:val="18"/>
                <w:lang w:eastAsia="en-GB"/>
              </w:rPr>
              <w:t>P</w:t>
            </w:r>
            <w:r w:rsidR="00F937EF" w:rsidRPr="004B723C">
              <w:rPr>
                <w:rFonts w:eastAsia="Times New Roman" w:cs="Times New Roman"/>
                <w:b/>
                <w:bCs/>
                <w:color w:val="000000"/>
                <w:sz w:val="18"/>
                <w:szCs w:val="18"/>
                <w:lang w:eastAsia="en-GB"/>
              </w:rPr>
              <w:t xml:space="preserve"> value</w:t>
            </w:r>
          </w:p>
        </w:tc>
        <w:tc>
          <w:tcPr>
            <w:tcW w:w="0" w:type="auto"/>
            <w:noWrap/>
            <w:vAlign w:val="center"/>
            <w:hideMark/>
          </w:tcPr>
          <w:p w14:paraId="14313B0A" w14:textId="77777777" w:rsidR="00F937EF" w:rsidRPr="004B723C" w:rsidRDefault="00F937EF" w:rsidP="0025243F">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iCs w:val="0"/>
                <w:color w:val="000000"/>
                <w:sz w:val="18"/>
                <w:szCs w:val="18"/>
                <w:lang w:eastAsia="en-GB"/>
              </w:rPr>
            </w:pPr>
            <w:r w:rsidRPr="004B723C">
              <w:rPr>
                <w:rFonts w:eastAsia="Times New Roman" w:cs="Times New Roman"/>
                <w:b/>
                <w:bCs/>
                <w:color w:val="000000"/>
                <w:sz w:val="18"/>
                <w:szCs w:val="18"/>
                <w:lang w:eastAsia="en-GB"/>
              </w:rPr>
              <w:t>Events/</w:t>
            </w:r>
            <w:r w:rsidRPr="004B723C">
              <w:rPr>
                <w:rFonts w:eastAsia="Times New Roman" w:cs="Times New Roman"/>
                <w:b/>
                <w:bCs/>
                <w:color w:val="000000"/>
                <w:sz w:val="18"/>
                <w:szCs w:val="18"/>
                <w:lang w:eastAsia="en-GB"/>
              </w:rPr>
              <w:br/>
              <w:t>N analyzed</w:t>
            </w:r>
          </w:p>
        </w:tc>
        <w:tc>
          <w:tcPr>
            <w:tcW w:w="0" w:type="auto"/>
            <w:noWrap/>
            <w:vAlign w:val="center"/>
            <w:hideMark/>
          </w:tcPr>
          <w:p w14:paraId="3FB29A3E" w14:textId="77777777" w:rsidR="00F937EF" w:rsidRPr="004B723C" w:rsidRDefault="00F937EF" w:rsidP="0025243F">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iCs w:val="0"/>
                <w:sz w:val="18"/>
                <w:szCs w:val="18"/>
                <w:lang w:eastAsia="en-GB"/>
              </w:rPr>
            </w:pPr>
            <w:r w:rsidRPr="004B723C">
              <w:rPr>
                <w:rFonts w:eastAsia="Times New Roman" w:cs="Times New Roman"/>
                <w:b/>
                <w:bCs/>
                <w:color w:val="000000"/>
                <w:sz w:val="18"/>
                <w:szCs w:val="18"/>
                <w:lang w:eastAsia="en-GB"/>
              </w:rPr>
              <w:t>Events (group)/</w:t>
            </w:r>
            <w:r w:rsidRPr="004B723C">
              <w:rPr>
                <w:rFonts w:eastAsia="Times New Roman" w:cs="Times New Roman"/>
                <w:b/>
                <w:bCs/>
                <w:color w:val="000000"/>
                <w:sz w:val="18"/>
                <w:szCs w:val="18"/>
                <w:lang w:eastAsia="en-GB"/>
              </w:rPr>
              <w:br/>
              <w:t>N (group)</w:t>
            </w:r>
          </w:p>
        </w:tc>
        <w:tc>
          <w:tcPr>
            <w:tcW w:w="0" w:type="auto"/>
            <w:noWrap/>
            <w:vAlign w:val="center"/>
            <w:hideMark/>
          </w:tcPr>
          <w:p w14:paraId="41D40B6C" w14:textId="77777777" w:rsidR="00F937EF" w:rsidRPr="004B723C" w:rsidRDefault="00F937EF" w:rsidP="0025243F">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iCs w:val="0"/>
                <w:sz w:val="18"/>
                <w:szCs w:val="18"/>
                <w:lang w:eastAsia="en-GB"/>
              </w:rPr>
            </w:pPr>
            <w:r w:rsidRPr="004B723C">
              <w:rPr>
                <w:rFonts w:eastAsia="Times New Roman" w:cs="Times New Roman"/>
                <w:b/>
                <w:bCs/>
                <w:color w:val="000000"/>
                <w:sz w:val="18"/>
                <w:szCs w:val="18"/>
                <w:lang w:eastAsia="en-GB"/>
              </w:rPr>
              <w:t>Adjusted HR</w:t>
            </w:r>
            <w:r w:rsidRPr="004B723C">
              <w:rPr>
                <w:rFonts w:eastAsia="Times New Roman" w:cs="Times New Roman"/>
                <w:b/>
                <w:bCs/>
                <w:color w:val="000000"/>
                <w:sz w:val="18"/>
                <w:szCs w:val="18"/>
                <w:lang w:eastAsia="en-GB"/>
              </w:rPr>
              <w:br/>
              <w:t>(95% CI)</w:t>
            </w:r>
          </w:p>
        </w:tc>
        <w:tc>
          <w:tcPr>
            <w:tcW w:w="0" w:type="auto"/>
            <w:noWrap/>
            <w:vAlign w:val="center"/>
            <w:hideMark/>
          </w:tcPr>
          <w:p w14:paraId="7EC71256" w14:textId="05903B99" w:rsidR="00F937EF" w:rsidRPr="004B723C" w:rsidRDefault="005B1550" w:rsidP="0025243F">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iCs w:val="0"/>
                <w:sz w:val="18"/>
                <w:szCs w:val="18"/>
                <w:lang w:eastAsia="en-GB"/>
              </w:rPr>
            </w:pPr>
            <w:r>
              <w:rPr>
                <w:rFonts w:eastAsia="Times New Roman" w:cs="Times New Roman"/>
                <w:b/>
                <w:bCs/>
                <w:color w:val="000000"/>
                <w:sz w:val="18"/>
                <w:szCs w:val="18"/>
                <w:lang w:eastAsia="en-GB"/>
              </w:rPr>
              <w:t>P</w:t>
            </w:r>
            <w:r w:rsidR="00F937EF" w:rsidRPr="004B723C">
              <w:rPr>
                <w:rFonts w:eastAsia="Times New Roman" w:cs="Times New Roman"/>
                <w:b/>
                <w:bCs/>
                <w:color w:val="000000"/>
                <w:sz w:val="18"/>
                <w:szCs w:val="18"/>
                <w:lang w:eastAsia="en-GB"/>
              </w:rPr>
              <w:t xml:space="preserve"> value</w:t>
            </w:r>
          </w:p>
        </w:tc>
      </w:tr>
      <w:tr w:rsidR="00D33F55" w:rsidRPr="004B723C" w14:paraId="7E6CEEA1" w14:textId="77777777" w:rsidTr="00D33F55">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39EB95E3" w14:textId="77777777" w:rsidR="00F937EF" w:rsidRPr="004B723C" w:rsidRDefault="00F937EF" w:rsidP="0025243F">
            <w:pPr>
              <w:spacing w:line="360" w:lineRule="auto"/>
              <w:jc w:val="center"/>
              <w:rPr>
                <w:rFonts w:eastAsia="Times New Roman" w:cs="Times New Roman"/>
                <w:color w:val="000000"/>
                <w:sz w:val="18"/>
                <w:szCs w:val="18"/>
                <w:lang w:eastAsia="en-GB"/>
              </w:rPr>
            </w:pPr>
          </w:p>
        </w:tc>
        <w:tc>
          <w:tcPr>
            <w:tcW w:w="0" w:type="auto"/>
            <w:noWrap/>
            <w:vAlign w:val="center"/>
          </w:tcPr>
          <w:p w14:paraId="1DE207A0" w14:textId="77777777" w:rsidR="00F937EF" w:rsidRPr="004B723C" w:rsidRDefault="00F937EF"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0" w:type="auto"/>
            <w:gridSpan w:val="4"/>
            <w:noWrap/>
            <w:vAlign w:val="center"/>
          </w:tcPr>
          <w:p w14:paraId="034B36A8" w14:textId="77777777" w:rsidR="00F937EF" w:rsidRPr="004B723C" w:rsidRDefault="00F937EF"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eastAsia="en-GB"/>
              </w:rPr>
            </w:pPr>
            <w:r w:rsidRPr="004B723C">
              <w:rPr>
                <w:rFonts w:eastAsia="Times New Roman" w:cs="Times New Roman"/>
                <w:b/>
                <w:bCs/>
                <w:color w:val="000000"/>
                <w:sz w:val="18"/>
                <w:szCs w:val="18"/>
                <w:lang w:eastAsia="en-GB"/>
              </w:rPr>
              <w:t>UNIVARIABLE ANALYSIS</w:t>
            </w:r>
          </w:p>
        </w:tc>
        <w:tc>
          <w:tcPr>
            <w:tcW w:w="0" w:type="auto"/>
            <w:gridSpan w:val="4"/>
            <w:noWrap/>
            <w:vAlign w:val="center"/>
          </w:tcPr>
          <w:p w14:paraId="777C80FA" w14:textId="77777777" w:rsidR="00F937EF" w:rsidRPr="004B723C" w:rsidRDefault="00F937EF"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eastAsia="en-GB"/>
              </w:rPr>
            </w:pPr>
            <w:r w:rsidRPr="004B723C">
              <w:rPr>
                <w:rFonts w:eastAsia="Times New Roman" w:cs="Times New Roman"/>
                <w:b/>
                <w:bCs/>
                <w:color w:val="000000"/>
                <w:sz w:val="18"/>
                <w:szCs w:val="18"/>
                <w:lang w:eastAsia="en-GB"/>
              </w:rPr>
              <w:t>MULTIVARIABLE ANALYSIS</w:t>
            </w:r>
          </w:p>
        </w:tc>
      </w:tr>
      <w:tr w:rsidR="00D53FD9" w:rsidRPr="004B723C" w14:paraId="37CB8F0C" w14:textId="77777777" w:rsidTr="00D33F55">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40B9857" w14:textId="381DF25A" w:rsidR="00F937EF" w:rsidRPr="004B723C" w:rsidRDefault="00F937EF" w:rsidP="00F937EF">
            <w:pPr>
              <w:spacing w:line="360" w:lineRule="auto"/>
              <w:jc w:val="center"/>
              <w:rPr>
                <w:rFonts w:eastAsia="Times New Roman" w:cs="Times New Roman"/>
                <w:color w:val="000000"/>
                <w:sz w:val="18"/>
                <w:szCs w:val="18"/>
                <w:lang w:eastAsia="en-GB"/>
              </w:rPr>
            </w:pPr>
            <w:r w:rsidRPr="004B723C">
              <w:rPr>
                <w:rFonts w:eastAsia="Times New Roman" w:cs="Times New Roman"/>
                <w:color w:val="000000"/>
                <w:sz w:val="18"/>
                <w:szCs w:val="18"/>
                <w:lang w:eastAsia="en-GB"/>
              </w:rPr>
              <w:t>Post-transplant CMV disease</w:t>
            </w:r>
          </w:p>
        </w:tc>
        <w:tc>
          <w:tcPr>
            <w:tcW w:w="0" w:type="auto"/>
            <w:noWrap/>
            <w:vAlign w:val="center"/>
            <w:hideMark/>
          </w:tcPr>
          <w:p w14:paraId="3BE01334" w14:textId="77777777"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No</w:t>
            </w:r>
          </w:p>
        </w:tc>
        <w:tc>
          <w:tcPr>
            <w:tcW w:w="0" w:type="auto"/>
            <w:noWrap/>
            <w:vAlign w:val="center"/>
          </w:tcPr>
          <w:p w14:paraId="1E4D8450" w14:textId="5AAE9CA1"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358/2,198</w:t>
            </w:r>
          </w:p>
        </w:tc>
        <w:tc>
          <w:tcPr>
            <w:tcW w:w="0" w:type="auto"/>
            <w:noWrap/>
            <w:vAlign w:val="center"/>
          </w:tcPr>
          <w:p w14:paraId="1ED9C369" w14:textId="77BBC485"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332/2,011</w:t>
            </w:r>
          </w:p>
        </w:tc>
        <w:tc>
          <w:tcPr>
            <w:tcW w:w="0" w:type="auto"/>
            <w:noWrap/>
            <w:vAlign w:val="center"/>
          </w:tcPr>
          <w:p w14:paraId="232A5E86" w14:textId="377ADAD7" w:rsidR="00F937EF" w:rsidRPr="004B723C" w:rsidRDefault="00D45F56"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0" w:type="auto"/>
            <w:noWrap/>
            <w:vAlign w:val="center"/>
          </w:tcPr>
          <w:p w14:paraId="2B790A2E" w14:textId="126F38BF" w:rsidR="00F937EF" w:rsidRPr="004B723C" w:rsidRDefault="00D45F56"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0" w:type="auto"/>
            <w:noWrap/>
            <w:vAlign w:val="center"/>
          </w:tcPr>
          <w:p w14:paraId="5D8855D5" w14:textId="4FE0AE29"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357/2,197</w:t>
            </w:r>
          </w:p>
        </w:tc>
        <w:tc>
          <w:tcPr>
            <w:tcW w:w="0" w:type="auto"/>
            <w:noWrap/>
            <w:vAlign w:val="center"/>
          </w:tcPr>
          <w:p w14:paraId="5251C563" w14:textId="79862C43"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331/2,010</w:t>
            </w:r>
          </w:p>
        </w:tc>
        <w:tc>
          <w:tcPr>
            <w:tcW w:w="0" w:type="auto"/>
            <w:noWrap/>
            <w:vAlign w:val="center"/>
          </w:tcPr>
          <w:p w14:paraId="260E4E38" w14:textId="2C5202EA" w:rsidR="00F937EF" w:rsidRPr="004B723C" w:rsidRDefault="00D45F56"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0" w:type="auto"/>
            <w:noWrap/>
            <w:vAlign w:val="center"/>
          </w:tcPr>
          <w:p w14:paraId="0DDB795D" w14:textId="6CE45960" w:rsidR="00F937EF" w:rsidRPr="004B723C" w:rsidRDefault="00D45F56"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r>
      <w:tr w:rsidR="00D53FD9" w:rsidRPr="004B723C" w14:paraId="64D1CC02" w14:textId="77777777" w:rsidTr="00D33F55">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173B83EC" w14:textId="77777777" w:rsidR="00F937EF" w:rsidRPr="004B723C" w:rsidRDefault="00F937EF" w:rsidP="00F937EF">
            <w:pPr>
              <w:spacing w:line="360" w:lineRule="auto"/>
              <w:jc w:val="center"/>
              <w:rPr>
                <w:rFonts w:eastAsia="Times New Roman" w:cs="Times New Roman"/>
                <w:color w:val="000000"/>
                <w:sz w:val="18"/>
                <w:szCs w:val="18"/>
                <w:lang w:eastAsia="en-GB"/>
              </w:rPr>
            </w:pPr>
          </w:p>
        </w:tc>
        <w:tc>
          <w:tcPr>
            <w:tcW w:w="0" w:type="auto"/>
            <w:noWrap/>
            <w:vAlign w:val="center"/>
            <w:hideMark/>
          </w:tcPr>
          <w:p w14:paraId="6140AFED" w14:textId="77777777"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Yes</w:t>
            </w:r>
          </w:p>
        </w:tc>
        <w:tc>
          <w:tcPr>
            <w:tcW w:w="0" w:type="auto"/>
            <w:noWrap/>
            <w:vAlign w:val="center"/>
          </w:tcPr>
          <w:p w14:paraId="09AA03F9" w14:textId="0F459ED4"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0" w:type="auto"/>
            <w:noWrap/>
            <w:vAlign w:val="center"/>
          </w:tcPr>
          <w:p w14:paraId="5A671802" w14:textId="7CEAF4AB"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26/187</w:t>
            </w:r>
          </w:p>
        </w:tc>
        <w:tc>
          <w:tcPr>
            <w:tcW w:w="0" w:type="auto"/>
            <w:noWrap/>
            <w:vAlign w:val="center"/>
          </w:tcPr>
          <w:p w14:paraId="4010F98A" w14:textId="5CB9332A"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2.12 (1.40–3.23)</w:t>
            </w:r>
          </w:p>
        </w:tc>
        <w:tc>
          <w:tcPr>
            <w:tcW w:w="0" w:type="auto"/>
            <w:noWrap/>
            <w:vAlign w:val="center"/>
          </w:tcPr>
          <w:p w14:paraId="664203CA" w14:textId="5EB27FD2" w:rsidR="00F937EF" w:rsidRPr="004B723C" w:rsidRDefault="00D53FD9"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4.25 × 10</w:t>
            </w:r>
            <w:r w:rsidRPr="004B723C">
              <w:rPr>
                <w:rFonts w:cs="Times New Roman"/>
                <w:color w:val="000000"/>
                <w:sz w:val="18"/>
                <w:szCs w:val="18"/>
                <w:vertAlign w:val="superscript"/>
              </w:rPr>
              <w:t>-4</w:t>
            </w:r>
          </w:p>
        </w:tc>
        <w:tc>
          <w:tcPr>
            <w:tcW w:w="0" w:type="auto"/>
            <w:noWrap/>
            <w:vAlign w:val="center"/>
          </w:tcPr>
          <w:p w14:paraId="0D98425D" w14:textId="00DE7E93"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0" w:type="auto"/>
            <w:noWrap/>
            <w:vAlign w:val="center"/>
          </w:tcPr>
          <w:p w14:paraId="2536A56E" w14:textId="72AA745D"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26/187</w:t>
            </w:r>
          </w:p>
        </w:tc>
        <w:tc>
          <w:tcPr>
            <w:tcW w:w="0" w:type="auto"/>
            <w:noWrap/>
            <w:vAlign w:val="center"/>
          </w:tcPr>
          <w:p w14:paraId="3C7536EA" w14:textId="103EFF03"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2.03 (1.30–3.18)</w:t>
            </w:r>
          </w:p>
        </w:tc>
        <w:tc>
          <w:tcPr>
            <w:tcW w:w="0" w:type="auto"/>
            <w:noWrap/>
            <w:vAlign w:val="center"/>
          </w:tcPr>
          <w:p w14:paraId="77C8938F" w14:textId="5BC9D268"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0.0019</w:t>
            </w:r>
          </w:p>
        </w:tc>
      </w:tr>
      <w:tr w:rsidR="00D53FD9" w:rsidRPr="004B723C" w14:paraId="2F547F7E" w14:textId="77777777" w:rsidTr="00D33F55">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F8C5AB1" w14:textId="77777777" w:rsidR="00F937EF" w:rsidRPr="004B723C" w:rsidRDefault="00F937EF" w:rsidP="00F937EF">
            <w:pPr>
              <w:spacing w:line="360" w:lineRule="auto"/>
              <w:jc w:val="center"/>
              <w:rPr>
                <w:rFonts w:eastAsia="Times New Roman" w:cs="Times New Roman"/>
                <w:color w:val="000000"/>
                <w:sz w:val="18"/>
                <w:szCs w:val="18"/>
                <w:lang w:eastAsia="en-GB"/>
              </w:rPr>
            </w:pPr>
            <w:r w:rsidRPr="004B723C">
              <w:rPr>
                <w:rFonts w:eastAsia="Times New Roman" w:cs="Times New Roman"/>
                <w:color w:val="000000"/>
                <w:sz w:val="18"/>
                <w:szCs w:val="18"/>
                <w:lang w:eastAsia="en-GB"/>
              </w:rPr>
              <w:t>Donor–recipient CMV serostatus</w:t>
            </w:r>
          </w:p>
        </w:tc>
        <w:tc>
          <w:tcPr>
            <w:tcW w:w="0" w:type="auto"/>
            <w:noWrap/>
            <w:vAlign w:val="center"/>
            <w:hideMark/>
          </w:tcPr>
          <w:p w14:paraId="26801CB5" w14:textId="77777777"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D−/R−</w:t>
            </w:r>
          </w:p>
        </w:tc>
        <w:tc>
          <w:tcPr>
            <w:tcW w:w="0" w:type="auto"/>
            <w:noWrap/>
            <w:vAlign w:val="center"/>
          </w:tcPr>
          <w:p w14:paraId="1BDA0E84" w14:textId="6899C216"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358/2,198</w:t>
            </w:r>
          </w:p>
        </w:tc>
        <w:tc>
          <w:tcPr>
            <w:tcW w:w="0" w:type="auto"/>
            <w:noWrap/>
            <w:vAlign w:val="center"/>
          </w:tcPr>
          <w:p w14:paraId="176BB1BA" w14:textId="6DB7ABD1"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57/588</w:t>
            </w:r>
          </w:p>
        </w:tc>
        <w:tc>
          <w:tcPr>
            <w:tcW w:w="0" w:type="auto"/>
            <w:noWrap/>
            <w:vAlign w:val="center"/>
          </w:tcPr>
          <w:p w14:paraId="198DE2E5" w14:textId="60EE7AC4" w:rsidR="00F937EF" w:rsidRPr="004B723C" w:rsidRDefault="00D45F56"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0" w:type="auto"/>
            <w:noWrap/>
            <w:vAlign w:val="center"/>
          </w:tcPr>
          <w:p w14:paraId="7346391D" w14:textId="72BFED69" w:rsidR="00F937EF" w:rsidRPr="004B723C" w:rsidRDefault="00D45F56"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0" w:type="auto"/>
            <w:noWrap/>
            <w:vAlign w:val="center"/>
          </w:tcPr>
          <w:p w14:paraId="680A0A24" w14:textId="4803CAA2"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357/2,197</w:t>
            </w:r>
          </w:p>
        </w:tc>
        <w:tc>
          <w:tcPr>
            <w:tcW w:w="0" w:type="auto"/>
            <w:noWrap/>
            <w:vAlign w:val="center"/>
          </w:tcPr>
          <w:p w14:paraId="6433E39D" w14:textId="54817B7F"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57/588</w:t>
            </w:r>
          </w:p>
        </w:tc>
        <w:tc>
          <w:tcPr>
            <w:tcW w:w="0" w:type="auto"/>
            <w:noWrap/>
            <w:vAlign w:val="center"/>
          </w:tcPr>
          <w:p w14:paraId="35AFE463" w14:textId="69A82157" w:rsidR="00F937EF" w:rsidRPr="004B723C" w:rsidRDefault="00D45F56"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0" w:type="auto"/>
            <w:noWrap/>
            <w:vAlign w:val="center"/>
          </w:tcPr>
          <w:p w14:paraId="37D98873" w14:textId="03F474C8" w:rsidR="00F937EF" w:rsidRPr="004B723C" w:rsidRDefault="00D45F56"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r>
      <w:tr w:rsidR="00D53FD9" w:rsidRPr="004B723C" w14:paraId="7CB8B30A" w14:textId="77777777" w:rsidTr="00D33F55">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57ABC4D6" w14:textId="77777777" w:rsidR="00F937EF" w:rsidRPr="004B723C" w:rsidRDefault="00F937EF" w:rsidP="00F937EF">
            <w:pPr>
              <w:spacing w:line="360" w:lineRule="auto"/>
              <w:jc w:val="center"/>
              <w:rPr>
                <w:rFonts w:eastAsia="Times New Roman" w:cs="Times New Roman"/>
                <w:color w:val="000000"/>
                <w:sz w:val="18"/>
                <w:szCs w:val="18"/>
                <w:lang w:eastAsia="en-GB"/>
              </w:rPr>
            </w:pPr>
          </w:p>
        </w:tc>
        <w:tc>
          <w:tcPr>
            <w:tcW w:w="0" w:type="auto"/>
            <w:noWrap/>
            <w:vAlign w:val="center"/>
            <w:hideMark/>
          </w:tcPr>
          <w:p w14:paraId="73AB2B31" w14:textId="77777777"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D+/R+</w:t>
            </w:r>
          </w:p>
        </w:tc>
        <w:tc>
          <w:tcPr>
            <w:tcW w:w="0" w:type="auto"/>
            <w:noWrap/>
            <w:vAlign w:val="center"/>
          </w:tcPr>
          <w:p w14:paraId="08A4F4C2" w14:textId="5430D7EC"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0" w:type="auto"/>
            <w:noWrap/>
            <w:vAlign w:val="center"/>
          </w:tcPr>
          <w:p w14:paraId="3B4E76FE" w14:textId="70D86C92"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109/600</w:t>
            </w:r>
          </w:p>
        </w:tc>
        <w:tc>
          <w:tcPr>
            <w:tcW w:w="0" w:type="auto"/>
            <w:noWrap/>
            <w:vAlign w:val="center"/>
          </w:tcPr>
          <w:p w14:paraId="4C37B0CF" w14:textId="39CA1633"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2.05 (1.49–2.83)</w:t>
            </w:r>
          </w:p>
        </w:tc>
        <w:tc>
          <w:tcPr>
            <w:tcW w:w="0" w:type="auto"/>
            <w:noWrap/>
            <w:vAlign w:val="center"/>
          </w:tcPr>
          <w:p w14:paraId="0F86DA6E" w14:textId="768646B3" w:rsidR="00F937EF" w:rsidRPr="004B723C" w:rsidRDefault="00D53FD9"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sz w:val="18"/>
                <w:szCs w:val="18"/>
              </w:rPr>
              <w:t>1.09 × 10</w:t>
            </w:r>
            <w:r w:rsidRPr="004B723C">
              <w:rPr>
                <w:rFonts w:cs="Times New Roman"/>
                <w:sz w:val="18"/>
                <w:szCs w:val="18"/>
                <w:vertAlign w:val="superscript"/>
              </w:rPr>
              <w:t>-5</w:t>
            </w:r>
          </w:p>
        </w:tc>
        <w:tc>
          <w:tcPr>
            <w:tcW w:w="0" w:type="auto"/>
            <w:noWrap/>
            <w:vAlign w:val="center"/>
          </w:tcPr>
          <w:p w14:paraId="437670A6" w14:textId="185334A5"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0" w:type="auto"/>
            <w:noWrap/>
            <w:vAlign w:val="center"/>
          </w:tcPr>
          <w:p w14:paraId="31CC5D1B" w14:textId="4B175BE8"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109/600</w:t>
            </w:r>
          </w:p>
        </w:tc>
        <w:tc>
          <w:tcPr>
            <w:tcW w:w="0" w:type="auto"/>
            <w:noWrap/>
            <w:vAlign w:val="center"/>
          </w:tcPr>
          <w:p w14:paraId="081CB59F" w14:textId="5A2DB570"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1.77 (1.28–2.46)</w:t>
            </w:r>
          </w:p>
        </w:tc>
        <w:tc>
          <w:tcPr>
            <w:tcW w:w="0" w:type="auto"/>
            <w:noWrap/>
            <w:vAlign w:val="center"/>
          </w:tcPr>
          <w:p w14:paraId="50703BF3" w14:textId="722A4713" w:rsidR="00F937EF" w:rsidRPr="004B723C" w:rsidRDefault="00D53FD9"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sz w:val="18"/>
                <w:szCs w:val="18"/>
              </w:rPr>
              <w:t>5.83 × 10</w:t>
            </w:r>
            <w:r w:rsidRPr="004B723C">
              <w:rPr>
                <w:rFonts w:cs="Times New Roman"/>
                <w:sz w:val="18"/>
                <w:szCs w:val="18"/>
                <w:vertAlign w:val="superscript"/>
              </w:rPr>
              <w:t>-4</w:t>
            </w:r>
          </w:p>
        </w:tc>
      </w:tr>
      <w:tr w:rsidR="00D53FD9" w:rsidRPr="004B723C" w14:paraId="7BCBDBF3" w14:textId="77777777" w:rsidTr="00D33F55">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54B977B3" w14:textId="77777777" w:rsidR="00F937EF" w:rsidRPr="004B723C" w:rsidRDefault="00F937EF" w:rsidP="00F937EF">
            <w:pPr>
              <w:spacing w:line="360" w:lineRule="auto"/>
              <w:jc w:val="center"/>
              <w:rPr>
                <w:rFonts w:eastAsia="Times New Roman" w:cs="Times New Roman"/>
                <w:color w:val="000000"/>
                <w:sz w:val="18"/>
                <w:szCs w:val="18"/>
                <w:lang w:eastAsia="en-GB"/>
              </w:rPr>
            </w:pPr>
          </w:p>
        </w:tc>
        <w:tc>
          <w:tcPr>
            <w:tcW w:w="0" w:type="auto"/>
            <w:noWrap/>
            <w:vAlign w:val="center"/>
            <w:hideMark/>
          </w:tcPr>
          <w:p w14:paraId="6A31EB9C" w14:textId="77777777"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D+/R−</w:t>
            </w:r>
          </w:p>
        </w:tc>
        <w:tc>
          <w:tcPr>
            <w:tcW w:w="0" w:type="auto"/>
            <w:noWrap/>
            <w:vAlign w:val="center"/>
          </w:tcPr>
          <w:p w14:paraId="1828BADB" w14:textId="5AF59BB6"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0" w:type="auto"/>
            <w:noWrap/>
            <w:vAlign w:val="center"/>
          </w:tcPr>
          <w:p w14:paraId="6D952EB6" w14:textId="1B63800B"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71/429</w:t>
            </w:r>
          </w:p>
        </w:tc>
        <w:tc>
          <w:tcPr>
            <w:tcW w:w="0" w:type="auto"/>
            <w:noWrap/>
            <w:vAlign w:val="center"/>
          </w:tcPr>
          <w:p w14:paraId="0F2DDD14" w14:textId="5333E130"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1.78 (1.26–2.53)</w:t>
            </w:r>
          </w:p>
        </w:tc>
        <w:tc>
          <w:tcPr>
            <w:tcW w:w="0" w:type="auto"/>
            <w:noWrap/>
            <w:vAlign w:val="center"/>
          </w:tcPr>
          <w:p w14:paraId="6D86FD8A" w14:textId="0852DB50"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sz w:val="18"/>
                <w:szCs w:val="18"/>
              </w:rPr>
              <w:t>0.0011</w:t>
            </w:r>
          </w:p>
        </w:tc>
        <w:tc>
          <w:tcPr>
            <w:tcW w:w="0" w:type="auto"/>
            <w:noWrap/>
            <w:vAlign w:val="center"/>
          </w:tcPr>
          <w:p w14:paraId="6EB97697" w14:textId="6DB43C9D"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0" w:type="auto"/>
            <w:noWrap/>
            <w:vAlign w:val="center"/>
          </w:tcPr>
          <w:p w14:paraId="5C076894" w14:textId="368647D9"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70/428</w:t>
            </w:r>
          </w:p>
        </w:tc>
        <w:tc>
          <w:tcPr>
            <w:tcW w:w="0" w:type="auto"/>
            <w:noWrap/>
            <w:vAlign w:val="center"/>
          </w:tcPr>
          <w:p w14:paraId="2343DAFF" w14:textId="587F3090"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1.54 (1.07–2.23)</w:t>
            </w:r>
          </w:p>
        </w:tc>
        <w:tc>
          <w:tcPr>
            <w:tcW w:w="0" w:type="auto"/>
            <w:noWrap/>
            <w:vAlign w:val="center"/>
          </w:tcPr>
          <w:p w14:paraId="7D352B52" w14:textId="2276F143"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sz w:val="18"/>
                <w:szCs w:val="18"/>
              </w:rPr>
              <w:t>0.02</w:t>
            </w:r>
          </w:p>
        </w:tc>
      </w:tr>
      <w:tr w:rsidR="00D53FD9" w:rsidRPr="004B723C" w14:paraId="28C0DA57" w14:textId="77777777" w:rsidTr="00D33F55">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56C20086" w14:textId="77777777" w:rsidR="00F937EF" w:rsidRPr="004B723C" w:rsidRDefault="00F937EF" w:rsidP="00F937EF">
            <w:pPr>
              <w:spacing w:line="360" w:lineRule="auto"/>
              <w:jc w:val="center"/>
              <w:rPr>
                <w:rFonts w:eastAsia="Times New Roman" w:cs="Times New Roman"/>
                <w:color w:val="000000"/>
                <w:sz w:val="18"/>
                <w:szCs w:val="18"/>
                <w:lang w:eastAsia="en-GB"/>
              </w:rPr>
            </w:pPr>
          </w:p>
        </w:tc>
        <w:tc>
          <w:tcPr>
            <w:tcW w:w="0" w:type="auto"/>
            <w:noWrap/>
            <w:vAlign w:val="center"/>
            <w:hideMark/>
          </w:tcPr>
          <w:p w14:paraId="6B9AE945" w14:textId="77777777"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D−/R+</w:t>
            </w:r>
          </w:p>
        </w:tc>
        <w:tc>
          <w:tcPr>
            <w:tcW w:w="0" w:type="auto"/>
            <w:noWrap/>
            <w:vAlign w:val="center"/>
          </w:tcPr>
          <w:p w14:paraId="30F3FF0B" w14:textId="48124EDD"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0" w:type="auto"/>
            <w:noWrap/>
            <w:vAlign w:val="center"/>
          </w:tcPr>
          <w:p w14:paraId="1B8C0FF5" w14:textId="01683E9E"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121/581</w:t>
            </w:r>
          </w:p>
        </w:tc>
        <w:tc>
          <w:tcPr>
            <w:tcW w:w="0" w:type="auto"/>
            <w:noWrap/>
            <w:vAlign w:val="center"/>
          </w:tcPr>
          <w:p w14:paraId="674CDE01" w14:textId="1736EE12"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2.30 (1.68–3.15)</w:t>
            </w:r>
          </w:p>
        </w:tc>
        <w:tc>
          <w:tcPr>
            <w:tcW w:w="0" w:type="auto"/>
            <w:noWrap/>
            <w:vAlign w:val="center"/>
          </w:tcPr>
          <w:p w14:paraId="0AEDA874" w14:textId="13EAF3C2" w:rsidR="00F937EF" w:rsidRPr="004B723C" w:rsidRDefault="00D53FD9"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sz w:val="18"/>
                <w:szCs w:val="18"/>
              </w:rPr>
              <w:t>2.16 × 10</w:t>
            </w:r>
            <w:r w:rsidRPr="004B723C">
              <w:rPr>
                <w:rFonts w:cs="Times New Roman"/>
                <w:sz w:val="18"/>
                <w:szCs w:val="18"/>
                <w:vertAlign w:val="superscript"/>
              </w:rPr>
              <w:t>-7</w:t>
            </w:r>
          </w:p>
        </w:tc>
        <w:tc>
          <w:tcPr>
            <w:tcW w:w="0" w:type="auto"/>
            <w:noWrap/>
            <w:vAlign w:val="center"/>
          </w:tcPr>
          <w:p w14:paraId="5A6426AE" w14:textId="37960D97"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0" w:type="auto"/>
            <w:noWrap/>
            <w:vAlign w:val="center"/>
          </w:tcPr>
          <w:p w14:paraId="4F2CD86C" w14:textId="12942D37"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121/581</w:t>
            </w:r>
          </w:p>
        </w:tc>
        <w:tc>
          <w:tcPr>
            <w:tcW w:w="0" w:type="auto"/>
            <w:noWrap/>
            <w:vAlign w:val="center"/>
          </w:tcPr>
          <w:p w14:paraId="067780B4" w14:textId="5997608F"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1.94 (1.41–2.67)</w:t>
            </w:r>
          </w:p>
        </w:tc>
        <w:tc>
          <w:tcPr>
            <w:tcW w:w="0" w:type="auto"/>
            <w:noWrap/>
            <w:vAlign w:val="center"/>
          </w:tcPr>
          <w:p w14:paraId="31912839" w14:textId="4905697C" w:rsidR="00F937EF" w:rsidRPr="004B723C" w:rsidRDefault="00D53FD9"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sz w:val="18"/>
                <w:szCs w:val="18"/>
              </w:rPr>
              <w:t>5.04 × 10</w:t>
            </w:r>
            <w:r w:rsidRPr="004B723C">
              <w:rPr>
                <w:rFonts w:cs="Times New Roman"/>
                <w:sz w:val="18"/>
                <w:szCs w:val="18"/>
                <w:vertAlign w:val="superscript"/>
              </w:rPr>
              <w:t>-5</w:t>
            </w:r>
          </w:p>
        </w:tc>
      </w:tr>
      <w:tr w:rsidR="00D53FD9" w:rsidRPr="004B723C" w14:paraId="4129B77D" w14:textId="77777777" w:rsidTr="00D33F55">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98507F6" w14:textId="77777777" w:rsidR="00F937EF" w:rsidRPr="004B723C" w:rsidRDefault="00F937EF" w:rsidP="00F937EF">
            <w:pPr>
              <w:spacing w:line="360" w:lineRule="auto"/>
              <w:jc w:val="center"/>
              <w:rPr>
                <w:rFonts w:eastAsia="Times New Roman" w:cs="Times New Roman"/>
                <w:color w:val="000000"/>
                <w:sz w:val="18"/>
                <w:szCs w:val="18"/>
                <w:lang w:eastAsia="en-GB"/>
              </w:rPr>
            </w:pPr>
            <w:r w:rsidRPr="004B723C">
              <w:rPr>
                <w:rFonts w:eastAsia="Times New Roman" w:cs="Times New Roman"/>
                <w:color w:val="000000"/>
                <w:sz w:val="18"/>
                <w:szCs w:val="18"/>
                <w:lang w:eastAsia="en-GB"/>
              </w:rPr>
              <w:t>Cold ischemia time (per 5 hours)</w:t>
            </w:r>
          </w:p>
        </w:tc>
        <w:tc>
          <w:tcPr>
            <w:tcW w:w="0" w:type="auto"/>
            <w:noWrap/>
            <w:vAlign w:val="center"/>
            <w:hideMark/>
          </w:tcPr>
          <w:p w14:paraId="4F8F1F5D" w14:textId="77777777"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w:t>
            </w:r>
          </w:p>
        </w:tc>
        <w:tc>
          <w:tcPr>
            <w:tcW w:w="0" w:type="auto"/>
            <w:noWrap/>
            <w:vAlign w:val="center"/>
          </w:tcPr>
          <w:p w14:paraId="40B31910" w14:textId="6FAC83B3"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357/2,197</w:t>
            </w:r>
          </w:p>
        </w:tc>
        <w:tc>
          <w:tcPr>
            <w:tcW w:w="0" w:type="auto"/>
            <w:noWrap/>
            <w:vAlign w:val="center"/>
          </w:tcPr>
          <w:p w14:paraId="31D55254" w14:textId="48455912"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w:t>
            </w:r>
          </w:p>
        </w:tc>
        <w:tc>
          <w:tcPr>
            <w:tcW w:w="0" w:type="auto"/>
            <w:noWrap/>
            <w:vAlign w:val="center"/>
          </w:tcPr>
          <w:p w14:paraId="5FC44059" w14:textId="2776E8DF"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1.11 (1.02–1.21)</w:t>
            </w:r>
          </w:p>
        </w:tc>
        <w:tc>
          <w:tcPr>
            <w:tcW w:w="0" w:type="auto"/>
            <w:noWrap/>
            <w:vAlign w:val="center"/>
          </w:tcPr>
          <w:p w14:paraId="06E57C63" w14:textId="17D08AFB"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0.014</w:t>
            </w:r>
          </w:p>
        </w:tc>
        <w:tc>
          <w:tcPr>
            <w:tcW w:w="0" w:type="auto"/>
            <w:noWrap/>
            <w:vAlign w:val="center"/>
          </w:tcPr>
          <w:p w14:paraId="2CE1A494" w14:textId="36707C1A"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357/2,197</w:t>
            </w:r>
          </w:p>
        </w:tc>
        <w:tc>
          <w:tcPr>
            <w:tcW w:w="0" w:type="auto"/>
            <w:noWrap/>
            <w:vAlign w:val="center"/>
          </w:tcPr>
          <w:p w14:paraId="67738799" w14:textId="1455BEC6"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w:t>
            </w:r>
          </w:p>
        </w:tc>
        <w:tc>
          <w:tcPr>
            <w:tcW w:w="0" w:type="auto"/>
            <w:noWrap/>
            <w:vAlign w:val="center"/>
          </w:tcPr>
          <w:p w14:paraId="5625DD82" w14:textId="388476CA"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1.12 (1.00–1.26)</w:t>
            </w:r>
          </w:p>
        </w:tc>
        <w:tc>
          <w:tcPr>
            <w:tcW w:w="0" w:type="auto"/>
            <w:noWrap/>
            <w:vAlign w:val="center"/>
          </w:tcPr>
          <w:p w14:paraId="05AFB7C5" w14:textId="4CCDFA73"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0.059</w:t>
            </w:r>
          </w:p>
        </w:tc>
      </w:tr>
      <w:tr w:rsidR="00D53FD9" w:rsidRPr="004B723C" w14:paraId="4170FC55" w14:textId="77777777" w:rsidTr="00D33F55">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87115B7" w14:textId="77777777" w:rsidR="00F937EF" w:rsidRPr="004B723C" w:rsidRDefault="00F937EF" w:rsidP="00F937EF">
            <w:pPr>
              <w:spacing w:line="360" w:lineRule="auto"/>
              <w:jc w:val="center"/>
              <w:rPr>
                <w:rFonts w:eastAsia="Times New Roman" w:cs="Times New Roman"/>
                <w:color w:val="000000"/>
                <w:sz w:val="18"/>
                <w:szCs w:val="18"/>
                <w:lang w:eastAsia="en-GB"/>
              </w:rPr>
            </w:pPr>
            <w:r w:rsidRPr="004B723C">
              <w:rPr>
                <w:rFonts w:eastAsia="Times New Roman" w:cs="Times New Roman"/>
                <w:color w:val="000000"/>
                <w:sz w:val="18"/>
                <w:szCs w:val="18"/>
                <w:lang w:eastAsia="en-GB"/>
              </w:rPr>
              <w:t>Calendar year of transplantation (per year)</w:t>
            </w:r>
          </w:p>
        </w:tc>
        <w:tc>
          <w:tcPr>
            <w:tcW w:w="0" w:type="auto"/>
            <w:noWrap/>
            <w:vAlign w:val="center"/>
            <w:hideMark/>
          </w:tcPr>
          <w:p w14:paraId="255B0F7C" w14:textId="77777777"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w:t>
            </w:r>
          </w:p>
        </w:tc>
        <w:tc>
          <w:tcPr>
            <w:tcW w:w="0" w:type="auto"/>
            <w:noWrap/>
            <w:vAlign w:val="center"/>
          </w:tcPr>
          <w:p w14:paraId="316DC138" w14:textId="150DEA2B"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358/2,198</w:t>
            </w:r>
          </w:p>
        </w:tc>
        <w:tc>
          <w:tcPr>
            <w:tcW w:w="0" w:type="auto"/>
            <w:noWrap/>
            <w:vAlign w:val="center"/>
          </w:tcPr>
          <w:p w14:paraId="5A9A4B85" w14:textId="51DD25AC"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w:t>
            </w:r>
          </w:p>
        </w:tc>
        <w:tc>
          <w:tcPr>
            <w:tcW w:w="0" w:type="auto"/>
            <w:noWrap/>
            <w:vAlign w:val="center"/>
          </w:tcPr>
          <w:p w14:paraId="6C5026C6" w14:textId="2BFB1E36"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0.96 (0.94–0.98)</w:t>
            </w:r>
          </w:p>
        </w:tc>
        <w:tc>
          <w:tcPr>
            <w:tcW w:w="0" w:type="auto"/>
            <w:noWrap/>
            <w:vAlign w:val="center"/>
          </w:tcPr>
          <w:p w14:paraId="59EC64A0" w14:textId="5CFB933C" w:rsidR="00F937EF" w:rsidRPr="004B723C" w:rsidRDefault="00D53FD9"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3.68 × 10</w:t>
            </w:r>
            <w:r w:rsidRPr="004B723C">
              <w:rPr>
                <w:rFonts w:cs="Times New Roman"/>
                <w:color w:val="000000"/>
                <w:sz w:val="18"/>
                <w:szCs w:val="18"/>
                <w:vertAlign w:val="superscript"/>
              </w:rPr>
              <w:t>-5</w:t>
            </w:r>
          </w:p>
        </w:tc>
        <w:tc>
          <w:tcPr>
            <w:tcW w:w="0" w:type="auto"/>
            <w:noWrap/>
            <w:vAlign w:val="center"/>
          </w:tcPr>
          <w:p w14:paraId="5CDD4123" w14:textId="3A4C4D19"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357/2,197</w:t>
            </w:r>
          </w:p>
        </w:tc>
        <w:tc>
          <w:tcPr>
            <w:tcW w:w="0" w:type="auto"/>
            <w:noWrap/>
            <w:vAlign w:val="center"/>
          </w:tcPr>
          <w:p w14:paraId="2F18D4F3" w14:textId="1C368BEE"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w:t>
            </w:r>
          </w:p>
        </w:tc>
        <w:tc>
          <w:tcPr>
            <w:tcW w:w="0" w:type="auto"/>
            <w:noWrap/>
            <w:vAlign w:val="center"/>
          </w:tcPr>
          <w:p w14:paraId="66AE4411" w14:textId="73A2E6C0"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0.94 (0.92–0.97)</w:t>
            </w:r>
          </w:p>
        </w:tc>
        <w:tc>
          <w:tcPr>
            <w:tcW w:w="0" w:type="auto"/>
            <w:noWrap/>
            <w:vAlign w:val="center"/>
          </w:tcPr>
          <w:p w14:paraId="46763F8E" w14:textId="52E96510" w:rsidR="00F937EF" w:rsidRPr="004B723C" w:rsidRDefault="00D53FD9"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4.45 × 10</w:t>
            </w:r>
            <w:r w:rsidRPr="004B723C">
              <w:rPr>
                <w:rFonts w:cs="Times New Roman"/>
                <w:color w:val="000000"/>
                <w:sz w:val="18"/>
                <w:szCs w:val="18"/>
                <w:vertAlign w:val="superscript"/>
              </w:rPr>
              <w:t>-6</w:t>
            </w:r>
          </w:p>
        </w:tc>
      </w:tr>
      <w:tr w:rsidR="00D53FD9" w:rsidRPr="004B723C" w14:paraId="1C2E6FD8" w14:textId="77777777" w:rsidTr="00D33F55">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68D293D" w14:textId="77777777" w:rsidR="00F937EF" w:rsidRPr="004B723C" w:rsidRDefault="00F937EF" w:rsidP="00F937EF">
            <w:pPr>
              <w:spacing w:line="360" w:lineRule="auto"/>
              <w:jc w:val="center"/>
              <w:rPr>
                <w:rFonts w:eastAsia="Times New Roman" w:cs="Times New Roman"/>
                <w:color w:val="000000"/>
                <w:sz w:val="18"/>
                <w:szCs w:val="18"/>
                <w:lang w:eastAsia="en-GB"/>
              </w:rPr>
            </w:pPr>
            <w:r w:rsidRPr="004B723C">
              <w:rPr>
                <w:rFonts w:eastAsia="Times New Roman" w:cs="Times New Roman"/>
                <w:color w:val="000000"/>
                <w:sz w:val="18"/>
                <w:szCs w:val="18"/>
                <w:lang w:eastAsia="en-GB"/>
              </w:rPr>
              <w:t>Center</w:t>
            </w:r>
          </w:p>
        </w:tc>
        <w:tc>
          <w:tcPr>
            <w:tcW w:w="0" w:type="auto"/>
            <w:noWrap/>
            <w:vAlign w:val="center"/>
            <w:hideMark/>
          </w:tcPr>
          <w:p w14:paraId="1073D344" w14:textId="77777777"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Basel</w:t>
            </w:r>
          </w:p>
        </w:tc>
        <w:tc>
          <w:tcPr>
            <w:tcW w:w="0" w:type="auto"/>
            <w:noWrap/>
            <w:vAlign w:val="center"/>
          </w:tcPr>
          <w:p w14:paraId="467CA3D5" w14:textId="5ED6F6B8"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358/2,198</w:t>
            </w:r>
          </w:p>
        </w:tc>
        <w:tc>
          <w:tcPr>
            <w:tcW w:w="0" w:type="auto"/>
            <w:noWrap/>
            <w:vAlign w:val="center"/>
          </w:tcPr>
          <w:p w14:paraId="36A5EAD6" w14:textId="77C3DDDD"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61/393</w:t>
            </w:r>
          </w:p>
        </w:tc>
        <w:tc>
          <w:tcPr>
            <w:tcW w:w="0" w:type="auto"/>
            <w:noWrap/>
            <w:vAlign w:val="center"/>
          </w:tcPr>
          <w:p w14:paraId="162EE006" w14:textId="552CC76F" w:rsidR="00F937EF" w:rsidRPr="004B723C" w:rsidRDefault="00D45F56"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0" w:type="auto"/>
            <w:noWrap/>
            <w:vAlign w:val="center"/>
          </w:tcPr>
          <w:p w14:paraId="1F54F636" w14:textId="407D62D0" w:rsidR="00F937EF" w:rsidRPr="004B723C" w:rsidRDefault="00D45F56"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0" w:type="auto"/>
            <w:noWrap/>
            <w:vAlign w:val="center"/>
          </w:tcPr>
          <w:p w14:paraId="197639A8" w14:textId="2544A579"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357/2,197</w:t>
            </w:r>
          </w:p>
        </w:tc>
        <w:tc>
          <w:tcPr>
            <w:tcW w:w="0" w:type="auto"/>
            <w:noWrap/>
            <w:vAlign w:val="center"/>
          </w:tcPr>
          <w:p w14:paraId="678E92CF" w14:textId="558CD99D"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61/393</w:t>
            </w:r>
          </w:p>
        </w:tc>
        <w:tc>
          <w:tcPr>
            <w:tcW w:w="0" w:type="auto"/>
            <w:noWrap/>
            <w:vAlign w:val="center"/>
          </w:tcPr>
          <w:p w14:paraId="63A2F28D" w14:textId="6E173109" w:rsidR="00F937EF" w:rsidRPr="004B723C" w:rsidRDefault="00D45F56"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0" w:type="auto"/>
            <w:noWrap/>
            <w:vAlign w:val="center"/>
          </w:tcPr>
          <w:p w14:paraId="7D4005E0" w14:textId="2A5056C9" w:rsidR="00F937EF" w:rsidRPr="004B723C" w:rsidRDefault="00D45F56"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r>
      <w:tr w:rsidR="00D53FD9" w:rsidRPr="004B723C" w14:paraId="557047E6" w14:textId="77777777" w:rsidTr="00D33F55">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3C85628C" w14:textId="77777777" w:rsidR="00F937EF" w:rsidRPr="004B723C" w:rsidRDefault="00F937EF" w:rsidP="00F937EF">
            <w:pPr>
              <w:spacing w:line="360" w:lineRule="auto"/>
              <w:jc w:val="center"/>
              <w:rPr>
                <w:rFonts w:eastAsia="Times New Roman" w:cs="Times New Roman"/>
                <w:color w:val="000000"/>
                <w:sz w:val="18"/>
                <w:szCs w:val="18"/>
                <w:lang w:eastAsia="en-GB"/>
              </w:rPr>
            </w:pPr>
          </w:p>
        </w:tc>
        <w:tc>
          <w:tcPr>
            <w:tcW w:w="0" w:type="auto"/>
            <w:noWrap/>
            <w:vAlign w:val="center"/>
            <w:hideMark/>
          </w:tcPr>
          <w:p w14:paraId="64226DB9" w14:textId="77777777"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Leuven</w:t>
            </w:r>
          </w:p>
        </w:tc>
        <w:tc>
          <w:tcPr>
            <w:tcW w:w="0" w:type="auto"/>
            <w:noWrap/>
            <w:vAlign w:val="center"/>
          </w:tcPr>
          <w:p w14:paraId="17D83C62" w14:textId="671E15D0"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0" w:type="auto"/>
            <w:noWrap/>
            <w:vAlign w:val="center"/>
          </w:tcPr>
          <w:p w14:paraId="5D913DD6" w14:textId="0837C0A1"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297/1,805</w:t>
            </w:r>
          </w:p>
        </w:tc>
        <w:tc>
          <w:tcPr>
            <w:tcW w:w="0" w:type="auto"/>
            <w:noWrap/>
            <w:vAlign w:val="center"/>
          </w:tcPr>
          <w:p w14:paraId="27FE2A76" w14:textId="5DE5A1D3"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0.87 (0.66–1.15)</w:t>
            </w:r>
          </w:p>
        </w:tc>
        <w:tc>
          <w:tcPr>
            <w:tcW w:w="0" w:type="auto"/>
            <w:noWrap/>
            <w:vAlign w:val="center"/>
          </w:tcPr>
          <w:p w14:paraId="5CAFC409" w14:textId="4D7E047A"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0.34</w:t>
            </w:r>
          </w:p>
        </w:tc>
        <w:tc>
          <w:tcPr>
            <w:tcW w:w="0" w:type="auto"/>
            <w:noWrap/>
            <w:vAlign w:val="center"/>
          </w:tcPr>
          <w:p w14:paraId="5E007EEF" w14:textId="767E9A94"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0" w:type="auto"/>
            <w:noWrap/>
            <w:vAlign w:val="center"/>
          </w:tcPr>
          <w:p w14:paraId="541285B8" w14:textId="71FD0CEF"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296/1,804</w:t>
            </w:r>
          </w:p>
        </w:tc>
        <w:tc>
          <w:tcPr>
            <w:tcW w:w="0" w:type="auto"/>
            <w:noWrap/>
            <w:vAlign w:val="center"/>
          </w:tcPr>
          <w:p w14:paraId="65A0B716" w14:textId="13E61FB1"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0.85 (0.59–1.22)</w:t>
            </w:r>
          </w:p>
        </w:tc>
        <w:tc>
          <w:tcPr>
            <w:tcW w:w="0" w:type="auto"/>
            <w:noWrap/>
            <w:vAlign w:val="center"/>
          </w:tcPr>
          <w:p w14:paraId="619CBFA0" w14:textId="7E5A8E4E"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0.37</w:t>
            </w:r>
          </w:p>
        </w:tc>
      </w:tr>
      <w:tr w:rsidR="00D53FD9" w:rsidRPr="004B723C" w14:paraId="57E6ED9F" w14:textId="77777777" w:rsidTr="00D33F55">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F83162D" w14:textId="77777777" w:rsidR="00F937EF" w:rsidRPr="004B723C" w:rsidRDefault="00F937EF" w:rsidP="00F937EF">
            <w:pPr>
              <w:spacing w:line="360" w:lineRule="auto"/>
              <w:jc w:val="center"/>
              <w:rPr>
                <w:rFonts w:eastAsia="Times New Roman" w:cs="Times New Roman"/>
                <w:color w:val="000000"/>
                <w:sz w:val="18"/>
                <w:szCs w:val="18"/>
                <w:lang w:eastAsia="en-GB"/>
              </w:rPr>
            </w:pPr>
            <w:r w:rsidRPr="004B723C">
              <w:rPr>
                <w:rFonts w:eastAsia="Times New Roman" w:cs="Times New Roman"/>
                <w:color w:val="000000"/>
                <w:sz w:val="18"/>
                <w:szCs w:val="18"/>
                <w:lang w:eastAsia="en-GB"/>
              </w:rPr>
              <w:t>Donor age (per 10 years)</w:t>
            </w:r>
          </w:p>
        </w:tc>
        <w:tc>
          <w:tcPr>
            <w:tcW w:w="0" w:type="auto"/>
            <w:noWrap/>
            <w:vAlign w:val="center"/>
            <w:hideMark/>
          </w:tcPr>
          <w:p w14:paraId="72F68B18" w14:textId="77777777"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w:t>
            </w:r>
          </w:p>
        </w:tc>
        <w:tc>
          <w:tcPr>
            <w:tcW w:w="0" w:type="auto"/>
            <w:noWrap/>
            <w:vAlign w:val="center"/>
          </w:tcPr>
          <w:p w14:paraId="7743143F" w14:textId="731251B3"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358/2,198</w:t>
            </w:r>
          </w:p>
        </w:tc>
        <w:tc>
          <w:tcPr>
            <w:tcW w:w="0" w:type="auto"/>
            <w:noWrap/>
            <w:vAlign w:val="center"/>
          </w:tcPr>
          <w:p w14:paraId="636CB0E4" w14:textId="20D53A8A"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w:t>
            </w:r>
          </w:p>
        </w:tc>
        <w:tc>
          <w:tcPr>
            <w:tcW w:w="0" w:type="auto"/>
            <w:noWrap/>
            <w:vAlign w:val="center"/>
          </w:tcPr>
          <w:p w14:paraId="5BCB0C58" w14:textId="2F337303"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1.14 (1.06–1.22)</w:t>
            </w:r>
          </w:p>
        </w:tc>
        <w:tc>
          <w:tcPr>
            <w:tcW w:w="0" w:type="auto"/>
            <w:noWrap/>
            <w:vAlign w:val="center"/>
          </w:tcPr>
          <w:p w14:paraId="17A56CEE" w14:textId="3CC52F3C" w:rsidR="00F937EF" w:rsidRPr="004B723C" w:rsidRDefault="00D53FD9"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6.42 × 10</w:t>
            </w:r>
            <w:r w:rsidRPr="004B723C">
              <w:rPr>
                <w:rFonts w:cs="Times New Roman"/>
                <w:color w:val="000000"/>
                <w:sz w:val="18"/>
                <w:szCs w:val="18"/>
                <w:vertAlign w:val="superscript"/>
              </w:rPr>
              <w:t>-4</w:t>
            </w:r>
          </w:p>
        </w:tc>
        <w:tc>
          <w:tcPr>
            <w:tcW w:w="0" w:type="auto"/>
            <w:noWrap/>
            <w:vAlign w:val="center"/>
          </w:tcPr>
          <w:p w14:paraId="40509B96" w14:textId="73B1DC06"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357/2,197</w:t>
            </w:r>
          </w:p>
        </w:tc>
        <w:tc>
          <w:tcPr>
            <w:tcW w:w="0" w:type="auto"/>
            <w:noWrap/>
            <w:vAlign w:val="center"/>
          </w:tcPr>
          <w:p w14:paraId="6F6D9B03" w14:textId="0952BA1C"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w:t>
            </w:r>
          </w:p>
        </w:tc>
        <w:tc>
          <w:tcPr>
            <w:tcW w:w="0" w:type="auto"/>
            <w:noWrap/>
            <w:vAlign w:val="center"/>
          </w:tcPr>
          <w:p w14:paraId="5AE0B3E8" w14:textId="45BA7540"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1.16 (1.07–1.25)</w:t>
            </w:r>
          </w:p>
        </w:tc>
        <w:tc>
          <w:tcPr>
            <w:tcW w:w="0" w:type="auto"/>
            <w:noWrap/>
            <w:vAlign w:val="center"/>
          </w:tcPr>
          <w:p w14:paraId="7962A1D2" w14:textId="799ECFB5" w:rsidR="00F937EF" w:rsidRPr="004B723C" w:rsidRDefault="00D53FD9"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2.32 × 10</w:t>
            </w:r>
            <w:r w:rsidRPr="004B723C">
              <w:rPr>
                <w:rFonts w:cs="Times New Roman"/>
                <w:color w:val="000000"/>
                <w:sz w:val="18"/>
                <w:szCs w:val="18"/>
                <w:vertAlign w:val="superscript"/>
              </w:rPr>
              <w:t>-4</w:t>
            </w:r>
          </w:p>
        </w:tc>
      </w:tr>
      <w:tr w:rsidR="00D53FD9" w:rsidRPr="004B723C" w14:paraId="77719A5A" w14:textId="77777777" w:rsidTr="00D33F55">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136E22C" w14:textId="77777777" w:rsidR="00F937EF" w:rsidRPr="004B723C" w:rsidRDefault="00F937EF" w:rsidP="00F937EF">
            <w:pPr>
              <w:spacing w:line="360" w:lineRule="auto"/>
              <w:jc w:val="center"/>
              <w:rPr>
                <w:rFonts w:eastAsia="Times New Roman" w:cs="Times New Roman"/>
                <w:color w:val="000000"/>
                <w:sz w:val="18"/>
                <w:szCs w:val="18"/>
                <w:lang w:eastAsia="en-GB"/>
              </w:rPr>
            </w:pPr>
            <w:r w:rsidRPr="004B723C">
              <w:rPr>
                <w:rFonts w:eastAsia="Times New Roman" w:cs="Times New Roman"/>
                <w:color w:val="000000"/>
                <w:sz w:val="18"/>
                <w:szCs w:val="18"/>
                <w:lang w:eastAsia="en-GB"/>
              </w:rPr>
              <w:t>Donor type</w:t>
            </w:r>
          </w:p>
        </w:tc>
        <w:tc>
          <w:tcPr>
            <w:tcW w:w="0" w:type="auto"/>
            <w:noWrap/>
            <w:vAlign w:val="center"/>
            <w:hideMark/>
          </w:tcPr>
          <w:p w14:paraId="418FA407" w14:textId="77777777"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Living</w:t>
            </w:r>
          </w:p>
        </w:tc>
        <w:tc>
          <w:tcPr>
            <w:tcW w:w="0" w:type="auto"/>
            <w:noWrap/>
            <w:vAlign w:val="center"/>
          </w:tcPr>
          <w:p w14:paraId="3E94658D" w14:textId="5C933B5A"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358/2,198</w:t>
            </w:r>
          </w:p>
        </w:tc>
        <w:tc>
          <w:tcPr>
            <w:tcW w:w="0" w:type="auto"/>
            <w:noWrap/>
            <w:vAlign w:val="center"/>
          </w:tcPr>
          <w:p w14:paraId="5E08B739" w14:textId="1758DB6B"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40/287</w:t>
            </w:r>
          </w:p>
        </w:tc>
        <w:tc>
          <w:tcPr>
            <w:tcW w:w="0" w:type="auto"/>
            <w:noWrap/>
            <w:vAlign w:val="center"/>
          </w:tcPr>
          <w:p w14:paraId="0F6A0038" w14:textId="0AE59284" w:rsidR="00F937EF" w:rsidRPr="004B723C" w:rsidRDefault="00D45F56"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0" w:type="auto"/>
            <w:noWrap/>
            <w:vAlign w:val="center"/>
          </w:tcPr>
          <w:p w14:paraId="70971724" w14:textId="445D5A4B" w:rsidR="00F937EF" w:rsidRPr="004B723C" w:rsidRDefault="00D45F56"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0" w:type="auto"/>
            <w:noWrap/>
            <w:vAlign w:val="center"/>
          </w:tcPr>
          <w:p w14:paraId="6F5FC61F" w14:textId="4C5DC184"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357/2,197</w:t>
            </w:r>
          </w:p>
        </w:tc>
        <w:tc>
          <w:tcPr>
            <w:tcW w:w="0" w:type="auto"/>
            <w:noWrap/>
            <w:vAlign w:val="center"/>
          </w:tcPr>
          <w:p w14:paraId="484091D1" w14:textId="43D5CFBA"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40/287</w:t>
            </w:r>
          </w:p>
        </w:tc>
        <w:tc>
          <w:tcPr>
            <w:tcW w:w="0" w:type="auto"/>
            <w:noWrap/>
            <w:vAlign w:val="center"/>
          </w:tcPr>
          <w:p w14:paraId="7026D0D2" w14:textId="1121B48E" w:rsidR="00F937EF" w:rsidRPr="004B723C" w:rsidRDefault="00D45F56"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0" w:type="auto"/>
            <w:noWrap/>
            <w:vAlign w:val="center"/>
          </w:tcPr>
          <w:p w14:paraId="1C25F696" w14:textId="2279C0B2" w:rsidR="00F937EF" w:rsidRPr="004B723C" w:rsidRDefault="00D45F56"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r>
      <w:tr w:rsidR="00D53FD9" w:rsidRPr="004B723C" w14:paraId="3DFBE5E8" w14:textId="77777777" w:rsidTr="00D33F55">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5C3B61EF" w14:textId="77777777" w:rsidR="00F937EF" w:rsidRPr="004B723C" w:rsidRDefault="00F937EF" w:rsidP="00F937EF">
            <w:pPr>
              <w:spacing w:line="360" w:lineRule="auto"/>
              <w:jc w:val="center"/>
              <w:rPr>
                <w:rFonts w:eastAsia="Times New Roman" w:cs="Times New Roman"/>
                <w:color w:val="000000"/>
                <w:sz w:val="18"/>
                <w:szCs w:val="18"/>
                <w:lang w:eastAsia="en-GB"/>
              </w:rPr>
            </w:pPr>
          </w:p>
        </w:tc>
        <w:tc>
          <w:tcPr>
            <w:tcW w:w="0" w:type="auto"/>
            <w:noWrap/>
            <w:vAlign w:val="center"/>
            <w:hideMark/>
          </w:tcPr>
          <w:p w14:paraId="6D28F5BF" w14:textId="77777777"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DBD</w:t>
            </w:r>
          </w:p>
        </w:tc>
        <w:tc>
          <w:tcPr>
            <w:tcW w:w="0" w:type="auto"/>
            <w:noWrap/>
            <w:vAlign w:val="center"/>
          </w:tcPr>
          <w:p w14:paraId="57689E1E" w14:textId="33E225B0"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0" w:type="auto"/>
            <w:noWrap/>
            <w:vAlign w:val="center"/>
          </w:tcPr>
          <w:p w14:paraId="6386B6F1" w14:textId="05CC8D2F"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260/1,498</w:t>
            </w:r>
          </w:p>
        </w:tc>
        <w:tc>
          <w:tcPr>
            <w:tcW w:w="0" w:type="auto"/>
            <w:noWrap/>
            <w:vAlign w:val="center"/>
          </w:tcPr>
          <w:p w14:paraId="422537C8" w14:textId="1350F90D"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1.19 (0.85–1.65)</w:t>
            </w:r>
          </w:p>
        </w:tc>
        <w:tc>
          <w:tcPr>
            <w:tcW w:w="0" w:type="auto"/>
            <w:noWrap/>
            <w:vAlign w:val="center"/>
          </w:tcPr>
          <w:p w14:paraId="28D9D3A4" w14:textId="246F2B4F"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0.32</w:t>
            </w:r>
          </w:p>
        </w:tc>
        <w:tc>
          <w:tcPr>
            <w:tcW w:w="0" w:type="auto"/>
            <w:noWrap/>
            <w:vAlign w:val="center"/>
          </w:tcPr>
          <w:p w14:paraId="47990834" w14:textId="57DD4965"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0" w:type="auto"/>
            <w:noWrap/>
            <w:vAlign w:val="center"/>
          </w:tcPr>
          <w:p w14:paraId="54DC939F" w14:textId="5F557D68"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259/1,497</w:t>
            </w:r>
          </w:p>
        </w:tc>
        <w:tc>
          <w:tcPr>
            <w:tcW w:w="0" w:type="auto"/>
            <w:noWrap/>
            <w:vAlign w:val="center"/>
          </w:tcPr>
          <w:p w14:paraId="2D1827B5" w14:textId="6DB8F730"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0.90 (0.57–1.42)</w:t>
            </w:r>
          </w:p>
        </w:tc>
        <w:tc>
          <w:tcPr>
            <w:tcW w:w="0" w:type="auto"/>
            <w:noWrap/>
            <w:vAlign w:val="center"/>
          </w:tcPr>
          <w:p w14:paraId="12B828A4" w14:textId="6BEFE8AB"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0.65</w:t>
            </w:r>
          </w:p>
        </w:tc>
      </w:tr>
      <w:tr w:rsidR="00D53FD9" w:rsidRPr="004B723C" w14:paraId="18030C4B" w14:textId="77777777" w:rsidTr="00D33F55">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03AFD651" w14:textId="77777777" w:rsidR="00F937EF" w:rsidRPr="004B723C" w:rsidRDefault="00F937EF" w:rsidP="00F937EF">
            <w:pPr>
              <w:spacing w:line="360" w:lineRule="auto"/>
              <w:jc w:val="center"/>
              <w:rPr>
                <w:rFonts w:eastAsia="Times New Roman" w:cs="Times New Roman"/>
                <w:color w:val="000000"/>
                <w:sz w:val="18"/>
                <w:szCs w:val="18"/>
                <w:lang w:eastAsia="en-GB"/>
              </w:rPr>
            </w:pPr>
          </w:p>
        </w:tc>
        <w:tc>
          <w:tcPr>
            <w:tcW w:w="0" w:type="auto"/>
            <w:noWrap/>
            <w:vAlign w:val="center"/>
            <w:hideMark/>
          </w:tcPr>
          <w:p w14:paraId="0BBD9D86" w14:textId="77777777"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DCD</w:t>
            </w:r>
          </w:p>
        </w:tc>
        <w:tc>
          <w:tcPr>
            <w:tcW w:w="0" w:type="auto"/>
            <w:noWrap/>
            <w:vAlign w:val="center"/>
          </w:tcPr>
          <w:p w14:paraId="0450C4B9" w14:textId="6DBDC840"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0" w:type="auto"/>
            <w:noWrap/>
            <w:vAlign w:val="center"/>
          </w:tcPr>
          <w:p w14:paraId="299792AC" w14:textId="24B84141"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58/413</w:t>
            </w:r>
          </w:p>
        </w:tc>
        <w:tc>
          <w:tcPr>
            <w:tcW w:w="0" w:type="auto"/>
            <w:noWrap/>
            <w:vAlign w:val="center"/>
          </w:tcPr>
          <w:p w14:paraId="36E2A36E" w14:textId="4BAC13C8"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0.96 (0.64–1.44)</w:t>
            </w:r>
          </w:p>
        </w:tc>
        <w:tc>
          <w:tcPr>
            <w:tcW w:w="0" w:type="auto"/>
            <w:noWrap/>
            <w:vAlign w:val="center"/>
          </w:tcPr>
          <w:p w14:paraId="2FA48FB9" w14:textId="237FD033"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0.86</w:t>
            </w:r>
          </w:p>
        </w:tc>
        <w:tc>
          <w:tcPr>
            <w:tcW w:w="0" w:type="auto"/>
            <w:noWrap/>
            <w:vAlign w:val="center"/>
          </w:tcPr>
          <w:p w14:paraId="572A811A" w14:textId="7963079F"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0" w:type="auto"/>
            <w:noWrap/>
            <w:vAlign w:val="center"/>
          </w:tcPr>
          <w:p w14:paraId="14A79492" w14:textId="67284975"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58/413</w:t>
            </w:r>
          </w:p>
        </w:tc>
        <w:tc>
          <w:tcPr>
            <w:tcW w:w="0" w:type="auto"/>
            <w:noWrap/>
            <w:vAlign w:val="center"/>
          </w:tcPr>
          <w:p w14:paraId="7BFB5B82" w14:textId="0F970086"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0.90 (0.54–1.50)</w:t>
            </w:r>
          </w:p>
        </w:tc>
        <w:tc>
          <w:tcPr>
            <w:tcW w:w="0" w:type="auto"/>
            <w:noWrap/>
            <w:vAlign w:val="center"/>
          </w:tcPr>
          <w:p w14:paraId="74F28C73" w14:textId="2EFBC130"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0.69</w:t>
            </w:r>
          </w:p>
        </w:tc>
      </w:tr>
      <w:tr w:rsidR="00D53FD9" w:rsidRPr="004B723C" w14:paraId="08504A0D" w14:textId="77777777" w:rsidTr="00D33F55">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7FB5E1B" w14:textId="77777777" w:rsidR="00F937EF" w:rsidRPr="004B723C" w:rsidRDefault="00F937EF" w:rsidP="00F937EF">
            <w:pPr>
              <w:spacing w:line="360" w:lineRule="auto"/>
              <w:jc w:val="center"/>
              <w:rPr>
                <w:rFonts w:eastAsia="Times New Roman" w:cs="Times New Roman"/>
                <w:color w:val="000000"/>
                <w:sz w:val="18"/>
                <w:szCs w:val="18"/>
                <w:lang w:eastAsia="en-GB"/>
              </w:rPr>
            </w:pPr>
            <w:r w:rsidRPr="004B723C">
              <w:rPr>
                <w:rFonts w:eastAsia="Times New Roman" w:cs="Times New Roman"/>
                <w:color w:val="000000"/>
                <w:sz w:val="18"/>
                <w:szCs w:val="18"/>
                <w:lang w:eastAsia="en-GB"/>
              </w:rPr>
              <w:t>HLA mismatch (per mismatch)</w:t>
            </w:r>
          </w:p>
        </w:tc>
        <w:tc>
          <w:tcPr>
            <w:tcW w:w="0" w:type="auto"/>
            <w:noWrap/>
            <w:vAlign w:val="center"/>
            <w:hideMark/>
          </w:tcPr>
          <w:p w14:paraId="115608E1" w14:textId="77777777"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w:t>
            </w:r>
          </w:p>
        </w:tc>
        <w:tc>
          <w:tcPr>
            <w:tcW w:w="0" w:type="auto"/>
            <w:noWrap/>
            <w:vAlign w:val="center"/>
          </w:tcPr>
          <w:p w14:paraId="2C9F55C3" w14:textId="0B2F243C"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358/2,198</w:t>
            </w:r>
          </w:p>
        </w:tc>
        <w:tc>
          <w:tcPr>
            <w:tcW w:w="0" w:type="auto"/>
            <w:noWrap/>
            <w:vAlign w:val="center"/>
          </w:tcPr>
          <w:p w14:paraId="77A9F241" w14:textId="2A8DC473"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w:t>
            </w:r>
          </w:p>
        </w:tc>
        <w:tc>
          <w:tcPr>
            <w:tcW w:w="0" w:type="auto"/>
            <w:noWrap/>
            <w:vAlign w:val="center"/>
          </w:tcPr>
          <w:p w14:paraId="4DBF8E57" w14:textId="1BB64187"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1.15 (1.07–1.23)</w:t>
            </w:r>
          </w:p>
        </w:tc>
        <w:tc>
          <w:tcPr>
            <w:tcW w:w="0" w:type="auto"/>
            <w:noWrap/>
            <w:vAlign w:val="center"/>
          </w:tcPr>
          <w:p w14:paraId="48C47AA5" w14:textId="297B53BD" w:rsidR="00F937EF" w:rsidRPr="004B723C" w:rsidRDefault="00D53FD9"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1.68 × 10</w:t>
            </w:r>
            <w:r w:rsidRPr="004B723C">
              <w:rPr>
                <w:rFonts w:cs="Times New Roman"/>
                <w:color w:val="000000"/>
                <w:sz w:val="18"/>
                <w:szCs w:val="18"/>
                <w:vertAlign w:val="superscript"/>
              </w:rPr>
              <w:t>-4</w:t>
            </w:r>
          </w:p>
        </w:tc>
        <w:tc>
          <w:tcPr>
            <w:tcW w:w="0" w:type="auto"/>
            <w:noWrap/>
            <w:vAlign w:val="center"/>
          </w:tcPr>
          <w:p w14:paraId="34A1DA05" w14:textId="7B4845C9"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357/2,197</w:t>
            </w:r>
          </w:p>
        </w:tc>
        <w:tc>
          <w:tcPr>
            <w:tcW w:w="0" w:type="auto"/>
            <w:noWrap/>
            <w:vAlign w:val="center"/>
          </w:tcPr>
          <w:p w14:paraId="4035AFA2" w14:textId="1EAA1ED7"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w:t>
            </w:r>
          </w:p>
        </w:tc>
        <w:tc>
          <w:tcPr>
            <w:tcW w:w="0" w:type="auto"/>
            <w:noWrap/>
            <w:vAlign w:val="center"/>
          </w:tcPr>
          <w:p w14:paraId="669FAE12" w14:textId="7F6DEA74"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1.16 (1.06–1.27)</w:t>
            </w:r>
          </w:p>
        </w:tc>
        <w:tc>
          <w:tcPr>
            <w:tcW w:w="0" w:type="auto"/>
            <w:noWrap/>
            <w:vAlign w:val="center"/>
          </w:tcPr>
          <w:p w14:paraId="16E5C8AD" w14:textId="41456FB6" w:rsidR="00F937EF" w:rsidRPr="004B723C" w:rsidRDefault="00D53FD9"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7.60 × 10</w:t>
            </w:r>
            <w:r w:rsidRPr="004B723C">
              <w:rPr>
                <w:rFonts w:cs="Times New Roman"/>
                <w:color w:val="000000"/>
                <w:sz w:val="18"/>
                <w:szCs w:val="18"/>
                <w:vertAlign w:val="superscript"/>
              </w:rPr>
              <w:t>-4</w:t>
            </w:r>
          </w:p>
        </w:tc>
      </w:tr>
      <w:tr w:rsidR="00D53FD9" w:rsidRPr="004B723C" w14:paraId="5E4B1724" w14:textId="77777777" w:rsidTr="00D33F55">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B3586DA" w14:textId="77777777" w:rsidR="00F937EF" w:rsidRPr="004B723C" w:rsidRDefault="00F937EF" w:rsidP="00F937EF">
            <w:pPr>
              <w:spacing w:line="360" w:lineRule="auto"/>
              <w:jc w:val="center"/>
              <w:rPr>
                <w:rFonts w:eastAsia="Times New Roman" w:cs="Times New Roman"/>
                <w:color w:val="000000"/>
                <w:sz w:val="18"/>
                <w:szCs w:val="18"/>
                <w:lang w:eastAsia="en-GB"/>
              </w:rPr>
            </w:pPr>
            <w:r w:rsidRPr="004B723C">
              <w:rPr>
                <w:rFonts w:eastAsia="Times New Roman" w:cs="Times New Roman"/>
                <w:color w:val="000000"/>
                <w:sz w:val="18"/>
                <w:szCs w:val="18"/>
                <w:lang w:eastAsia="en-GB"/>
              </w:rPr>
              <w:t>HLA-DSA status</w:t>
            </w:r>
          </w:p>
        </w:tc>
        <w:tc>
          <w:tcPr>
            <w:tcW w:w="0" w:type="auto"/>
            <w:noWrap/>
            <w:vAlign w:val="center"/>
            <w:hideMark/>
          </w:tcPr>
          <w:p w14:paraId="1F832088" w14:textId="77777777"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Negative</w:t>
            </w:r>
          </w:p>
        </w:tc>
        <w:tc>
          <w:tcPr>
            <w:tcW w:w="0" w:type="auto"/>
            <w:noWrap/>
            <w:vAlign w:val="center"/>
          </w:tcPr>
          <w:p w14:paraId="0483B1E4" w14:textId="1FDB7E93"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358/2,198</w:t>
            </w:r>
          </w:p>
        </w:tc>
        <w:tc>
          <w:tcPr>
            <w:tcW w:w="0" w:type="auto"/>
            <w:noWrap/>
            <w:vAlign w:val="center"/>
          </w:tcPr>
          <w:p w14:paraId="4B4C18F2" w14:textId="42937EA1"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263/2,002</w:t>
            </w:r>
          </w:p>
        </w:tc>
        <w:tc>
          <w:tcPr>
            <w:tcW w:w="0" w:type="auto"/>
            <w:noWrap/>
            <w:vAlign w:val="center"/>
          </w:tcPr>
          <w:p w14:paraId="4165E0B1" w14:textId="226971D1" w:rsidR="00F937EF" w:rsidRPr="004B723C" w:rsidRDefault="00D45F56"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0" w:type="auto"/>
            <w:noWrap/>
            <w:vAlign w:val="center"/>
          </w:tcPr>
          <w:p w14:paraId="7C69CBE6" w14:textId="3161D052" w:rsidR="00F937EF" w:rsidRPr="004B723C" w:rsidRDefault="00D45F56"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0" w:type="auto"/>
            <w:noWrap/>
            <w:vAlign w:val="center"/>
          </w:tcPr>
          <w:p w14:paraId="01C04273" w14:textId="1081AA1E"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357/2,197</w:t>
            </w:r>
          </w:p>
        </w:tc>
        <w:tc>
          <w:tcPr>
            <w:tcW w:w="0" w:type="auto"/>
            <w:noWrap/>
            <w:vAlign w:val="center"/>
          </w:tcPr>
          <w:p w14:paraId="47C1EE0C" w14:textId="5967E995"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262/2,001</w:t>
            </w:r>
          </w:p>
        </w:tc>
        <w:tc>
          <w:tcPr>
            <w:tcW w:w="0" w:type="auto"/>
            <w:noWrap/>
            <w:vAlign w:val="center"/>
          </w:tcPr>
          <w:p w14:paraId="75D62C02" w14:textId="73E2BBFE" w:rsidR="00F937EF" w:rsidRPr="004B723C" w:rsidRDefault="00D45F56"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0" w:type="auto"/>
            <w:noWrap/>
            <w:vAlign w:val="center"/>
          </w:tcPr>
          <w:p w14:paraId="34633DEA" w14:textId="730C6303" w:rsidR="00F937EF" w:rsidRPr="004B723C" w:rsidRDefault="00D45F56"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r>
      <w:tr w:rsidR="00D53FD9" w:rsidRPr="004B723C" w14:paraId="72F3D28C" w14:textId="77777777" w:rsidTr="00D33F55">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01C3B7D1" w14:textId="77777777" w:rsidR="00F937EF" w:rsidRPr="004B723C" w:rsidRDefault="00F937EF" w:rsidP="00F937EF">
            <w:pPr>
              <w:spacing w:line="360" w:lineRule="auto"/>
              <w:jc w:val="center"/>
              <w:rPr>
                <w:rFonts w:eastAsia="Times New Roman" w:cs="Times New Roman"/>
                <w:color w:val="000000"/>
                <w:sz w:val="18"/>
                <w:szCs w:val="18"/>
                <w:lang w:eastAsia="en-GB"/>
              </w:rPr>
            </w:pPr>
          </w:p>
        </w:tc>
        <w:tc>
          <w:tcPr>
            <w:tcW w:w="0" w:type="auto"/>
            <w:noWrap/>
            <w:vAlign w:val="center"/>
            <w:hideMark/>
          </w:tcPr>
          <w:p w14:paraId="4C6F8A71" w14:textId="77777777"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Positive</w:t>
            </w:r>
          </w:p>
        </w:tc>
        <w:tc>
          <w:tcPr>
            <w:tcW w:w="0" w:type="auto"/>
            <w:noWrap/>
            <w:vAlign w:val="center"/>
          </w:tcPr>
          <w:p w14:paraId="6E1EEFC3" w14:textId="3D3F6785"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0" w:type="auto"/>
            <w:noWrap/>
            <w:vAlign w:val="center"/>
          </w:tcPr>
          <w:p w14:paraId="33E0ED19" w14:textId="447335DA"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95/196</w:t>
            </w:r>
          </w:p>
        </w:tc>
        <w:tc>
          <w:tcPr>
            <w:tcW w:w="0" w:type="auto"/>
            <w:noWrap/>
            <w:vAlign w:val="center"/>
          </w:tcPr>
          <w:p w14:paraId="56F4A93A" w14:textId="12E5D28D"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5.07 (4.00–6.42)</w:t>
            </w:r>
          </w:p>
        </w:tc>
        <w:tc>
          <w:tcPr>
            <w:tcW w:w="0" w:type="auto"/>
            <w:noWrap/>
            <w:vAlign w:val="center"/>
          </w:tcPr>
          <w:p w14:paraId="030D0B69" w14:textId="2D17C2AF" w:rsidR="00F937EF" w:rsidRPr="004B723C" w:rsidRDefault="00D53FD9"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3.58 × 10</w:t>
            </w:r>
            <w:r w:rsidRPr="004B723C">
              <w:rPr>
                <w:rFonts w:cs="Times New Roman"/>
                <w:color w:val="000000"/>
                <w:sz w:val="18"/>
                <w:szCs w:val="18"/>
                <w:vertAlign w:val="superscript"/>
              </w:rPr>
              <w:t>-41</w:t>
            </w:r>
          </w:p>
        </w:tc>
        <w:tc>
          <w:tcPr>
            <w:tcW w:w="0" w:type="auto"/>
            <w:noWrap/>
            <w:vAlign w:val="center"/>
          </w:tcPr>
          <w:p w14:paraId="267B7FDB" w14:textId="039473A4"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0" w:type="auto"/>
            <w:noWrap/>
            <w:vAlign w:val="center"/>
          </w:tcPr>
          <w:p w14:paraId="6AE4BDB0" w14:textId="712519AA"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95/196</w:t>
            </w:r>
          </w:p>
        </w:tc>
        <w:tc>
          <w:tcPr>
            <w:tcW w:w="0" w:type="auto"/>
            <w:noWrap/>
            <w:vAlign w:val="center"/>
          </w:tcPr>
          <w:p w14:paraId="644E0491" w14:textId="37568CB7"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3.98 (3.04–5.20)</w:t>
            </w:r>
          </w:p>
        </w:tc>
        <w:tc>
          <w:tcPr>
            <w:tcW w:w="0" w:type="auto"/>
            <w:noWrap/>
            <w:vAlign w:val="center"/>
          </w:tcPr>
          <w:p w14:paraId="201223CA" w14:textId="3BA2E12C" w:rsidR="00F937EF" w:rsidRPr="004B723C" w:rsidRDefault="00D53FD9"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4.68 × 10</w:t>
            </w:r>
            <w:r w:rsidRPr="004B723C">
              <w:rPr>
                <w:rFonts w:cs="Times New Roman"/>
                <w:color w:val="000000"/>
                <w:sz w:val="18"/>
                <w:szCs w:val="18"/>
                <w:vertAlign w:val="superscript"/>
              </w:rPr>
              <w:t>-24</w:t>
            </w:r>
          </w:p>
        </w:tc>
      </w:tr>
      <w:tr w:rsidR="00D53FD9" w:rsidRPr="004B723C" w14:paraId="101CF656" w14:textId="77777777" w:rsidTr="00D33F55">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EE140B8" w14:textId="77777777" w:rsidR="00F937EF" w:rsidRPr="004B723C" w:rsidRDefault="00F937EF" w:rsidP="00F937EF">
            <w:pPr>
              <w:spacing w:line="360" w:lineRule="auto"/>
              <w:jc w:val="center"/>
              <w:rPr>
                <w:rFonts w:eastAsia="Times New Roman" w:cs="Times New Roman"/>
                <w:color w:val="000000"/>
                <w:sz w:val="18"/>
                <w:szCs w:val="18"/>
                <w:lang w:eastAsia="en-GB"/>
              </w:rPr>
            </w:pPr>
            <w:r w:rsidRPr="004B723C">
              <w:rPr>
                <w:rFonts w:eastAsia="Times New Roman" w:cs="Times New Roman"/>
                <w:color w:val="000000"/>
                <w:sz w:val="18"/>
                <w:szCs w:val="18"/>
                <w:lang w:eastAsia="en-GB"/>
              </w:rPr>
              <w:t>Recipient age (per 10 years)</w:t>
            </w:r>
          </w:p>
        </w:tc>
        <w:tc>
          <w:tcPr>
            <w:tcW w:w="0" w:type="auto"/>
            <w:noWrap/>
            <w:vAlign w:val="center"/>
            <w:hideMark/>
          </w:tcPr>
          <w:p w14:paraId="727C900F" w14:textId="77777777"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w:t>
            </w:r>
          </w:p>
        </w:tc>
        <w:tc>
          <w:tcPr>
            <w:tcW w:w="0" w:type="auto"/>
            <w:noWrap/>
            <w:vAlign w:val="center"/>
          </w:tcPr>
          <w:p w14:paraId="2FAF78A6" w14:textId="72A53A36"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358/2,198</w:t>
            </w:r>
          </w:p>
        </w:tc>
        <w:tc>
          <w:tcPr>
            <w:tcW w:w="0" w:type="auto"/>
            <w:noWrap/>
            <w:vAlign w:val="center"/>
          </w:tcPr>
          <w:p w14:paraId="79B4530A" w14:textId="47B712AB"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w:t>
            </w:r>
          </w:p>
        </w:tc>
        <w:tc>
          <w:tcPr>
            <w:tcW w:w="0" w:type="auto"/>
            <w:noWrap/>
            <w:vAlign w:val="center"/>
          </w:tcPr>
          <w:p w14:paraId="15E2A590" w14:textId="5553F712"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1.04 (0.96–1.13)</w:t>
            </w:r>
          </w:p>
        </w:tc>
        <w:tc>
          <w:tcPr>
            <w:tcW w:w="0" w:type="auto"/>
            <w:noWrap/>
            <w:vAlign w:val="center"/>
          </w:tcPr>
          <w:p w14:paraId="32F653C3" w14:textId="113A5C49"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0.34</w:t>
            </w:r>
          </w:p>
        </w:tc>
        <w:tc>
          <w:tcPr>
            <w:tcW w:w="0" w:type="auto"/>
            <w:noWrap/>
            <w:vAlign w:val="center"/>
          </w:tcPr>
          <w:p w14:paraId="2EF84080" w14:textId="06F321D5"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357/2,197</w:t>
            </w:r>
          </w:p>
        </w:tc>
        <w:tc>
          <w:tcPr>
            <w:tcW w:w="0" w:type="auto"/>
            <w:noWrap/>
            <w:vAlign w:val="center"/>
          </w:tcPr>
          <w:p w14:paraId="04CF2E1E" w14:textId="38659C88"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w:t>
            </w:r>
          </w:p>
        </w:tc>
        <w:tc>
          <w:tcPr>
            <w:tcW w:w="0" w:type="auto"/>
            <w:noWrap/>
            <w:vAlign w:val="center"/>
          </w:tcPr>
          <w:p w14:paraId="1B28F08B" w14:textId="2D32D111"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0.96 (0.88–1.05)</w:t>
            </w:r>
          </w:p>
        </w:tc>
        <w:tc>
          <w:tcPr>
            <w:tcW w:w="0" w:type="auto"/>
            <w:noWrap/>
            <w:vAlign w:val="center"/>
          </w:tcPr>
          <w:p w14:paraId="0CA0CE74" w14:textId="118B53D8"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0.37</w:t>
            </w:r>
          </w:p>
        </w:tc>
      </w:tr>
      <w:tr w:rsidR="00D53FD9" w:rsidRPr="004B723C" w14:paraId="520BE78E" w14:textId="77777777" w:rsidTr="00D33F55">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222EB94" w14:textId="77777777" w:rsidR="00F937EF" w:rsidRPr="004B723C" w:rsidRDefault="00F937EF" w:rsidP="00F937EF">
            <w:pPr>
              <w:spacing w:line="360" w:lineRule="auto"/>
              <w:jc w:val="center"/>
              <w:rPr>
                <w:rFonts w:eastAsia="Times New Roman" w:cs="Times New Roman"/>
                <w:color w:val="000000"/>
                <w:sz w:val="18"/>
                <w:szCs w:val="18"/>
                <w:lang w:eastAsia="en-GB"/>
              </w:rPr>
            </w:pPr>
            <w:r w:rsidRPr="004B723C">
              <w:rPr>
                <w:rFonts w:eastAsia="Times New Roman" w:cs="Times New Roman"/>
                <w:color w:val="000000"/>
                <w:sz w:val="18"/>
                <w:szCs w:val="18"/>
                <w:lang w:eastAsia="en-GB"/>
              </w:rPr>
              <w:t>Recipient sex</w:t>
            </w:r>
          </w:p>
        </w:tc>
        <w:tc>
          <w:tcPr>
            <w:tcW w:w="0" w:type="auto"/>
            <w:noWrap/>
            <w:vAlign w:val="center"/>
            <w:hideMark/>
          </w:tcPr>
          <w:p w14:paraId="50B4584B" w14:textId="77777777"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Male</w:t>
            </w:r>
          </w:p>
        </w:tc>
        <w:tc>
          <w:tcPr>
            <w:tcW w:w="0" w:type="auto"/>
            <w:noWrap/>
            <w:vAlign w:val="center"/>
          </w:tcPr>
          <w:p w14:paraId="31AC12AF" w14:textId="291C30B4"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358/2,198</w:t>
            </w:r>
          </w:p>
        </w:tc>
        <w:tc>
          <w:tcPr>
            <w:tcW w:w="0" w:type="auto"/>
            <w:noWrap/>
            <w:vAlign w:val="center"/>
          </w:tcPr>
          <w:p w14:paraId="31558A75" w14:textId="39853BD0"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185/1,385</w:t>
            </w:r>
          </w:p>
        </w:tc>
        <w:tc>
          <w:tcPr>
            <w:tcW w:w="0" w:type="auto"/>
            <w:noWrap/>
            <w:vAlign w:val="center"/>
          </w:tcPr>
          <w:p w14:paraId="39AD7DE6" w14:textId="0CE2F207" w:rsidR="00F937EF" w:rsidRPr="004B723C" w:rsidRDefault="00D45F56"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0" w:type="auto"/>
            <w:noWrap/>
            <w:vAlign w:val="center"/>
          </w:tcPr>
          <w:p w14:paraId="4FC3C0C3" w14:textId="30D9A556" w:rsidR="00F937EF" w:rsidRPr="004B723C" w:rsidRDefault="00D45F56"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0" w:type="auto"/>
            <w:noWrap/>
            <w:vAlign w:val="center"/>
          </w:tcPr>
          <w:p w14:paraId="23C6DB5F" w14:textId="28A8A6E4"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357/2,197</w:t>
            </w:r>
          </w:p>
        </w:tc>
        <w:tc>
          <w:tcPr>
            <w:tcW w:w="0" w:type="auto"/>
            <w:noWrap/>
            <w:vAlign w:val="center"/>
          </w:tcPr>
          <w:p w14:paraId="1EDA9FE2" w14:textId="691739B7"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184/1,384</w:t>
            </w:r>
          </w:p>
        </w:tc>
        <w:tc>
          <w:tcPr>
            <w:tcW w:w="0" w:type="auto"/>
            <w:noWrap/>
            <w:vAlign w:val="center"/>
          </w:tcPr>
          <w:p w14:paraId="443468CF" w14:textId="2429F68C" w:rsidR="00F937EF" w:rsidRPr="004B723C" w:rsidRDefault="00D45F56"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0" w:type="auto"/>
            <w:noWrap/>
            <w:vAlign w:val="center"/>
          </w:tcPr>
          <w:p w14:paraId="29A5A085" w14:textId="6249736D" w:rsidR="00F937EF" w:rsidRPr="004B723C" w:rsidRDefault="00D45F56"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r>
      <w:tr w:rsidR="00D53FD9" w:rsidRPr="004B723C" w14:paraId="73CF4E97" w14:textId="77777777" w:rsidTr="00D33F55">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2DBF193D" w14:textId="77777777" w:rsidR="00F937EF" w:rsidRPr="004B723C" w:rsidRDefault="00F937EF" w:rsidP="00F937EF">
            <w:pPr>
              <w:spacing w:line="360" w:lineRule="auto"/>
              <w:jc w:val="center"/>
              <w:rPr>
                <w:rFonts w:eastAsia="Times New Roman" w:cs="Times New Roman"/>
                <w:color w:val="000000"/>
                <w:sz w:val="18"/>
                <w:szCs w:val="18"/>
                <w:lang w:eastAsia="en-GB"/>
              </w:rPr>
            </w:pPr>
          </w:p>
        </w:tc>
        <w:tc>
          <w:tcPr>
            <w:tcW w:w="0" w:type="auto"/>
            <w:noWrap/>
            <w:vAlign w:val="center"/>
            <w:hideMark/>
          </w:tcPr>
          <w:p w14:paraId="17380D28" w14:textId="77777777"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Female</w:t>
            </w:r>
          </w:p>
        </w:tc>
        <w:tc>
          <w:tcPr>
            <w:tcW w:w="0" w:type="auto"/>
            <w:noWrap/>
            <w:vAlign w:val="center"/>
          </w:tcPr>
          <w:p w14:paraId="5C5D82C2" w14:textId="36DE099F"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0" w:type="auto"/>
            <w:noWrap/>
            <w:vAlign w:val="center"/>
          </w:tcPr>
          <w:p w14:paraId="0A6E3468" w14:textId="7F23D740"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173/813</w:t>
            </w:r>
          </w:p>
        </w:tc>
        <w:tc>
          <w:tcPr>
            <w:tcW w:w="0" w:type="auto"/>
            <w:noWrap/>
            <w:vAlign w:val="center"/>
          </w:tcPr>
          <w:p w14:paraId="40DD2AC9" w14:textId="1D059ED3"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1.62 (1.32–2.00)</w:t>
            </w:r>
          </w:p>
        </w:tc>
        <w:tc>
          <w:tcPr>
            <w:tcW w:w="0" w:type="auto"/>
            <w:noWrap/>
            <w:vAlign w:val="center"/>
          </w:tcPr>
          <w:p w14:paraId="7FBF32EA" w14:textId="608BCE78" w:rsidR="00F937EF" w:rsidRPr="004B723C" w:rsidRDefault="00D53FD9"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4.90 × 10</w:t>
            </w:r>
            <w:r w:rsidRPr="004B723C">
              <w:rPr>
                <w:rFonts w:cs="Times New Roman"/>
                <w:color w:val="000000"/>
                <w:sz w:val="18"/>
                <w:szCs w:val="18"/>
                <w:vertAlign w:val="superscript"/>
              </w:rPr>
              <w:t>-6</w:t>
            </w:r>
          </w:p>
        </w:tc>
        <w:tc>
          <w:tcPr>
            <w:tcW w:w="0" w:type="auto"/>
            <w:noWrap/>
            <w:vAlign w:val="center"/>
          </w:tcPr>
          <w:p w14:paraId="6511294D" w14:textId="6E7CACA1"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0" w:type="auto"/>
            <w:noWrap/>
            <w:vAlign w:val="center"/>
          </w:tcPr>
          <w:p w14:paraId="5E6A5732" w14:textId="3FF790ED"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173/813</w:t>
            </w:r>
          </w:p>
        </w:tc>
        <w:tc>
          <w:tcPr>
            <w:tcW w:w="0" w:type="auto"/>
            <w:noWrap/>
            <w:vAlign w:val="center"/>
          </w:tcPr>
          <w:p w14:paraId="30A00C68" w14:textId="177FB86E"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1.32 (1.06–1.63)</w:t>
            </w:r>
          </w:p>
        </w:tc>
        <w:tc>
          <w:tcPr>
            <w:tcW w:w="0" w:type="auto"/>
            <w:noWrap/>
            <w:vAlign w:val="center"/>
          </w:tcPr>
          <w:p w14:paraId="0708B333" w14:textId="19D30FC2"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0.012</w:t>
            </w:r>
          </w:p>
        </w:tc>
      </w:tr>
      <w:tr w:rsidR="00D53FD9" w:rsidRPr="004B723C" w14:paraId="34FFA036" w14:textId="77777777" w:rsidTr="00D33F55">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306F75B" w14:textId="77777777" w:rsidR="00F937EF" w:rsidRPr="004B723C" w:rsidRDefault="00F937EF" w:rsidP="00F937EF">
            <w:pPr>
              <w:spacing w:line="360" w:lineRule="auto"/>
              <w:jc w:val="center"/>
              <w:rPr>
                <w:rFonts w:eastAsia="Times New Roman" w:cs="Times New Roman"/>
                <w:color w:val="000000"/>
                <w:sz w:val="18"/>
                <w:szCs w:val="18"/>
                <w:lang w:eastAsia="en-GB"/>
              </w:rPr>
            </w:pPr>
            <w:r w:rsidRPr="004B723C">
              <w:rPr>
                <w:rFonts w:eastAsia="Times New Roman" w:cs="Times New Roman"/>
                <w:color w:val="000000"/>
                <w:sz w:val="18"/>
                <w:szCs w:val="18"/>
                <w:lang w:eastAsia="en-GB"/>
              </w:rPr>
              <w:t>Repeat transplantation</w:t>
            </w:r>
          </w:p>
        </w:tc>
        <w:tc>
          <w:tcPr>
            <w:tcW w:w="0" w:type="auto"/>
            <w:noWrap/>
            <w:vAlign w:val="center"/>
            <w:hideMark/>
          </w:tcPr>
          <w:p w14:paraId="6D4C4BAD" w14:textId="77777777"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No</w:t>
            </w:r>
          </w:p>
        </w:tc>
        <w:tc>
          <w:tcPr>
            <w:tcW w:w="0" w:type="auto"/>
            <w:noWrap/>
            <w:vAlign w:val="center"/>
          </w:tcPr>
          <w:p w14:paraId="23002229" w14:textId="51103701"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358/2,198</w:t>
            </w:r>
          </w:p>
        </w:tc>
        <w:tc>
          <w:tcPr>
            <w:tcW w:w="0" w:type="auto"/>
            <w:noWrap/>
            <w:vAlign w:val="center"/>
          </w:tcPr>
          <w:p w14:paraId="572B518A" w14:textId="761AFDAC"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277/1,879</w:t>
            </w:r>
          </w:p>
        </w:tc>
        <w:tc>
          <w:tcPr>
            <w:tcW w:w="0" w:type="auto"/>
            <w:noWrap/>
            <w:vAlign w:val="center"/>
          </w:tcPr>
          <w:p w14:paraId="33E40263" w14:textId="2358D32C" w:rsidR="00F937EF" w:rsidRPr="004B723C" w:rsidRDefault="00D45F56"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0" w:type="auto"/>
            <w:noWrap/>
            <w:vAlign w:val="center"/>
          </w:tcPr>
          <w:p w14:paraId="4D3C4EFB" w14:textId="10EF7D39" w:rsidR="00F937EF" w:rsidRPr="004B723C" w:rsidRDefault="00D45F56"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0" w:type="auto"/>
            <w:noWrap/>
            <w:vAlign w:val="center"/>
          </w:tcPr>
          <w:p w14:paraId="1DAEC3CF" w14:textId="4EA3A443"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357/2,197</w:t>
            </w:r>
          </w:p>
        </w:tc>
        <w:tc>
          <w:tcPr>
            <w:tcW w:w="0" w:type="auto"/>
            <w:noWrap/>
            <w:vAlign w:val="center"/>
          </w:tcPr>
          <w:p w14:paraId="549AA0C2" w14:textId="76E16CC9"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276/1,878</w:t>
            </w:r>
          </w:p>
        </w:tc>
        <w:tc>
          <w:tcPr>
            <w:tcW w:w="0" w:type="auto"/>
            <w:noWrap/>
            <w:vAlign w:val="center"/>
          </w:tcPr>
          <w:p w14:paraId="4B161408" w14:textId="3918FFC3" w:rsidR="00F937EF" w:rsidRPr="004B723C" w:rsidRDefault="00D45F56"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0" w:type="auto"/>
            <w:noWrap/>
            <w:vAlign w:val="center"/>
          </w:tcPr>
          <w:p w14:paraId="290B63C7" w14:textId="3F8EE1F2" w:rsidR="00F937EF" w:rsidRPr="004B723C" w:rsidRDefault="00D45F56"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r>
      <w:tr w:rsidR="00D53FD9" w:rsidRPr="004B723C" w14:paraId="7B39A9E3" w14:textId="77777777" w:rsidTr="00D33F55">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4DB20611" w14:textId="77777777" w:rsidR="00F937EF" w:rsidRPr="004B723C" w:rsidRDefault="00F937EF" w:rsidP="00F937EF">
            <w:pPr>
              <w:spacing w:line="360" w:lineRule="auto"/>
              <w:jc w:val="center"/>
              <w:rPr>
                <w:rFonts w:eastAsia="Times New Roman" w:cs="Times New Roman"/>
                <w:color w:val="000000"/>
                <w:sz w:val="18"/>
                <w:szCs w:val="18"/>
                <w:lang w:eastAsia="en-GB"/>
              </w:rPr>
            </w:pPr>
          </w:p>
        </w:tc>
        <w:tc>
          <w:tcPr>
            <w:tcW w:w="0" w:type="auto"/>
            <w:noWrap/>
            <w:vAlign w:val="center"/>
            <w:hideMark/>
          </w:tcPr>
          <w:p w14:paraId="419F9AD5" w14:textId="77777777"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Yes</w:t>
            </w:r>
          </w:p>
        </w:tc>
        <w:tc>
          <w:tcPr>
            <w:tcW w:w="0" w:type="auto"/>
            <w:noWrap/>
            <w:vAlign w:val="center"/>
          </w:tcPr>
          <w:p w14:paraId="2303C35C" w14:textId="677EE637"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0" w:type="auto"/>
            <w:noWrap/>
            <w:vAlign w:val="center"/>
          </w:tcPr>
          <w:p w14:paraId="626A5C10" w14:textId="0A52BC00"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81/319</w:t>
            </w:r>
          </w:p>
        </w:tc>
        <w:tc>
          <w:tcPr>
            <w:tcW w:w="0" w:type="auto"/>
            <w:noWrap/>
            <w:vAlign w:val="center"/>
          </w:tcPr>
          <w:p w14:paraId="255AC222" w14:textId="230314AF"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1.93 (1.51–2.48)</w:t>
            </w:r>
          </w:p>
        </w:tc>
        <w:tc>
          <w:tcPr>
            <w:tcW w:w="0" w:type="auto"/>
            <w:noWrap/>
            <w:vAlign w:val="center"/>
          </w:tcPr>
          <w:p w14:paraId="25D6508B" w14:textId="6FA944B8" w:rsidR="00F937EF" w:rsidRPr="004B723C" w:rsidRDefault="00D53FD9"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1.79 × 10</w:t>
            </w:r>
            <w:r w:rsidRPr="004B723C">
              <w:rPr>
                <w:rFonts w:cs="Times New Roman"/>
                <w:color w:val="000000"/>
                <w:sz w:val="18"/>
                <w:szCs w:val="18"/>
                <w:vertAlign w:val="superscript"/>
              </w:rPr>
              <w:t>-7</w:t>
            </w:r>
          </w:p>
        </w:tc>
        <w:tc>
          <w:tcPr>
            <w:tcW w:w="0" w:type="auto"/>
            <w:noWrap/>
            <w:vAlign w:val="center"/>
          </w:tcPr>
          <w:p w14:paraId="29DCB532" w14:textId="4BBE325E"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0" w:type="auto"/>
            <w:noWrap/>
            <w:vAlign w:val="center"/>
          </w:tcPr>
          <w:p w14:paraId="13200AB2" w14:textId="5A9F0CCC"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81/319</w:t>
            </w:r>
          </w:p>
        </w:tc>
        <w:tc>
          <w:tcPr>
            <w:tcW w:w="0" w:type="auto"/>
            <w:noWrap/>
            <w:vAlign w:val="center"/>
          </w:tcPr>
          <w:p w14:paraId="4F4705BC" w14:textId="22BAE758"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1.41 (1.07–1.87)</w:t>
            </w:r>
          </w:p>
        </w:tc>
        <w:tc>
          <w:tcPr>
            <w:tcW w:w="0" w:type="auto"/>
            <w:noWrap/>
            <w:vAlign w:val="center"/>
          </w:tcPr>
          <w:p w14:paraId="72B3EA8A" w14:textId="7749F0C2" w:rsidR="00F937EF" w:rsidRPr="004B723C" w:rsidRDefault="00F937EF" w:rsidP="00F937E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0.016</w:t>
            </w:r>
          </w:p>
        </w:tc>
      </w:tr>
    </w:tbl>
    <w:bookmarkEnd w:id="13"/>
    <w:p w14:paraId="2942EC60" w14:textId="3BFB9832" w:rsidR="00823032" w:rsidRPr="004B723C" w:rsidRDefault="00823032" w:rsidP="00823032">
      <w:pPr>
        <w:spacing w:before="240" w:line="360" w:lineRule="auto"/>
      </w:pPr>
      <w:r w:rsidRPr="004B723C">
        <w:lastRenderedPageBreak/>
        <w:t>Values are hazard ratios (HRs) with 95% confidence intervals (CIs) from univariable and multivariable time-dependent Cox proportional-hazards models. Total events and events per subgroup are presented as n/N, where n denotes the number of events and N the number of participants with non-missing data for the respective covariate. Multivariable models were adjusted for CMV serostatus, recipient age and sex, donor age and type (living, donation after circulatory death, donation after brain death), repeat transplantation, calendar year of transplantation, HLA mismatch, HLA-DSA status at transplantation, cold ischemia time, and transplant center.</w:t>
      </w:r>
    </w:p>
    <w:p w14:paraId="7B76F10B" w14:textId="144F2C24" w:rsidR="00823032" w:rsidRPr="004B723C" w:rsidRDefault="00823032" w:rsidP="00823032">
      <w:pPr>
        <w:spacing w:before="240" w:line="360" w:lineRule="auto"/>
      </w:pPr>
      <w:r w:rsidRPr="004B723C">
        <w:t xml:space="preserve">Abbreviations: CMV, cytomegalovirus; D, donor; DSA, donor-specific antibody; HLA, human leukocyte antigen; R, recipient; </w:t>
      </w:r>
      <w:r w:rsidR="00D45F56" w:rsidRPr="004B723C">
        <w:t>Ref.</w:t>
      </w:r>
      <w:r w:rsidRPr="004B723C">
        <w:t>, reference.</w:t>
      </w:r>
    </w:p>
    <w:p w14:paraId="50557C22" w14:textId="77777777" w:rsidR="00C54F11" w:rsidRPr="004B723C" w:rsidRDefault="00C54F11" w:rsidP="007F3A2D">
      <w:pPr>
        <w:spacing w:line="360" w:lineRule="auto"/>
      </w:pPr>
    </w:p>
    <w:p w14:paraId="35A5FC0B" w14:textId="48FE8DFD" w:rsidR="008F2DD5" w:rsidRPr="004B723C" w:rsidRDefault="008F2DD5" w:rsidP="007F3A2D">
      <w:pPr>
        <w:spacing w:line="360" w:lineRule="auto"/>
        <w:sectPr w:rsidR="008F2DD5" w:rsidRPr="004B723C" w:rsidSect="00380509">
          <w:pgSz w:w="16838" w:h="11906" w:orient="landscape"/>
          <w:pgMar w:top="1417" w:right="1417" w:bottom="1417" w:left="1417" w:header="708" w:footer="708" w:gutter="0"/>
          <w:cols w:space="708"/>
          <w:docGrid w:linePitch="360"/>
        </w:sectPr>
      </w:pPr>
    </w:p>
    <w:p w14:paraId="617C7C9A" w14:textId="33FC7708" w:rsidR="00485C56" w:rsidRPr="004B723C" w:rsidRDefault="00485C56" w:rsidP="00485C56">
      <w:pPr>
        <w:pStyle w:val="Heading2"/>
        <w:spacing w:line="360" w:lineRule="auto"/>
        <w:rPr>
          <w:rFonts w:cs="Times New Roman"/>
          <w:sz w:val="22"/>
          <w:szCs w:val="22"/>
        </w:rPr>
      </w:pPr>
      <w:r w:rsidRPr="004B723C">
        <w:rPr>
          <w:rFonts w:cs="Times New Roman"/>
          <w:sz w:val="22"/>
          <w:szCs w:val="22"/>
        </w:rPr>
        <w:lastRenderedPageBreak/>
        <w:t>Table S1</w:t>
      </w:r>
      <w:r w:rsidR="0096707E" w:rsidRPr="004B723C">
        <w:rPr>
          <w:rFonts w:cs="Times New Roman"/>
          <w:sz w:val="22"/>
          <w:szCs w:val="22"/>
        </w:rPr>
        <w:t>6</w:t>
      </w:r>
      <w:r w:rsidRPr="004B723C">
        <w:rPr>
          <w:rFonts w:cs="Times New Roman"/>
          <w:sz w:val="22"/>
          <w:szCs w:val="22"/>
        </w:rPr>
        <w:t xml:space="preserve">: </w:t>
      </w:r>
      <w:r w:rsidR="00053E4A" w:rsidRPr="004B723C">
        <w:rPr>
          <w:rFonts w:cs="Times New Roman"/>
          <w:sz w:val="22"/>
          <w:szCs w:val="22"/>
        </w:rPr>
        <w:t>Stratified time-dependent Cox proportional-hazards models of post-transplant CMV replication and first MVI, with interaction by recipient and donor serostatus</w:t>
      </w:r>
    </w:p>
    <w:tbl>
      <w:tblPr>
        <w:tblStyle w:val="Nature"/>
        <w:tblW w:w="0" w:type="auto"/>
        <w:jc w:val="center"/>
        <w:tblLook w:val="04A0" w:firstRow="1" w:lastRow="0" w:firstColumn="1" w:lastColumn="0" w:noHBand="0" w:noVBand="1"/>
      </w:tblPr>
      <w:tblGrid>
        <w:gridCol w:w="2386"/>
        <w:gridCol w:w="1861"/>
        <w:gridCol w:w="1041"/>
        <w:gridCol w:w="1372"/>
        <w:gridCol w:w="1506"/>
        <w:gridCol w:w="1003"/>
        <w:gridCol w:w="1032"/>
        <w:gridCol w:w="1340"/>
        <w:gridCol w:w="1457"/>
        <w:gridCol w:w="986"/>
      </w:tblGrid>
      <w:tr w:rsidR="006D1689" w:rsidRPr="004B723C" w14:paraId="52049E54" w14:textId="77777777" w:rsidTr="007F3A2D">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95BCCAD" w14:textId="77777777" w:rsidR="006D1689" w:rsidRPr="004B723C" w:rsidRDefault="006D1689" w:rsidP="0025243F">
            <w:pPr>
              <w:spacing w:line="360" w:lineRule="auto"/>
              <w:jc w:val="center"/>
              <w:rPr>
                <w:rFonts w:eastAsia="Times New Roman" w:cs="Times New Roman"/>
                <w:b/>
                <w:bCs/>
                <w:color w:val="000000"/>
                <w:sz w:val="18"/>
                <w:szCs w:val="18"/>
                <w:lang w:eastAsia="en-GB"/>
              </w:rPr>
            </w:pPr>
            <w:r w:rsidRPr="004B723C">
              <w:rPr>
                <w:rFonts w:eastAsia="Times New Roman" w:cs="Times New Roman"/>
                <w:b/>
                <w:bCs/>
                <w:color w:val="000000"/>
                <w:sz w:val="18"/>
                <w:szCs w:val="18"/>
                <w:lang w:eastAsia="en-GB"/>
              </w:rPr>
              <w:t>Stratum variable</w:t>
            </w:r>
          </w:p>
        </w:tc>
        <w:tc>
          <w:tcPr>
            <w:tcW w:w="0" w:type="auto"/>
            <w:noWrap/>
            <w:vAlign w:val="center"/>
            <w:hideMark/>
          </w:tcPr>
          <w:p w14:paraId="61C7D280" w14:textId="77777777" w:rsidR="006D1689" w:rsidRPr="004B723C" w:rsidRDefault="006D1689" w:rsidP="0025243F">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eastAsia="en-GB"/>
              </w:rPr>
            </w:pPr>
            <w:r w:rsidRPr="004B723C">
              <w:rPr>
                <w:rFonts w:eastAsia="Times New Roman" w:cs="Times New Roman"/>
                <w:b/>
                <w:bCs/>
                <w:color w:val="000000"/>
                <w:sz w:val="18"/>
                <w:szCs w:val="18"/>
                <w:lang w:eastAsia="en-GB"/>
              </w:rPr>
              <w:t>Stratum level</w:t>
            </w:r>
          </w:p>
        </w:tc>
        <w:tc>
          <w:tcPr>
            <w:tcW w:w="0" w:type="auto"/>
            <w:noWrap/>
            <w:vAlign w:val="center"/>
            <w:hideMark/>
          </w:tcPr>
          <w:p w14:paraId="49E3678B" w14:textId="77777777" w:rsidR="006D1689" w:rsidRPr="004B723C" w:rsidRDefault="006D1689" w:rsidP="0025243F">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eastAsia="en-GB"/>
              </w:rPr>
            </w:pPr>
            <w:r w:rsidRPr="004B723C">
              <w:rPr>
                <w:rFonts w:eastAsia="Times New Roman" w:cs="Times New Roman"/>
                <w:b/>
                <w:bCs/>
                <w:color w:val="000000"/>
                <w:sz w:val="18"/>
                <w:szCs w:val="18"/>
                <w:lang w:eastAsia="en-GB"/>
              </w:rPr>
              <w:t>Events/</w:t>
            </w:r>
            <w:r w:rsidRPr="004B723C">
              <w:rPr>
                <w:rFonts w:eastAsia="Times New Roman" w:cs="Times New Roman"/>
                <w:b/>
                <w:bCs/>
                <w:color w:val="000000"/>
                <w:sz w:val="18"/>
                <w:szCs w:val="18"/>
                <w:lang w:eastAsia="en-GB"/>
              </w:rPr>
              <w:br/>
              <w:t>N analyzed</w:t>
            </w:r>
          </w:p>
        </w:tc>
        <w:tc>
          <w:tcPr>
            <w:tcW w:w="0" w:type="auto"/>
            <w:noWrap/>
            <w:vAlign w:val="center"/>
            <w:hideMark/>
          </w:tcPr>
          <w:p w14:paraId="340820AE" w14:textId="77777777" w:rsidR="006D1689" w:rsidRPr="004B723C" w:rsidRDefault="006D1689" w:rsidP="0025243F">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eastAsia="en-GB"/>
              </w:rPr>
            </w:pPr>
            <w:r w:rsidRPr="004B723C">
              <w:rPr>
                <w:rFonts w:eastAsia="Times New Roman" w:cs="Times New Roman"/>
                <w:b/>
                <w:bCs/>
                <w:color w:val="000000"/>
                <w:sz w:val="18"/>
                <w:szCs w:val="18"/>
                <w:lang w:eastAsia="en-GB"/>
              </w:rPr>
              <w:t>Events (group)/</w:t>
            </w:r>
            <w:r w:rsidRPr="004B723C">
              <w:rPr>
                <w:rFonts w:eastAsia="Times New Roman" w:cs="Times New Roman"/>
                <w:b/>
                <w:bCs/>
                <w:color w:val="000000"/>
                <w:sz w:val="18"/>
                <w:szCs w:val="18"/>
                <w:lang w:eastAsia="en-GB"/>
              </w:rPr>
              <w:br/>
              <w:t>N (group)</w:t>
            </w:r>
          </w:p>
        </w:tc>
        <w:tc>
          <w:tcPr>
            <w:tcW w:w="0" w:type="auto"/>
            <w:noWrap/>
            <w:vAlign w:val="center"/>
            <w:hideMark/>
          </w:tcPr>
          <w:p w14:paraId="36DA7D3E" w14:textId="77777777" w:rsidR="006D1689" w:rsidRPr="004B723C" w:rsidRDefault="006D1689" w:rsidP="0025243F">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eastAsia="en-GB"/>
              </w:rPr>
            </w:pPr>
            <w:r w:rsidRPr="004B723C">
              <w:rPr>
                <w:rFonts w:eastAsia="Times New Roman" w:cs="Times New Roman"/>
                <w:b/>
                <w:bCs/>
                <w:color w:val="000000"/>
                <w:sz w:val="18"/>
                <w:szCs w:val="18"/>
                <w:lang w:eastAsia="en-GB"/>
              </w:rPr>
              <w:t>HR</w:t>
            </w:r>
            <w:r w:rsidRPr="004B723C">
              <w:rPr>
                <w:rFonts w:eastAsia="Times New Roman" w:cs="Times New Roman"/>
                <w:b/>
                <w:bCs/>
                <w:color w:val="000000"/>
                <w:sz w:val="18"/>
                <w:szCs w:val="18"/>
                <w:lang w:eastAsia="en-GB"/>
              </w:rPr>
              <w:br/>
              <w:t>(95% CI)</w:t>
            </w:r>
          </w:p>
        </w:tc>
        <w:tc>
          <w:tcPr>
            <w:tcW w:w="0" w:type="auto"/>
            <w:noWrap/>
            <w:vAlign w:val="center"/>
            <w:hideMark/>
          </w:tcPr>
          <w:p w14:paraId="770378AE" w14:textId="2A3F7A18" w:rsidR="006D1689" w:rsidRPr="004B723C" w:rsidRDefault="00AD0C4D" w:rsidP="0025243F">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eastAsia="en-GB"/>
              </w:rPr>
            </w:pPr>
            <w:r>
              <w:rPr>
                <w:rFonts w:eastAsia="Times New Roman" w:cs="Times New Roman"/>
                <w:b/>
                <w:bCs/>
                <w:color w:val="000000"/>
                <w:sz w:val="18"/>
                <w:szCs w:val="18"/>
                <w:lang w:eastAsia="en-GB"/>
              </w:rPr>
              <w:t>P</w:t>
            </w:r>
            <w:r w:rsidR="006D1689" w:rsidRPr="004B723C">
              <w:rPr>
                <w:rFonts w:eastAsia="Times New Roman" w:cs="Times New Roman"/>
                <w:b/>
                <w:bCs/>
                <w:color w:val="000000"/>
                <w:sz w:val="18"/>
                <w:szCs w:val="18"/>
                <w:lang w:eastAsia="en-GB"/>
              </w:rPr>
              <w:t xml:space="preserve"> value</w:t>
            </w:r>
          </w:p>
        </w:tc>
        <w:tc>
          <w:tcPr>
            <w:tcW w:w="0" w:type="auto"/>
            <w:vAlign w:val="center"/>
          </w:tcPr>
          <w:p w14:paraId="5B399E26" w14:textId="77777777" w:rsidR="006D1689" w:rsidRPr="004B723C" w:rsidRDefault="006D1689" w:rsidP="0025243F">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eastAsia="en-GB"/>
              </w:rPr>
            </w:pPr>
            <w:r w:rsidRPr="004B723C">
              <w:rPr>
                <w:rFonts w:eastAsia="Times New Roman" w:cs="Times New Roman"/>
                <w:b/>
                <w:bCs/>
                <w:color w:val="000000"/>
                <w:sz w:val="18"/>
                <w:szCs w:val="18"/>
                <w:lang w:eastAsia="en-GB"/>
              </w:rPr>
              <w:t>Events/</w:t>
            </w:r>
            <w:r w:rsidRPr="004B723C">
              <w:rPr>
                <w:rFonts w:eastAsia="Times New Roman" w:cs="Times New Roman"/>
                <w:b/>
                <w:bCs/>
                <w:color w:val="000000"/>
                <w:sz w:val="18"/>
                <w:szCs w:val="18"/>
                <w:lang w:eastAsia="en-GB"/>
              </w:rPr>
              <w:br/>
              <w:t>N analyzed</w:t>
            </w:r>
          </w:p>
        </w:tc>
        <w:tc>
          <w:tcPr>
            <w:tcW w:w="0" w:type="auto"/>
            <w:vAlign w:val="center"/>
          </w:tcPr>
          <w:p w14:paraId="4C750A38" w14:textId="77777777" w:rsidR="006D1689" w:rsidRPr="004B723C" w:rsidRDefault="006D1689" w:rsidP="0025243F">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eastAsia="en-GB"/>
              </w:rPr>
            </w:pPr>
            <w:r w:rsidRPr="004B723C">
              <w:rPr>
                <w:rFonts w:eastAsia="Times New Roman" w:cs="Times New Roman"/>
                <w:b/>
                <w:bCs/>
                <w:color w:val="000000"/>
                <w:sz w:val="18"/>
                <w:szCs w:val="18"/>
                <w:lang w:eastAsia="en-GB"/>
              </w:rPr>
              <w:t>Events (group)/</w:t>
            </w:r>
            <w:r w:rsidRPr="004B723C">
              <w:rPr>
                <w:rFonts w:eastAsia="Times New Roman" w:cs="Times New Roman"/>
                <w:b/>
                <w:bCs/>
                <w:color w:val="000000"/>
                <w:sz w:val="18"/>
                <w:szCs w:val="18"/>
                <w:lang w:eastAsia="en-GB"/>
              </w:rPr>
              <w:br/>
              <w:t>N (group)</w:t>
            </w:r>
          </w:p>
        </w:tc>
        <w:tc>
          <w:tcPr>
            <w:tcW w:w="0" w:type="auto"/>
            <w:vAlign w:val="center"/>
          </w:tcPr>
          <w:p w14:paraId="4115EE32" w14:textId="77777777" w:rsidR="006D1689" w:rsidRPr="004B723C" w:rsidRDefault="006D1689" w:rsidP="0025243F">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eastAsia="en-GB"/>
              </w:rPr>
            </w:pPr>
            <w:r w:rsidRPr="004B723C">
              <w:rPr>
                <w:rFonts w:eastAsia="Times New Roman" w:cs="Times New Roman"/>
                <w:b/>
                <w:bCs/>
                <w:color w:val="000000"/>
                <w:sz w:val="18"/>
                <w:szCs w:val="18"/>
                <w:lang w:eastAsia="en-GB"/>
              </w:rPr>
              <w:t>HR</w:t>
            </w:r>
            <w:r w:rsidRPr="004B723C">
              <w:rPr>
                <w:rFonts w:eastAsia="Times New Roman" w:cs="Times New Roman"/>
                <w:b/>
                <w:bCs/>
                <w:color w:val="000000"/>
                <w:sz w:val="18"/>
                <w:szCs w:val="18"/>
                <w:lang w:eastAsia="en-GB"/>
              </w:rPr>
              <w:br/>
              <w:t>(95% CI)</w:t>
            </w:r>
          </w:p>
        </w:tc>
        <w:tc>
          <w:tcPr>
            <w:tcW w:w="0" w:type="auto"/>
            <w:vAlign w:val="center"/>
          </w:tcPr>
          <w:p w14:paraId="015FC491" w14:textId="6D9A8E85" w:rsidR="006D1689" w:rsidRPr="004B723C" w:rsidRDefault="00AD0C4D" w:rsidP="0025243F">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eastAsia="en-GB"/>
              </w:rPr>
            </w:pPr>
            <w:r>
              <w:rPr>
                <w:rFonts w:eastAsia="Times New Roman" w:cs="Times New Roman"/>
                <w:b/>
                <w:bCs/>
                <w:color w:val="000000"/>
                <w:sz w:val="18"/>
                <w:szCs w:val="18"/>
                <w:lang w:eastAsia="en-GB"/>
              </w:rPr>
              <w:t>P</w:t>
            </w:r>
            <w:r w:rsidR="006D1689" w:rsidRPr="004B723C">
              <w:rPr>
                <w:rFonts w:eastAsia="Times New Roman" w:cs="Times New Roman"/>
                <w:b/>
                <w:bCs/>
                <w:color w:val="000000"/>
                <w:sz w:val="18"/>
                <w:szCs w:val="18"/>
                <w:lang w:eastAsia="en-GB"/>
              </w:rPr>
              <w:t xml:space="preserve"> value</w:t>
            </w:r>
          </w:p>
        </w:tc>
      </w:tr>
      <w:tr w:rsidR="006D1689" w:rsidRPr="004B723C" w14:paraId="5C7F11A5" w14:textId="77777777" w:rsidTr="007F3A2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163AEA71" w14:textId="77777777" w:rsidR="006D1689" w:rsidRPr="004B723C" w:rsidRDefault="006D1689" w:rsidP="0025243F">
            <w:pPr>
              <w:spacing w:line="360" w:lineRule="auto"/>
              <w:jc w:val="center"/>
              <w:rPr>
                <w:rFonts w:eastAsia="Times New Roman" w:cs="Times New Roman"/>
                <w:b/>
                <w:bCs/>
                <w:color w:val="000000"/>
                <w:sz w:val="18"/>
                <w:szCs w:val="18"/>
                <w:lang w:eastAsia="en-GB"/>
              </w:rPr>
            </w:pPr>
          </w:p>
        </w:tc>
        <w:tc>
          <w:tcPr>
            <w:tcW w:w="0" w:type="auto"/>
            <w:noWrap/>
            <w:vAlign w:val="center"/>
          </w:tcPr>
          <w:p w14:paraId="6D409B88" w14:textId="77777777" w:rsidR="006D1689" w:rsidRPr="004B723C" w:rsidRDefault="006D1689"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eastAsia="en-GB"/>
              </w:rPr>
            </w:pPr>
          </w:p>
        </w:tc>
        <w:tc>
          <w:tcPr>
            <w:tcW w:w="0" w:type="auto"/>
            <w:gridSpan w:val="4"/>
            <w:noWrap/>
            <w:vAlign w:val="center"/>
          </w:tcPr>
          <w:p w14:paraId="629BB03B" w14:textId="77777777" w:rsidR="006D1689" w:rsidRPr="004B723C" w:rsidRDefault="006D1689"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eastAsia="en-GB"/>
              </w:rPr>
            </w:pPr>
            <w:r w:rsidRPr="004B723C">
              <w:rPr>
                <w:rFonts w:eastAsia="Times New Roman" w:cs="Times New Roman"/>
                <w:b/>
                <w:bCs/>
                <w:color w:val="000000"/>
                <w:sz w:val="18"/>
                <w:szCs w:val="18"/>
                <w:lang w:eastAsia="en-GB"/>
              </w:rPr>
              <w:t>UNIVARIABLE ANALYSIS</w:t>
            </w:r>
          </w:p>
        </w:tc>
        <w:tc>
          <w:tcPr>
            <w:tcW w:w="0" w:type="auto"/>
            <w:gridSpan w:val="4"/>
            <w:vAlign w:val="center"/>
          </w:tcPr>
          <w:p w14:paraId="09C4C325" w14:textId="77777777" w:rsidR="006D1689" w:rsidRPr="004B723C" w:rsidRDefault="006D1689"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eastAsia="en-GB"/>
              </w:rPr>
            </w:pPr>
            <w:r w:rsidRPr="004B723C">
              <w:rPr>
                <w:rFonts w:eastAsia="Times New Roman" w:cs="Times New Roman"/>
                <w:b/>
                <w:bCs/>
                <w:color w:val="000000"/>
                <w:sz w:val="18"/>
                <w:szCs w:val="18"/>
                <w:lang w:eastAsia="en-GB"/>
              </w:rPr>
              <w:t>MULTIVARIABLE ANALYSIS</w:t>
            </w:r>
          </w:p>
        </w:tc>
      </w:tr>
      <w:tr w:rsidR="006D1689" w:rsidRPr="004B723C" w14:paraId="0D2E441B" w14:textId="77777777" w:rsidTr="007F3A2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1D4D16B" w14:textId="77777777" w:rsidR="006D1689" w:rsidRPr="004B723C" w:rsidRDefault="006D1689" w:rsidP="007F3A2D">
            <w:pPr>
              <w:spacing w:line="360" w:lineRule="auto"/>
              <w:jc w:val="center"/>
              <w:rPr>
                <w:rFonts w:eastAsia="Times New Roman" w:cs="Times New Roman"/>
                <w:color w:val="000000"/>
                <w:sz w:val="18"/>
                <w:szCs w:val="18"/>
                <w:lang w:eastAsia="en-GB"/>
              </w:rPr>
            </w:pPr>
            <w:r w:rsidRPr="004B723C">
              <w:rPr>
                <w:rFonts w:eastAsia="Times New Roman" w:cs="Times New Roman"/>
                <w:color w:val="000000"/>
                <w:sz w:val="18"/>
                <w:szCs w:val="18"/>
                <w:lang w:eastAsia="en-GB"/>
              </w:rPr>
              <w:t>Recipient CMV seropositivity</w:t>
            </w:r>
          </w:p>
        </w:tc>
        <w:tc>
          <w:tcPr>
            <w:tcW w:w="0" w:type="auto"/>
            <w:noWrap/>
            <w:vAlign w:val="center"/>
          </w:tcPr>
          <w:p w14:paraId="2C72AD9F" w14:textId="77777777" w:rsidR="006D1689" w:rsidRPr="004B723C" w:rsidRDefault="006D1689" w:rsidP="006C584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Recipient seronegative</w:t>
            </w:r>
          </w:p>
        </w:tc>
        <w:tc>
          <w:tcPr>
            <w:tcW w:w="0" w:type="auto"/>
            <w:noWrap/>
            <w:vAlign w:val="center"/>
          </w:tcPr>
          <w:p w14:paraId="467B65A2" w14:textId="77777777" w:rsidR="006D1689" w:rsidRPr="004B723C" w:rsidRDefault="006D1689" w:rsidP="006C584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128/1017</w:t>
            </w:r>
          </w:p>
        </w:tc>
        <w:tc>
          <w:tcPr>
            <w:tcW w:w="0" w:type="auto"/>
            <w:noWrap/>
            <w:vAlign w:val="center"/>
          </w:tcPr>
          <w:p w14:paraId="06F6CC86" w14:textId="77777777" w:rsidR="006D1689" w:rsidRPr="004B723C" w:rsidRDefault="006D1689" w:rsidP="006C584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27/202</w:t>
            </w:r>
          </w:p>
        </w:tc>
        <w:tc>
          <w:tcPr>
            <w:tcW w:w="0" w:type="auto"/>
            <w:noWrap/>
            <w:vAlign w:val="center"/>
          </w:tcPr>
          <w:p w14:paraId="4510EDE5" w14:textId="77777777" w:rsidR="006D1689" w:rsidRPr="004B723C" w:rsidRDefault="006D1689" w:rsidP="006C584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3.12 (1.91–5.08)</w:t>
            </w:r>
          </w:p>
        </w:tc>
        <w:tc>
          <w:tcPr>
            <w:tcW w:w="0" w:type="auto"/>
            <w:noWrap/>
            <w:vAlign w:val="center"/>
          </w:tcPr>
          <w:p w14:paraId="35835364" w14:textId="0C0C52A9" w:rsidR="006D1689" w:rsidRPr="004B723C" w:rsidRDefault="00D53FD9" w:rsidP="006C584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5.32 × 10</w:t>
            </w:r>
            <w:r w:rsidRPr="004B723C">
              <w:rPr>
                <w:rFonts w:cs="Times New Roman"/>
                <w:color w:val="000000"/>
                <w:sz w:val="18"/>
                <w:szCs w:val="18"/>
                <w:vertAlign w:val="superscript"/>
              </w:rPr>
              <w:t>-6</w:t>
            </w:r>
          </w:p>
        </w:tc>
        <w:tc>
          <w:tcPr>
            <w:tcW w:w="0" w:type="auto"/>
            <w:vAlign w:val="center"/>
          </w:tcPr>
          <w:p w14:paraId="0A22FE12" w14:textId="77777777" w:rsidR="006D1689" w:rsidRPr="004B723C" w:rsidRDefault="006D1689" w:rsidP="006C5845">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127/1016</w:t>
            </w:r>
          </w:p>
        </w:tc>
        <w:tc>
          <w:tcPr>
            <w:tcW w:w="0" w:type="auto"/>
            <w:vAlign w:val="center"/>
          </w:tcPr>
          <w:p w14:paraId="7B79AABD" w14:textId="77777777" w:rsidR="006D1689" w:rsidRPr="004B723C" w:rsidRDefault="006D1689" w:rsidP="007F3A2D">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eastAsia="Times New Roman" w:cs="Times New Roman"/>
                <w:color w:val="000000"/>
                <w:sz w:val="18"/>
                <w:szCs w:val="18"/>
                <w:lang w:eastAsia="en-GB"/>
              </w:rPr>
              <w:t>27/202</w:t>
            </w:r>
          </w:p>
        </w:tc>
        <w:tc>
          <w:tcPr>
            <w:tcW w:w="0" w:type="auto"/>
            <w:vAlign w:val="center"/>
          </w:tcPr>
          <w:p w14:paraId="05980954" w14:textId="77777777" w:rsidR="006D1689" w:rsidRPr="004B723C" w:rsidRDefault="006D1689" w:rsidP="006C5845">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2.31 (1.32–4.03)</w:t>
            </w:r>
          </w:p>
        </w:tc>
        <w:tc>
          <w:tcPr>
            <w:tcW w:w="0" w:type="auto"/>
            <w:vAlign w:val="center"/>
          </w:tcPr>
          <w:p w14:paraId="34AA87F3" w14:textId="77777777" w:rsidR="006D1689" w:rsidRPr="004B723C" w:rsidRDefault="006D1689" w:rsidP="006C5845">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0.0034</w:t>
            </w:r>
          </w:p>
        </w:tc>
      </w:tr>
      <w:tr w:rsidR="006D1689" w:rsidRPr="004B723C" w14:paraId="53007866" w14:textId="77777777" w:rsidTr="007F3A2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42F77695" w14:textId="77777777" w:rsidR="006D1689" w:rsidRPr="004B723C" w:rsidRDefault="006D1689" w:rsidP="007F3A2D">
            <w:pPr>
              <w:spacing w:line="360" w:lineRule="auto"/>
              <w:jc w:val="center"/>
              <w:rPr>
                <w:rFonts w:eastAsia="Times New Roman" w:cs="Times New Roman"/>
                <w:color w:val="000000"/>
                <w:sz w:val="18"/>
                <w:szCs w:val="18"/>
                <w:lang w:eastAsia="en-GB"/>
              </w:rPr>
            </w:pPr>
          </w:p>
        </w:tc>
        <w:tc>
          <w:tcPr>
            <w:tcW w:w="0" w:type="auto"/>
            <w:noWrap/>
            <w:vAlign w:val="center"/>
          </w:tcPr>
          <w:p w14:paraId="2A8D0381" w14:textId="77777777" w:rsidR="006D1689" w:rsidRPr="004B723C" w:rsidRDefault="006D1689" w:rsidP="006C584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Recipient seropositive</w:t>
            </w:r>
          </w:p>
        </w:tc>
        <w:tc>
          <w:tcPr>
            <w:tcW w:w="0" w:type="auto"/>
            <w:noWrap/>
            <w:vAlign w:val="center"/>
          </w:tcPr>
          <w:p w14:paraId="7ECC2960" w14:textId="77777777" w:rsidR="006D1689" w:rsidRPr="004B723C" w:rsidRDefault="006D1689" w:rsidP="006C584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230/1181</w:t>
            </w:r>
          </w:p>
        </w:tc>
        <w:tc>
          <w:tcPr>
            <w:tcW w:w="0" w:type="auto"/>
            <w:noWrap/>
            <w:vAlign w:val="center"/>
          </w:tcPr>
          <w:p w14:paraId="795C4CF2" w14:textId="77777777" w:rsidR="006D1689" w:rsidRPr="004B723C" w:rsidRDefault="006D1689" w:rsidP="006C584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22/309</w:t>
            </w:r>
          </w:p>
        </w:tc>
        <w:tc>
          <w:tcPr>
            <w:tcW w:w="0" w:type="auto"/>
            <w:noWrap/>
            <w:vAlign w:val="center"/>
          </w:tcPr>
          <w:p w14:paraId="6500D088" w14:textId="77777777" w:rsidR="006D1689" w:rsidRPr="004B723C" w:rsidRDefault="006D1689" w:rsidP="006C584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0.63 (0.40–1.00)</w:t>
            </w:r>
          </w:p>
        </w:tc>
        <w:tc>
          <w:tcPr>
            <w:tcW w:w="0" w:type="auto"/>
            <w:noWrap/>
            <w:vAlign w:val="center"/>
          </w:tcPr>
          <w:p w14:paraId="6B4CCB8B" w14:textId="77777777" w:rsidR="006D1689" w:rsidRPr="004B723C" w:rsidRDefault="006D1689" w:rsidP="006C584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0.048</w:t>
            </w:r>
          </w:p>
        </w:tc>
        <w:tc>
          <w:tcPr>
            <w:tcW w:w="0" w:type="auto"/>
            <w:vAlign w:val="center"/>
          </w:tcPr>
          <w:p w14:paraId="7C29810A" w14:textId="77777777" w:rsidR="006D1689" w:rsidRPr="004B723C" w:rsidRDefault="006D1689" w:rsidP="006C5845">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230/1181</w:t>
            </w:r>
          </w:p>
        </w:tc>
        <w:tc>
          <w:tcPr>
            <w:tcW w:w="0" w:type="auto"/>
            <w:vAlign w:val="center"/>
          </w:tcPr>
          <w:p w14:paraId="5F484C0D" w14:textId="77777777" w:rsidR="006D1689" w:rsidRPr="004B723C" w:rsidRDefault="006D1689" w:rsidP="006C5845">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eastAsia="Times New Roman" w:cs="Times New Roman"/>
                <w:color w:val="000000"/>
                <w:sz w:val="18"/>
                <w:szCs w:val="18"/>
                <w:lang w:eastAsia="en-GB"/>
              </w:rPr>
              <w:t>22/309</w:t>
            </w:r>
          </w:p>
        </w:tc>
        <w:tc>
          <w:tcPr>
            <w:tcW w:w="0" w:type="auto"/>
            <w:vAlign w:val="center"/>
          </w:tcPr>
          <w:p w14:paraId="739A6C75" w14:textId="77777777" w:rsidR="006D1689" w:rsidRPr="004B723C" w:rsidRDefault="006D1689" w:rsidP="006C5845">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0.74 (0.46–1.18)</w:t>
            </w:r>
          </w:p>
        </w:tc>
        <w:tc>
          <w:tcPr>
            <w:tcW w:w="0" w:type="auto"/>
            <w:vAlign w:val="center"/>
          </w:tcPr>
          <w:p w14:paraId="063FA743" w14:textId="77777777" w:rsidR="006D1689" w:rsidRPr="004B723C" w:rsidRDefault="006D1689" w:rsidP="006C5845">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0.21</w:t>
            </w:r>
          </w:p>
        </w:tc>
      </w:tr>
      <w:tr w:rsidR="004E1D9A" w:rsidRPr="004B723C" w14:paraId="1B1C7E8D" w14:textId="77777777" w:rsidTr="00CC38D1">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gridSpan w:val="2"/>
            <w:noWrap/>
            <w:vAlign w:val="center"/>
          </w:tcPr>
          <w:p w14:paraId="30AE2F3B" w14:textId="68442C69" w:rsidR="004E1D9A" w:rsidRPr="004B723C" w:rsidDel="00D41BA7" w:rsidRDefault="004E1D9A" w:rsidP="006C5845">
            <w:pPr>
              <w:spacing w:line="360" w:lineRule="auto"/>
              <w:jc w:val="center"/>
              <w:rPr>
                <w:rFonts w:cs="Times New Roman"/>
                <w:color w:val="000000"/>
                <w:sz w:val="18"/>
                <w:szCs w:val="18"/>
              </w:rPr>
            </w:pPr>
            <w:r w:rsidRPr="004B723C">
              <w:rPr>
                <w:rFonts w:cs="Times New Roman"/>
                <w:color w:val="000000"/>
                <w:sz w:val="18"/>
                <w:szCs w:val="18"/>
              </w:rPr>
              <w:t>Interaction (CMV replication × recipient serostatus)</w:t>
            </w:r>
          </w:p>
        </w:tc>
        <w:tc>
          <w:tcPr>
            <w:tcW w:w="0" w:type="auto"/>
            <w:noWrap/>
            <w:vAlign w:val="center"/>
          </w:tcPr>
          <w:p w14:paraId="2556B9DC" w14:textId="77777777" w:rsidR="004E1D9A" w:rsidRPr="004B723C" w:rsidRDefault="004E1D9A" w:rsidP="006C5845">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358/2198</w:t>
            </w:r>
          </w:p>
        </w:tc>
        <w:tc>
          <w:tcPr>
            <w:tcW w:w="0" w:type="auto"/>
            <w:noWrap/>
            <w:vAlign w:val="center"/>
          </w:tcPr>
          <w:p w14:paraId="0B24F515" w14:textId="77777777" w:rsidR="004E1D9A" w:rsidRPr="004B723C" w:rsidRDefault="004E1D9A" w:rsidP="006C5845">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w:t>
            </w:r>
          </w:p>
        </w:tc>
        <w:tc>
          <w:tcPr>
            <w:tcW w:w="0" w:type="auto"/>
            <w:noWrap/>
            <w:vAlign w:val="center"/>
          </w:tcPr>
          <w:p w14:paraId="23DAD709" w14:textId="636EA491" w:rsidR="004E1D9A" w:rsidRPr="004B723C" w:rsidRDefault="004E1D9A" w:rsidP="006C5845">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0.22 (0.12–0.41)</w:t>
            </w:r>
          </w:p>
        </w:tc>
        <w:tc>
          <w:tcPr>
            <w:tcW w:w="0" w:type="auto"/>
            <w:noWrap/>
            <w:vAlign w:val="center"/>
          </w:tcPr>
          <w:p w14:paraId="1D7834C9" w14:textId="3E645C49" w:rsidR="004E1D9A" w:rsidRPr="004B723C" w:rsidRDefault="004E1D9A" w:rsidP="006C5845">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1.78 × 10</w:t>
            </w:r>
            <w:r w:rsidRPr="004B723C">
              <w:rPr>
                <w:rFonts w:cs="Times New Roman"/>
                <w:color w:val="000000"/>
                <w:sz w:val="18"/>
                <w:szCs w:val="18"/>
                <w:vertAlign w:val="superscript"/>
              </w:rPr>
              <w:t>-6</w:t>
            </w:r>
          </w:p>
        </w:tc>
        <w:tc>
          <w:tcPr>
            <w:tcW w:w="0" w:type="auto"/>
            <w:vAlign w:val="center"/>
          </w:tcPr>
          <w:p w14:paraId="278DC58F" w14:textId="77777777" w:rsidR="004E1D9A" w:rsidRPr="004B723C" w:rsidRDefault="004E1D9A" w:rsidP="006C5845">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357/2197</w:t>
            </w:r>
          </w:p>
        </w:tc>
        <w:tc>
          <w:tcPr>
            <w:tcW w:w="0" w:type="auto"/>
            <w:vAlign w:val="center"/>
          </w:tcPr>
          <w:p w14:paraId="04E0BDD1" w14:textId="77777777" w:rsidR="004E1D9A" w:rsidRPr="004B723C" w:rsidRDefault="004E1D9A" w:rsidP="006C5845">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w:t>
            </w:r>
          </w:p>
        </w:tc>
        <w:tc>
          <w:tcPr>
            <w:tcW w:w="0" w:type="auto"/>
            <w:vAlign w:val="center"/>
          </w:tcPr>
          <w:p w14:paraId="3CDEBD9D" w14:textId="36223B8C" w:rsidR="004E1D9A" w:rsidRPr="004B723C" w:rsidRDefault="004E1D9A" w:rsidP="006C5845">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0.30 (0.16–0.56)</w:t>
            </w:r>
          </w:p>
        </w:tc>
        <w:tc>
          <w:tcPr>
            <w:tcW w:w="0" w:type="auto"/>
            <w:vAlign w:val="center"/>
          </w:tcPr>
          <w:p w14:paraId="481CFCD6" w14:textId="2403FA35" w:rsidR="004E1D9A" w:rsidRPr="004B723C" w:rsidRDefault="004E1D9A" w:rsidP="006C5845">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1.48 × 10</w:t>
            </w:r>
            <w:r w:rsidRPr="004B723C">
              <w:rPr>
                <w:rFonts w:cs="Times New Roman"/>
                <w:color w:val="000000"/>
                <w:sz w:val="18"/>
                <w:szCs w:val="18"/>
                <w:vertAlign w:val="superscript"/>
              </w:rPr>
              <w:t>-4</w:t>
            </w:r>
          </w:p>
        </w:tc>
      </w:tr>
      <w:tr w:rsidR="006D1689" w:rsidRPr="004B723C" w14:paraId="00198544" w14:textId="77777777" w:rsidTr="007F3A2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2F2FB4C6" w14:textId="77777777" w:rsidR="006D1689" w:rsidRPr="004B723C" w:rsidRDefault="006D1689" w:rsidP="007F3A2D">
            <w:pPr>
              <w:spacing w:line="360" w:lineRule="auto"/>
              <w:jc w:val="center"/>
              <w:rPr>
                <w:rFonts w:eastAsia="Times New Roman" w:cs="Times New Roman"/>
                <w:color w:val="000000"/>
                <w:sz w:val="18"/>
                <w:szCs w:val="18"/>
                <w:lang w:eastAsia="en-GB"/>
              </w:rPr>
            </w:pPr>
            <w:r w:rsidRPr="004B723C">
              <w:rPr>
                <w:rFonts w:eastAsia="Times New Roman" w:cs="Times New Roman"/>
                <w:color w:val="000000"/>
                <w:sz w:val="18"/>
                <w:szCs w:val="18"/>
                <w:lang w:eastAsia="en-GB"/>
              </w:rPr>
              <w:t>Donor CMV seropositivity</w:t>
            </w:r>
          </w:p>
        </w:tc>
        <w:tc>
          <w:tcPr>
            <w:tcW w:w="0" w:type="auto"/>
            <w:noWrap/>
            <w:vAlign w:val="center"/>
          </w:tcPr>
          <w:p w14:paraId="5436E9B1" w14:textId="77777777" w:rsidR="006D1689" w:rsidRPr="004B723C" w:rsidRDefault="006D1689" w:rsidP="006C584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Donor seronegative</w:t>
            </w:r>
          </w:p>
        </w:tc>
        <w:tc>
          <w:tcPr>
            <w:tcW w:w="0" w:type="auto"/>
            <w:noWrap/>
            <w:vAlign w:val="center"/>
          </w:tcPr>
          <w:p w14:paraId="59B01C5E" w14:textId="77777777" w:rsidR="006D1689" w:rsidRPr="004B723C" w:rsidRDefault="006D1689" w:rsidP="006C584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178/1169</w:t>
            </w:r>
          </w:p>
        </w:tc>
        <w:tc>
          <w:tcPr>
            <w:tcW w:w="0" w:type="auto"/>
            <w:noWrap/>
            <w:vAlign w:val="center"/>
          </w:tcPr>
          <w:p w14:paraId="543D1FA8" w14:textId="77777777" w:rsidR="006D1689" w:rsidRPr="004B723C" w:rsidRDefault="006D1689" w:rsidP="006C584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12/141</w:t>
            </w:r>
          </w:p>
        </w:tc>
        <w:tc>
          <w:tcPr>
            <w:tcW w:w="0" w:type="auto"/>
            <w:noWrap/>
            <w:vAlign w:val="center"/>
          </w:tcPr>
          <w:p w14:paraId="47F4643F" w14:textId="77777777" w:rsidR="006D1689" w:rsidRPr="004B723C" w:rsidRDefault="006D1689" w:rsidP="006C5845">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1.18 (0.65–2.16)</w:t>
            </w:r>
          </w:p>
        </w:tc>
        <w:tc>
          <w:tcPr>
            <w:tcW w:w="0" w:type="auto"/>
            <w:noWrap/>
            <w:vAlign w:val="center"/>
          </w:tcPr>
          <w:p w14:paraId="05B6942A" w14:textId="77777777" w:rsidR="006D1689" w:rsidRPr="004B723C" w:rsidRDefault="006D1689" w:rsidP="006C5845">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0.58</w:t>
            </w:r>
          </w:p>
        </w:tc>
        <w:tc>
          <w:tcPr>
            <w:tcW w:w="0" w:type="auto"/>
            <w:vAlign w:val="center"/>
          </w:tcPr>
          <w:p w14:paraId="485EC97A" w14:textId="77777777" w:rsidR="006D1689" w:rsidRPr="004B723C" w:rsidRDefault="006D1689" w:rsidP="006C584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178/1169</w:t>
            </w:r>
          </w:p>
        </w:tc>
        <w:tc>
          <w:tcPr>
            <w:tcW w:w="0" w:type="auto"/>
            <w:vAlign w:val="center"/>
          </w:tcPr>
          <w:p w14:paraId="77642C54" w14:textId="77777777" w:rsidR="006D1689" w:rsidRPr="004B723C" w:rsidRDefault="006D1689" w:rsidP="006C584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12/141</w:t>
            </w:r>
          </w:p>
        </w:tc>
        <w:tc>
          <w:tcPr>
            <w:tcW w:w="0" w:type="auto"/>
            <w:vAlign w:val="center"/>
          </w:tcPr>
          <w:p w14:paraId="590578A4" w14:textId="77777777" w:rsidR="006D1689" w:rsidRPr="004B723C" w:rsidRDefault="006D1689" w:rsidP="006C5845">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0.97 (0.52–1.82)</w:t>
            </w:r>
          </w:p>
        </w:tc>
        <w:tc>
          <w:tcPr>
            <w:tcW w:w="0" w:type="auto"/>
            <w:vAlign w:val="center"/>
          </w:tcPr>
          <w:p w14:paraId="41F21B99" w14:textId="77777777" w:rsidR="006D1689" w:rsidRPr="004B723C" w:rsidRDefault="006D1689" w:rsidP="006C5845">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0.93</w:t>
            </w:r>
          </w:p>
        </w:tc>
      </w:tr>
      <w:tr w:rsidR="006D1689" w:rsidRPr="004B723C" w14:paraId="25BF6F56" w14:textId="77777777" w:rsidTr="007F3A2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6E1A3C85" w14:textId="77777777" w:rsidR="006D1689" w:rsidRPr="004B723C" w:rsidRDefault="006D1689" w:rsidP="007F3A2D">
            <w:pPr>
              <w:spacing w:line="360" w:lineRule="auto"/>
              <w:jc w:val="center"/>
              <w:rPr>
                <w:rFonts w:eastAsia="Times New Roman" w:cs="Times New Roman"/>
                <w:color w:val="000000"/>
                <w:sz w:val="18"/>
                <w:szCs w:val="18"/>
                <w:lang w:eastAsia="en-GB"/>
              </w:rPr>
            </w:pPr>
          </w:p>
        </w:tc>
        <w:tc>
          <w:tcPr>
            <w:tcW w:w="0" w:type="auto"/>
            <w:noWrap/>
            <w:vAlign w:val="center"/>
          </w:tcPr>
          <w:p w14:paraId="7F90AAB5" w14:textId="77777777" w:rsidR="006D1689" w:rsidRPr="004B723C" w:rsidRDefault="006D1689" w:rsidP="006C584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Donor seropositive</w:t>
            </w:r>
          </w:p>
        </w:tc>
        <w:tc>
          <w:tcPr>
            <w:tcW w:w="0" w:type="auto"/>
            <w:noWrap/>
            <w:vAlign w:val="center"/>
          </w:tcPr>
          <w:p w14:paraId="6BF1DB0F" w14:textId="77777777" w:rsidR="006D1689" w:rsidRPr="004B723C" w:rsidRDefault="006D1689" w:rsidP="006C584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180/1029</w:t>
            </w:r>
          </w:p>
        </w:tc>
        <w:tc>
          <w:tcPr>
            <w:tcW w:w="0" w:type="auto"/>
            <w:noWrap/>
            <w:vAlign w:val="center"/>
          </w:tcPr>
          <w:p w14:paraId="386DD1A6" w14:textId="77777777" w:rsidR="006D1689" w:rsidRPr="004B723C" w:rsidRDefault="006D1689" w:rsidP="006C584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37/370</w:t>
            </w:r>
          </w:p>
        </w:tc>
        <w:tc>
          <w:tcPr>
            <w:tcW w:w="0" w:type="auto"/>
            <w:noWrap/>
            <w:vAlign w:val="center"/>
          </w:tcPr>
          <w:p w14:paraId="6810A93D" w14:textId="77777777" w:rsidR="006D1689" w:rsidRPr="004B723C" w:rsidRDefault="006D1689" w:rsidP="006C5845">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1.14 (0.75–1.72)</w:t>
            </w:r>
          </w:p>
        </w:tc>
        <w:tc>
          <w:tcPr>
            <w:tcW w:w="0" w:type="auto"/>
            <w:noWrap/>
            <w:vAlign w:val="center"/>
          </w:tcPr>
          <w:p w14:paraId="6239847E" w14:textId="77777777" w:rsidR="006D1689" w:rsidRPr="004B723C" w:rsidRDefault="006D1689" w:rsidP="006C5845">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0.53</w:t>
            </w:r>
          </w:p>
        </w:tc>
        <w:tc>
          <w:tcPr>
            <w:tcW w:w="0" w:type="auto"/>
            <w:vAlign w:val="center"/>
          </w:tcPr>
          <w:p w14:paraId="539CAEDD" w14:textId="77777777" w:rsidR="006D1689" w:rsidRPr="004B723C" w:rsidRDefault="006D1689" w:rsidP="006C584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179/1028</w:t>
            </w:r>
          </w:p>
        </w:tc>
        <w:tc>
          <w:tcPr>
            <w:tcW w:w="0" w:type="auto"/>
            <w:vAlign w:val="center"/>
          </w:tcPr>
          <w:p w14:paraId="3CED2D00" w14:textId="77777777" w:rsidR="006D1689" w:rsidRPr="004B723C" w:rsidRDefault="006D1689" w:rsidP="006C584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37/370</w:t>
            </w:r>
          </w:p>
        </w:tc>
        <w:tc>
          <w:tcPr>
            <w:tcW w:w="0" w:type="auto"/>
            <w:vAlign w:val="center"/>
          </w:tcPr>
          <w:p w14:paraId="71E4353C" w14:textId="77777777" w:rsidR="006D1689" w:rsidRPr="004B723C" w:rsidRDefault="006D1689" w:rsidP="006C5845">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1.26 (0.82–1.92)</w:t>
            </w:r>
          </w:p>
        </w:tc>
        <w:tc>
          <w:tcPr>
            <w:tcW w:w="0" w:type="auto"/>
            <w:vAlign w:val="center"/>
          </w:tcPr>
          <w:p w14:paraId="5ADB2FA3" w14:textId="77777777" w:rsidR="006D1689" w:rsidRPr="004B723C" w:rsidRDefault="006D1689" w:rsidP="006C584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0.29</w:t>
            </w:r>
          </w:p>
        </w:tc>
      </w:tr>
      <w:tr w:rsidR="004E1D9A" w:rsidRPr="004B723C" w14:paraId="69BA377A" w14:textId="77777777" w:rsidTr="007B32A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gridSpan w:val="2"/>
            <w:noWrap/>
            <w:vAlign w:val="center"/>
          </w:tcPr>
          <w:p w14:paraId="0B1E10D1" w14:textId="59EE7992" w:rsidR="004E1D9A" w:rsidRPr="004B723C" w:rsidDel="00D41BA7" w:rsidRDefault="004E1D9A" w:rsidP="006C5845">
            <w:pPr>
              <w:spacing w:line="360" w:lineRule="auto"/>
              <w:jc w:val="center"/>
              <w:rPr>
                <w:rFonts w:cs="Times New Roman"/>
                <w:color w:val="000000"/>
                <w:sz w:val="18"/>
                <w:szCs w:val="18"/>
              </w:rPr>
            </w:pPr>
            <w:r w:rsidRPr="004B723C">
              <w:rPr>
                <w:rFonts w:cs="Times New Roman"/>
                <w:color w:val="000000"/>
                <w:sz w:val="18"/>
                <w:szCs w:val="18"/>
              </w:rPr>
              <w:t>Interaction (CMV replication × donor serostatus)</w:t>
            </w:r>
          </w:p>
        </w:tc>
        <w:tc>
          <w:tcPr>
            <w:tcW w:w="0" w:type="auto"/>
            <w:noWrap/>
            <w:vAlign w:val="center"/>
          </w:tcPr>
          <w:p w14:paraId="1B77E776" w14:textId="77777777" w:rsidR="004E1D9A" w:rsidRPr="004B723C" w:rsidRDefault="004E1D9A" w:rsidP="006C5845">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358/2198</w:t>
            </w:r>
          </w:p>
        </w:tc>
        <w:tc>
          <w:tcPr>
            <w:tcW w:w="0" w:type="auto"/>
            <w:noWrap/>
            <w:vAlign w:val="center"/>
          </w:tcPr>
          <w:p w14:paraId="61F762EC" w14:textId="77777777" w:rsidR="004E1D9A" w:rsidRPr="004B723C" w:rsidRDefault="004E1D9A" w:rsidP="006C5845">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w:t>
            </w:r>
          </w:p>
        </w:tc>
        <w:tc>
          <w:tcPr>
            <w:tcW w:w="0" w:type="auto"/>
            <w:noWrap/>
            <w:vAlign w:val="center"/>
          </w:tcPr>
          <w:p w14:paraId="6A9AD564" w14:textId="46FFDFB5" w:rsidR="004E1D9A" w:rsidRPr="004B723C" w:rsidRDefault="004E1D9A" w:rsidP="006C5845">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1.07 (0.54–2.13)</w:t>
            </w:r>
          </w:p>
        </w:tc>
        <w:tc>
          <w:tcPr>
            <w:tcW w:w="0" w:type="auto"/>
            <w:noWrap/>
            <w:vAlign w:val="center"/>
          </w:tcPr>
          <w:p w14:paraId="50F95F7A" w14:textId="0C09959B" w:rsidR="004E1D9A" w:rsidRPr="004B723C" w:rsidRDefault="004E1D9A" w:rsidP="006C5845">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0.85</w:t>
            </w:r>
          </w:p>
        </w:tc>
        <w:tc>
          <w:tcPr>
            <w:tcW w:w="0" w:type="auto"/>
            <w:vAlign w:val="center"/>
          </w:tcPr>
          <w:p w14:paraId="09D0B8B8" w14:textId="77777777" w:rsidR="004E1D9A" w:rsidRPr="004B723C" w:rsidRDefault="004E1D9A" w:rsidP="006C5845">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357/2197</w:t>
            </w:r>
          </w:p>
        </w:tc>
        <w:tc>
          <w:tcPr>
            <w:tcW w:w="0" w:type="auto"/>
            <w:vAlign w:val="center"/>
          </w:tcPr>
          <w:p w14:paraId="274B25D0" w14:textId="77777777" w:rsidR="004E1D9A" w:rsidRPr="004B723C" w:rsidRDefault="004E1D9A" w:rsidP="006C5845">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w:t>
            </w:r>
          </w:p>
        </w:tc>
        <w:tc>
          <w:tcPr>
            <w:tcW w:w="0" w:type="auto"/>
            <w:vAlign w:val="center"/>
          </w:tcPr>
          <w:p w14:paraId="08F67488" w14:textId="70FCAFCF" w:rsidR="004E1D9A" w:rsidRPr="004B723C" w:rsidRDefault="004E1D9A" w:rsidP="006C5845">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1.27 (0.63–2.56)</w:t>
            </w:r>
          </w:p>
        </w:tc>
        <w:tc>
          <w:tcPr>
            <w:tcW w:w="0" w:type="auto"/>
            <w:vAlign w:val="center"/>
          </w:tcPr>
          <w:p w14:paraId="71E14252" w14:textId="2DF6EF8F" w:rsidR="004E1D9A" w:rsidRPr="004B723C" w:rsidRDefault="004E1D9A" w:rsidP="006C5845">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0.5</w:t>
            </w:r>
          </w:p>
        </w:tc>
      </w:tr>
      <w:tr w:rsidR="006D1689" w:rsidRPr="004B723C" w14:paraId="50C90367" w14:textId="77777777" w:rsidTr="007F3A2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27EF2E8B" w14:textId="77777777" w:rsidR="006D1689" w:rsidRPr="004B723C" w:rsidRDefault="006D1689" w:rsidP="007F3A2D">
            <w:pPr>
              <w:spacing w:line="360" w:lineRule="auto"/>
              <w:jc w:val="center"/>
              <w:rPr>
                <w:rFonts w:eastAsia="Times New Roman" w:cs="Times New Roman"/>
                <w:color w:val="000000"/>
                <w:sz w:val="18"/>
                <w:szCs w:val="18"/>
                <w:lang w:eastAsia="en-GB"/>
              </w:rPr>
            </w:pPr>
            <w:r w:rsidRPr="004B723C">
              <w:rPr>
                <w:rFonts w:eastAsia="Times New Roman" w:cs="Times New Roman"/>
                <w:color w:val="000000"/>
                <w:sz w:val="18"/>
                <w:szCs w:val="18"/>
                <w:lang w:eastAsia="en-GB"/>
              </w:rPr>
              <w:t>CMV serostatus</w:t>
            </w:r>
          </w:p>
        </w:tc>
        <w:tc>
          <w:tcPr>
            <w:tcW w:w="0" w:type="auto"/>
            <w:noWrap/>
            <w:vAlign w:val="center"/>
          </w:tcPr>
          <w:p w14:paraId="1DD96191" w14:textId="77777777" w:rsidR="006D1689" w:rsidRPr="004B723C" w:rsidRDefault="006D1689" w:rsidP="006C5845">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eastAsia="Times New Roman" w:cs="Times New Roman"/>
                <w:color w:val="000000"/>
                <w:sz w:val="18"/>
                <w:szCs w:val="18"/>
                <w:lang w:eastAsia="en-GB"/>
              </w:rPr>
              <w:t>D−/R−</w:t>
            </w:r>
          </w:p>
        </w:tc>
        <w:tc>
          <w:tcPr>
            <w:tcW w:w="0" w:type="auto"/>
            <w:noWrap/>
            <w:vAlign w:val="center"/>
          </w:tcPr>
          <w:p w14:paraId="3780ADB3" w14:textId="77777777" w:rsidR="006D1689" w:rsidRPr="004B723C" w:rsidRDefault="006D1689" w:rsidP="006C5845">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57/588</w:t>
            </w:r>
          </w:p>
        </w:tc>
        <w:tc>
          <w:tcPr>
            <w:tcW w:w="0" w:type="auto"/>
            <w:noWrap/>
            <w:vAlign w:val="center"/>
          </w:tcPr>
          <w:p w14:paraId="5E948471" w14:textId="77777777" w:rsidR="006D1689" w:rsidRPr="004B723C" w:rsidRDefault="006D1689" w:rsidP="006C5845">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3/13</w:t>
            </w:r>
          </w:p>
        </w:tc>
        <w:tc>
          <w:tcPr>
            <w:tcW w:w="0" w:type="auto"/>
            <w:noWrap/>
            <w:vAlign w:val="center"/>
          </w:tcPr>
          <w:p w14:paraId="02A9C9C8" w14:textId="77777777" w:rsidR="006D1689" w:rsidRPr="004B723C" w:rsidRDefault="006D1689" w:rsidP="006C5845">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8.52 (2.58–28.16)</w:t>
            </w:r>
          </w:p>
        </w:tc>
        <w:tc>
          <w:tcPr>
            <w:tcW w:w="0" w:type="auto"/>
            <w:noWrap/>
            <w:vAlign w:val="center"/>
          </w:tcPr>
          <w:p w14:paraId="46AEB241" w14:textId="053B8858" w:rsidR="006D1689" w:rsidRPr="004B723C" w:rsidRDefault="00D53FD9" w:rsidP="006C5845">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4.44 × 10</w:t>
            </w:r>
            <w:r w:rsidRPr="004B723C">
              <w:rPr>
                <w:rFonts w:cs="Times New Roman"/>
                <w:color w:val="000000"/>
                <w:sz w:val="18"/>
                <w:szCs w:val="18"/>
                <w:vertAlign w:val="superscript"/>
              </w:rPr>
              <w:t>-4</w:t>
            </w:r>
          </w:p>
        </w:tc>
        <w:tc>
          <w:tcPr>
            <w:tcW w:w="0" w:type="auto"/>
            <w:vAlign w:val="center"/>
          </w:tcPr>
          <w:p w14:paraId="36F95516" w14:textId="77777777" w:rsidR="006D1689" w:rsidRPr="004B723C" w:rsidRDefault="006D1689" w:rsidP="006C5845">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57/588</w:t>
            </w:r>
          </w:p>
        </w:tc>
        <w:tc>
          <w:tcPr>
            <w:tcW w:w="0" w:type="auto"/>
            <w:vAlign w:val="center"/>
          </w:tcPr>
          <w:p w14:paraId="164205EF" w14:textId="77777777" w:rsidR="006D1689" w:rsidRPr="004B723C" w:rsidRDefault="006D1689" w:rsidP="006C584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3/13</w:t>
            </w:r>
          </w:p>
        </w:tc>
        <w:tc>
          <w:tcPr>
            <w:tcW w:w="0" w:type="auto"/>
            <w:vAlign w:val="center"/>
          </w:tcPr>
          <w:p w14:paraId="7DEA6C99" w14:textId="77777777" w:rsidR="006D1689" w:rsidRPr="004B723C" w:rsidRDefault="006D1689" w:rsidP="006C584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9.73 (2.84–33.33)</w:t>
            </w:r>
          </w:p>
        </w:tc>
        <w:tc>
          <w:tcPr>
            <w:tcW w:w="0" w:type="auto"/>
            <w:vAlign w:val="center"/>
          </w:tcPr>
          <w:p w14:paraId="2555346D" w14:textId="4FD6632F" w:rsidR="006D1689" w:rsidRPr="004B723C" w:rsidRDefault="00D53FD9" w:rsidP="006C584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2.92 × 10</w:t>
            </w:r>
            <w:r w:rsidRPr="004B723C">
              <w:rPr>
                <w:rFonts w:eastAsia="Times New Roman" w:cs="Times New Roman"/>
                <w:color w:val="000000"/>
                <w:sz w:val="18"/>
                <w:szCs w:val="18"/>
                <w:vertAlign w:val="superscript"/>
                <w:lang w:eastAsia="en-GB"/>
              </w:rPr>
              <w:t>-4</w:t>
            </w:r>
          </w:p>
        </w:tc>
      </w:tr>
      <w:tr w:rsidR="006D1689" w:rsidRPr="004B723C" w14:paraId="6D9B23CA" w14:textId="77777777" w:rsidTr="007F3A2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4A945D09" w14:textId="77777777" w:rsidR="006D1689" w:rsidRPr="004B723C" w:rsidRDefault="006D1689" w:rsidP="007F3A2D">
            <w:pPr>
              <w:spacing w:line="360" w:lineRule="auto"/>
              <w:jc w:val="center"/>
              <w:rPr>
                <w:rFonts w:eastAsia="Times New Roman" w:cs="Times New Roman"/>
                <w:color w:val="000000"/>
                <w:sz w:val="18"/>
                <w:szCs w:val="18"/>
                <w:lang w:eastAsia="en-GB"/>
              </w:rPr>
            </w:pPr>
          </w:p>
        </w:tc>
        <w:tc>
          <w:tcPr>
            <w:tcW w:w="0" w:type="auto"/>
            <w:noWrap/>
            <w:vAlign w:val="center"/>
          </w:tcPr>
          <w:p w14:paraId="38C1FB36" w14:textId="77777777" w:rsidR="006D1689" w:rsidRPr="004B723C" w:rsidRDefault="006D1689" w:rsidP="006C5845">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D</w:t>
            </w:r>
            <w:r w:rsidRPr="004B723C">
              <w:rPr>
                <w:rFonts w:eastAsia="Times New Roman" w:cs="Times New Roman"/>
                <w:color w:val="000000"/>
                <w:sz w:val="18"/>
                <w:szCs w:val="18"/>
                <w:lang w:eastAsia="en-GB"/>
              </w:rPr>
              <w:t>−</w:t>
            </w:r>
            <w:r w:rsidRPr="004B723C">
              <w:rPr>
                <w:rFonts w:cs="Times New Roman"/>
                <w:color w:val="000000"/>
                <w:sz w:val="18"/>
                <w:szCs w:val="18"/>
              </w:rPr>
              <w:t>/R+</w:t>
            </w:r>
          </w:p>
        </w:tc>
        <w:tc>
          <w:tcPr>
            <w:tcW w:w="0" w:type="auto"/>
            <w:noWrap/>
            <w:vAlign w:val="center"/>
          </w:tcPr>
          <w:p w14:paraId="04CF1166" w14:textId="77777777" w:rsidR="006D1689" w:rsidRPr="004B723C" w:rsidRDefault="006D1689" w:rsidP="006C5845">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121/581</w:t>
            </w:r>
          </w:p>
        </w:tc>
        <w:tc>
          <w:tcPr>
            <w:tcW w:w="0" w:type="auto"/>
            <w:noWrap/>
            <w:vAlign w:val="center"/>
          </w:tcPr>
          <w:p w14:paraId="16DB342C" w14:textId="77777777" w:rsidR="006D1689" w:rsidRPr="004B723C" w:rsidRDefault="006D1689" w:rsidP="006C5845">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9/128</w:t>
            </w:r>
          </w:p>
        </w:tc>
        <w:tc>
          <w:tcPr>
            <w:tcW w:w="0" w:type="auto"/>
            <w:noWrap/>
            <w:vAlign w:val="center"/>
          </w:tcPr>
          <w:p w14:paraId="726D45B6" w14:textId="77777777" w:rsidR="006D1689" w:rsidRPr="004B723C" w:rsidRDefault="006D1689" w:rsidP="006C5845">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0.58 (0.29–1.18)</w:t>
            </w:r>
          </w:p>
        </w:tc>
        <w:tc>
          <w:tcPr>
            <w:tcW w:w="0" w:type="auto"/>
            <w:noWrap/>
            <w:vAlign w:val="center"/>
          </w:tcPr>
          <w:p w14:paraId="65184D21" w14:textId="77777777" w:rsidR="006D1689" w:rsidRPr="004B723C" w:rsidRDefault="006D1689" w:rsidP="006C5845">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0.13</w:t>
            </w:r>
          </w:p>
        </w:tc>
        <w:tc>
          <w:tcPr>
            <w:tcW w:w="0" w:type="auto"/>
            <w:vAlign w:val="center"/>
          </w:tcPr>
          <w:p w14:paraId="7053C81F" w14:textId="77777777" w:rsidR="006D1689" w:rsidRPr="004B723C" w:rsidRDefault="006D1689" w:rsidP="006C5845">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121/581</w:t>
            </w:r>
          </w:p>
        </w:tc>
        <w:tc>
          <w:tcPr>
            <w:tcW w:w="0" w:type="auto"/>
            <w:vAlign w:val="center"/>
          </w:tcPr>
          <w:p w14:paraId="593144FF" w14:textId="77777777" w:rsidR="006D1689" w:rsidRPr="004B723C" w:rsidRDefault="006D1689" w:rsidP="006C584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9/128</w:t>
            </w:r>
          </w:p>
        </w:tc>
        <w:tc>
          <w:tcPr>
            <w:tcW w:w="0" w:type="auto"/>
            <w:vAlign w:val="center"/>
          </w:tcPr>
          <w:p w14:paraId="5230CEAA" w14:textId="77777777" w:rsidR="006D1689" w:rsidRPr="004B723C" w:rsidRDefault="006D1689" w:rsidP="006C584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0.61 (0.30–1.24)</w:t>
            </w:r>
          </w:p>
        </w:tc>
        <w:tc>
          <w:tcPr>
            <w:tcW w:w="0" w:type="auto"/>
            <w:vAlign w:val="center"/>
          </w:tcPr>
          <w:p w14:paraId="35753C68" w14:textId="77777777" w:rsidR="006D1689" w:rsidRPr="004B723C" w:rsidRDefault="006D1689" w:rsidP="006C584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0.17</w:t>
            </w:r>
          </w:p>
        </w:tc>
      </w:tr>
      <w:tr w:rsidR="008D522C" w:rsidRPr="004B723C" w14:paraId="2A6E68B2" w14:textId="77777777" w:rsidTr="007F3A2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73B8FD8E" w14:textId="77777777" w:rsidR="008D522C" w:rsidRPr="004B723C" w:rsidRDefault="008D522C" w:rsidP="007F3A2D">
            <w:pPr>
              <w:spacing w:line="360" w:lineRule="auto"/>
              <w:jc w:val="center"/>
              <w:rPr>
                <w:rFonts w:eastAsia="Times New Roman" w:cs="Times New Roman"/>
                <w:color w:val="000000"/>
                <w:sz w:val="18"/>
                <w:szCs w:val="18"/>
                <w:lang w:eastAsia="en-GB"/>
              </w:rPr>
            </w:pPr>
          </w:p>
        </w:tc>
        <w:tc>
          <w:tcPr>
            <w:tcW w:w="0" w:type="auto"/>
            <w:noWrap/>
            <w:vAlign w:val="center"/>
          </w:tcPr>
          <w:p w14:paraId="1AE4367C" w14:textId="77777777" w:rsidR="008D522C" w:rsidRPr="004B723C" w:rsidRDefault="008D522C" w:rsidP="006C5845">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D+/R</w:t>
            </w:r>
            <w:r w:rsidRPr="004B723C">
              <w:rPr>
                <w:rFonts w:eastAsia="Times New Roman" w:cs="Times New Roman"/>
                <w:color w:val="000000"/>
                <w:sz w:val="18"/>
                <w:szCs w:val="18"/>
                <w:lang w:eastAsia="en-GB"/>
              </w:rPr>
              <w:t>−</w:t>
            </w:r>
          </w:p>
        </w:tc>
        <w:tc>
          <w:tcPr>
            <w:tcW w:w="0" w:type="auto"/>
            <w:noWrap/>
            <w:vAlign w:val="center"/>
          </w:tcPr>
          <w:p w14:paraId="400AFD4D" w14:textId="77777777" w:rsidR="008D522C" w:rsidRPr="004B723C" w:rsidRDefault="008D522C" w:rsidP="006C5845">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71/429</w:t>
            </w:r>
          </w:p>
        </w:tc>
        <w:tc>
          <w:tcPr>
            <w:tcW w:w="0" w:type="auto"/>
            <w:noWrap/>
            <w:vAlign w:val="center"/>
          </w:tcPr>
          <w:p w14:paraId="00A44D0A" w14:textId="77777777" w:rsidR="008D522C" w:rsidRPr="004B723C" w:rsidRDefault="008D522C" w:rsidP="006C5845">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24/189</w:t>
            </w:r>
          </w:p>
        </w:tc>
        <w:tc>
          <w:tcPr>
            <w:tcW w:w="0" w:type="auto"/>
            <w:noWrap/>
            <w:vAlign w:val="center"/>
          </w:tcPr>
          <w:p w14:paraId="3A2C38D9" w14:textId="77777777" w:rsidR="008D522C" w:rsidRPr="004B723C" w:rsidRDefault="008D522C" w:rsidP="006C5845">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1.99 (1.05–3.77)</w:t>
            </w:r>
          </w:p>
        </w:tc>
        <w:tc>
          <w:tcPr>
            <w:tcW w:w="0" w:type="auto"/>
            <w:noWrap/>
            <w:vAlign w:val="center"/>
          </w:tcPr>
          <w:p w14:paraId="4D8DA9DC" w14:textId="77777777" w:rsidR="008D522C" w:rsidRPr="004B723C" w:rsidRDefault="008D522C" w:rsidP="006C5845">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0.034</w:t>
            </w:r>
          </w:p>
        </w:tc>
        <w:tc>
          <w:tcPr>
            <w:tcW w:w="0" w:type="auto"/>
            <w:vAlign w:val="center"/>
          </w:tcPr>
          <w:p w14:paraId="4EBA37BC" w14:textId="77777777" w:rsidR="008D522C" w:rsidRPr="004B723C" w:rsidRDefault="008D522C" w:rsidP="006C5845">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70/428</w:t>
            </w:r>
          </w:p>
        </w:tc>
        <w:tc>
          <w:tcPr>
            <w:tcW w:w="0" w:type="auto"/>
            <w:vAlign w:val="center"/>
          </w:tcPr>
          <w:p w14:paraId="58F906D4" w14:textId="77777777" w:rsidR="008D522C" w:rsidRPr="004B723C" w:rsidRDefault="008D522C" w:rsidP="006C584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24/189</w:t>
            </w:r>
          </w:p>
        </w:tc>
        <w:tc>
          <w:tcPr>
            <w:tcW w:w="0" w:type="auto"/>
            <w:vAlign w:val="center"/>
          </w:tcPr>
          <w:p w14:paraId="6487E38E" w14:textId="77777777" w:rsidR="008D522C" w:rsidRPr="004B723C" w:rsidRDefault="008D522C" w:rsidP="006C584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1.76 (0.92–3.40)</w:t>
            </w:r>
          </w:p>
        </w:tc>
        <w:tc>
          <w:tcPr>
            <w:tcW w:w="0" w:type="auto"/>
            <w:vAlign w:val="center"/>
          </w:tcPr>
          <w:p w14:paraId="4C31B80B" w14:textId="77777777" w:rsidR="008D522C" w:rsidRPr="004B723C" w:rsidRDefault="008D522C" w:rsidP="006C584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0.09</w:t>
            </w:r>
          </w:p>
        </w:tc>
      </w:tr>
      <w:tr w:rsidR="008D522C" w:rsidRPr="004B723C" w14:paraId="2A641994" w14:textId="77777777" w:rsidTr="007F3A2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68B34150" w14:textId="77777777" w:rsidR="008D522C" w:rsidRPr="004B723C" w:rsidRDefault="008D522C" w:rsidP="007F3A2D">
            <w:pPr>
              <w:spacing w:line="360" w:lineRule="auto"/>
              <w:jc w:val="center"/>
              <w:rPr>
                <w:rFonts w:eastAsia="Times New Roman" w:cs="Times New Roman"/>
                <w:color w:val="000000"/>
                <w:sz w:val="18"/>
                <w:szCs w:val="18"/>
                <w:lang w:eastAsia="en-GB"/>
              </w:rPr>
            </w:pPr>
          </w:p>
        </w:tc>
        <w:tc>
          <w:tcPr>
            <w:tcW w:w="0" w:type="auto"/>
            <w:noWrap/>
            <w:vAlign w:val="center"/>
          </w:tcPr>
          <w:p w14:paraId="3FDD934C" w14:textId="77777777" w:rsidR="008D522C" w:rsidRPr="004B723C" w:rsidRDefault="008D522C" w:rsidP="006C5845">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D+/R+</w:t>
            </w:r>
          </w:p>
        </w:tc>
        <w:tc>
          <w:tcPr>
            <w:tcW w:w="0" w:type="auto"/>
            <w:noWrap/>
            <w:vAlign w:val="center"/>
          </w:tcPr>
          <w:p w14:paraId="3268A067" w14:textId="77777777" w:rsidR="008D522C" w:rsidRPr="004B723C" w:rsidRDefault="008D522C" w:rsidP="006C5845">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109/600</w:t>
            </w:r>
          </w:p>
        </w:tc>
        <w:tc>
          <w:tcPr>
            <w:tcW w:w="0" w:type="auto"/>
            <w:noWrap/>
            <w:vAlign w:val="center"/>
          </w:tcPr>
          <w:p w14:paraId="72DE686E" w14:textId="77777777" w:rsidR="008D522C" w:rsidRPr="004B723C" w:rsidRDefault="008D522C" w:rsidP="006C5845">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13/181</w:t>
            </w:r>
          </w:p>
        </w:tc>
        <w:tc>
          <w:tcPr>
            <w:tcW w:w="0" w:type="auto"/>
            <w:noWrap/>
            <w:vAlign w:val="center"/>
          </w:tcPr>
          <w:p w14:paraId="59593C12" w14:textId="77777777" w:rsidR="008D522C" w:rsidRPr="004B723C" w:rsidRDefault="008D522C" w:rsidP="006C5845">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0.67 (0.36–1.25)</w:t>
            </w:r>
          </w:p>
        </w:tc>
        <w:tc>
          <w:tcPr>
            <w:tcW w:w="0" w:type="auto"/>
            <w:noWrap/>
            <w:vAlign w:val="center"/>
          </w:tcPr>
          <w:p w14:paraId="4F625EF9" w14:textId="77777777" w:rsidR="008D522C" w:rsidRPr="004B723C" w:rsidRDefault="008D522C" w:rsidP="006C5845">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0.21</w:t>
            </w:r>
          </w:p>
        </w:tc>
        <w:tc>
          <w:tcPr>
            <w:tcW w:w="0" w:type="auto"/>
            <w:vAlign w:val="center"/>
          </w:tcPr>
          <w:p w14:paraId="0BE24788" w14:textId="77777777" w:rsidR="008D522C" w:rsidRPr="004B723C" w:rsidRDefault="008D522C" w:rsidP="006C5845">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109/600</w:t>
            </w:r>
          </w:p>
        </w:tc>
        <w:tc>
          <w:tcPr>
            <w:tcW w:w="0" w:type="auto"/>
            <w:vAlign w:val="center"/>
          </w:tcPr>
          <w:p w14:paraId="02DEF46B" w14:textId="77777777" w:rsidR="008D522C" w:rsidRPr="004B723C" w:rsidRDefault="008D522C" w:rsidP="006C584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13/181</w:t>
            </w:r>
          </w:p>
        </w:tc>
        <w:tc>
          <w:tcPr>
            <w:tcW w:w="0" w:type="auto"/>
            <w:vAlign w:val="center"/>
          </w:tcPr>
          <w:p w14:paraId="3E534F57" w14:textId="77777777" w:rsidR="008D522C" w:rsidRPr="004B723C" w:rsidRDefault="008D522C" w:rsidP="006C584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0.85 (0.45–1.60)</w:t>
            </w:r>
          </w:p>
        </w:tc>
        <w:tc>
          <w:tcPr>
            <w:tcW w:w="0" w:type="auto"/>
            <w:vAlign w:val="center"/>
          </w:tcPr>
          <w:p w14:paraId="1D17855E" w14:textId="77777777" w:rsidR="008D522C" w:rsidRPr="004B723C" w:rsidRDefault="008D522C" w:rsidP="006C584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0.61</w:t>
            </w:r>
          </w:p>
        </w:tc>
      </w:tr>
    </w:tbl>
    <w:p w14:paraId="49A5E220" w14:textId="77777777" w:rsidR="00D95BBA" w:rsidRPr="004B723C" w:rsidRDefault="00D95BBA" w:rsidP="007E23A4">
      <w:pPr>
        <w:spacing w:before="240" w:line="360" w:lineRule="auto"/>
        <w:jc w:val="both"/>
      </w:pPr>
      <w:r w:rsidRPr="004B723C">
        <w:t>Values are hazard ratios (HRs) with 95% confidence intervals (CIs) from univariable and multivariable time-dependent Cox proportional-hazards models assessing the association between post-transplant CMV replication and time to first MVI. CMV replication was modeled as a time-dependent covariate. Total events and events per subgroup are presented as n/N, where n denotes the number of events and N the number of participants with non-missing data for the respective stratum. Multivariable models were adjusted for recipient age and sex, donor age and type (living, donation after circulatory death, donation after brain death), repeat transplantation, calendar year of transplantation, HLA mismatch, HLA-DSA status at transplantation, cold ischemia time, and transplant center.</w:t>
      </w:r>
    </w:p>
    <w:p w14:paraId="6148133C" w14:textId="77777777" w:rsidR="00D95BBA" w:rsidRPr="004B723C" w:rsidRDefault="00D95BBA" w:rsidP="007E23A4">
      <w:pPr>
        <w:spacing w:before="240" w:line="360" w:lineRule="auto"/>
        <w:jc w:val="both"/>
      </w:pPr>
      <w:r w:rsidRPr="004B723C">
        <w:lastRenderedPageBreak/>
        <w:t>Interaction was evaluated by including a multiplicative interaction term between CMV replication and the respective serostatus variable in a joint Cox proportional-hazards model including both main effects and the interaction term. The reported interaction HR corresponds to the exponentiated coefficient of this interaction term. Interaction models evaluating recipient CMV serostatus were additionally adjusted for donor CMV serostatus, and vice versa.</w:t>
      </w:r>
    </w:p>
    <w:p w14:paraId="190F69A3" w14:textId="7AF9EEB8" w:rsidR="00D95BBA" w:rsidRPr="004B723C" w:rsidRDefault="00D95BBA" w:rsidP="007E23A4">
      <w:pPr>
        <w:spacing w:before="240" w:line="360" w:lineRule="auto"/>
        <w:jc w:val="both"/>
      </w:pPr>
      <w:r w:rsidRPr="004B723C">
        <w:t>Abbreviations: CMV, cytomegalovirus; D, donor; DSA, donor-specific antibody; HLA, human leukocyte antigen; MVI, microvascular inflammation; R, recipient.</w:t>
      </w:r>
    </w:p>
    <w:p w14:paraId="58F7A33E" w14:textId="77777777" w:rsidR="00D95BBA" w:rsidRPr="004B723C" w:rsidRDefault="00D95BBA" w:rsidP="00BF0A42">
      <w:pPr>
        <w:spacing w:before="240" w:line="360" w:lineRule="auto"/>
      </w:pPr>
    </w:p>
    <w:p w14:paraId="513352D5" w14:textId="77777777" w:rsidR="00D95BBA" w:rsidRPr="004B723C" w:rsidRDefault="00D95BBA" w:rsidP="00BF0A42">
      <w:pPr>
        <w:spacing w:before="240" w:line="360" w:lineRule="auto"/>
        <w:sectPr w:rsidR="00D95BBA" w:rsidRPr="004B723C" w:rsidSect="00380509">
          <w:pgSz w:w="16838" w:h="11906" w:orient="landscape"/>
          <w:pgMar w:top="1417" w:right="1417" w:bottom="1417" w:left="1417" w:header="708" w:footer="708" w:gutter="0"/>
          <w:cols w:space="708"/>
          <w:docGrid w:linePitch="360"/>
        </w:sectPr>
      </w:pPr>
    </w:p>
    <w:p w14:paraId="37BB221D" w14:textId="2C1FD8C2" w:rsidR="005563C2" w:rsidRPr="004B723C" w:rsidRDefault="00502AEB" w:rsidP="005563C2">
      <w:pPr>
        <w:pStyle w:val="Heading2"/>
        <w:spacing w:line="360" w:lineRule="auto"/>
        <w:rPr>
          <w:rFonts w:cs="Times New Roman"/>
          <w:sz w:val="22"/>
          <w:szCs w:val="22"/>
        </w:rPr>
      </w:pPr>
      <w:r w:rsidRPr="004B723C">
        <w:rPr>
          <w:rFonts w:cs="Times New Roman"/>
          <w:sz w:val="22"/>
          <w:szCs w:val="22"/>
        </w:rPr>
        <w:lastRenderedPageBreak/>
        <w:t>Table S</w:t>
      </w:r>
      <w:r w:rsidR="00267FED" w:rsidRPr="004B723C">
        <w:rPr>
          <w:rFonts w:cs="Times New Roman"/>
          <w:sz w:val="22"/>
          <w:szCs w:val="22"/>
        </w:rPr>
        <w:t>1</w:t>
      </w:r>
      <w:r w:rsidR="0096707E" w:rsidRPr="004B723C">
        <w:rPr>
          <w:rFonts w:cs="Times New Roman"/>
          <w:sz w:val="22"/>
          <w:szCs w:val="22"/>
        </w:rPr>
        <w:t>7</w:t>
      </w:r>
      <w:r w:rsidRPr="004B723C">
        <w:rPr>
          <w:rFonts w:cs="Times New Roman"/>
          <w:sz w:val="22"/>
          <w:szCs w:val="22"/>
        </w:rPr>
        <w:t xml:space="preserve">: </w:t>
      </w:r>
      <w:r w:rsidR="00E550C2" w:rsidRPr="004B723C">
        <w:rPr>
          <w:rFonts w:cs="Times New Roman"/>
          <w:sz w:val="22"/>
          <w:szCs w:val="22"/>
        </w:rPr>
        <w:t xml:space="preserve">Stratified time-dependent Cox proportional-hazards models of post-transplant CMV disease and first MVI, </w:t>
      </w:r>
      <w:r w:rsidR="00053E4A" w:rsidRPr="004B723C">
        <w:rPr>
          <w:rFonts w:cs="Times New Roman"/>
          <w:sz w:val="22"/>
          <w:szCs w:val="22"/>
        </w:rPr>
        <w:t>with interaction by recipient and donor serostatus</w:t>
      </w:r>
    </w:p>
    <w:tbl>
      <w:tblPr>
        <w:tblStyle w:val="Nature"/>
        <w:tblW w:w="0" w:type="auto"/>
        <w:jc w:val="center"/>
        <w:tblLook w:val="04A0" w:firstRow="1" w:lastRow="0" w:firstColumn="1" w:lastColumn="0" w:noHBand="0" w:noVBand="1"/>
      </w:tblPr>
      <w:tblGrid>
        <w:gridCol w:w="2386"/>
        <w:gridCol w:w="1861"/>
        <w:gridCol w:w="1041"/>
        <w:gridCol w:w="1372"/>
        <w:gridCol w:w="1506"/>
        <w:gridCol w:w="1003"/>
        <w:gridCol w:w="1041"/>
        <w:gridCol w:w="1372"/>
        <w:gridCol w:w="1506"/>
        <w:gridCol w:w="771"/>
      </w:tblGrid>
      <w:tr w:rsidR="001B669D" w:rsidRPr="004B723C" w14:paraId="65C6363C" w14:textId="77777777" w:rsidTr="007F3A2D">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D76742D" w14:textId="77777777" w:rsidR="006D1689" w:rsidRPr="004B723C" w:rsidRDefault="006D1689" w:rsidP="0025243F">
            <w:pPr>
              <w:spacing w:line="360" w:lineRule="auto"/>
              <w:jc w:val="center"/>
              <w:rPr>
                <w:rFonts w:eastAsia="Times New Roman" w:cs="Times New Roman"/>
                <w:b/>
                <w:bCs/>
                <w:color w:val="000000"/>
                <w:sz w:val="18"/>
                <w:szCs w:val="18"/>
                <w:lang w:eastAsia="en-GB"/>
              </w:rPr>
            </w:pPr>
            <w:r w:rsidRPr="004B723C">
              <w:rPr>
                <w:rFonts w:eastAsia="Times New Roman" w:cs="Times New Roman"/>
                <w:b/>
                <w:bCs/>
                <w:color w:val="000000"/>
                <w:sz w:val="18"/>
                <w:szCs w:val="18"/>
                <w:lang w:eastAsia="en-GB"/>
              </w:rPr>
              <w:t>Stratum variable</w:t>
            </w:r>
          </w:p>
        </w:tc>
        <w:tc>
          <w:tcPr>
            <w:tcW w:w="0" w:type="auto"/>
            <w:noWrap/>
            <w:vAlign w:val="center"/>
            <w:hideMark/>
          </w:tcPr>
          <w:p w14:paraId="1453A184" w14:textId="77777777" w:rsidR="006D1689" w:rsidRPr="004B723C" w:rsidRDefault="006D1689" w:rsidP="0025243F">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eastAsia="en-GB"/>
              </w:rPr>
            </w:pPr>
            <w:r w:rsidRPr="004B723C">
              <w:rPr>
                <w:rFonts w:eastAsia="Times New Roman" w:cs="Times New Roman"/>
                <w:b/>
                <w:bCs/>
                <w:color w:val="000000"/>
                <w:sz w:val="18"/>
                <w:szCs w:val="18"/>
                <w:lang w:eastAsia="en-GB"/>
              </w:rPr>
              <w:t>Stratum level</w:t>
            </w:r>
          </w:p>
        </w:tc>
        <w:tc>
          <w:tcPr>
            <w:tcW w:w="0" w:type="auto"/>
            <w:noWrap/>
            <w:vAlign w:val="center"/>
            <w:hideMark/>
          </w:tcPr>
          <w:p w14:paraId="6767FD26" w14:textId="77777777" w:rsidR="006D1689" w:rsidRPr="004B723C" w:rsidRDefault="006D1689" w:rsidP="0025243F">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eastAsia="en-GB"/>
              </w:rPr>
            </w:pPr>
            <w:r w:rsidRPr="004B723C">
              <w:rPr>
                <w:rFonts w:eastAsia="Times New Roman" w:cs="Times New Roman"/>
                <w:b/>
                <w:bCs/>
                <w:color w:val="000000"/>
                <w:sz w:val="18"/>
                <w:szCs w:val="18"/>
                <w:lang w:eastAsia="en-GB"/>
              </w:rPr>
              <w:t>Events/</w:t>
            </w:r>
            <w:r w:rsidRPr="004B723C">
              <w:rPr>
                <w:rFonts w:eastAsia="Times New Roman" w:cs="Times New Roman"/>
                <w:b/>
                <w:bCs/>
                <w:color w:val="000000"/>
                <w:sz w:val="18"/>
                <w:szCs w:val="18"/>
                <w:lang w:eastAsia="en-GB"/>
              </w:rPr>
              <w:br/>
              <w:t>N analyzed</w:t>
            </w:r>
          </w:p>
        </w:tc>
        <w:tc>
          <w:tcPr>
            <w:tcW w:w="0" w:type="auto"/>
            <w:noWrap/>
            <w:vAlign w:val="center"/>
            <w:hideMark/>
          </w:tcPr>
          <w:p w14:paraId="1B677D7D" w14:textId="77777777" w:rsidR="006D1689" w:rsidRPr="004B723C" w:rsidRDefault="006D1689" w:rsidP="0025243F">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eastAsia="en-GB"/>
              </w:rPr>
            </w:pPr>
            <w:r w:rsidRPr="004B723C">
              <w:rPr>
                <w:rFonts w:eastAsia="Times New Roman" w:cs="Times New Roman"/>
                <w:b/>
                <w:bCs/>
                <w:color w:val="000000"/>
                <w:sz w:val="18"/>
                <w:szCs w:val="18"/>
                <w:lang w:eastAsia="en-GB"/>
              </w:rPr>
              <w:t>Events (group)/</w:t>
            </w:r>
            <w:r w:rsidRPr="004B723C">
              <w:rPr>
                <w:rFonts w:eastAsia="Times New Roman" w:cs="Times New Roman"/>
                <w:b/>
                <w:bCs/>
                <w:color w:val="000000"/>
                <w:sz w:val="18"/>
                <w:szCs w:val="18"/>
                <w:lang w:eastAsia="en-GB"/>
              </w:rPr>
              <w:br/>
              <w:t>N (group)</w:t>
            </w:r>
          </w:p>
        </w:tc>
        <w:tc>
          <w:tcPr>
            <w:tcW w:w="0" w:type="auto"/>
            <w:noWrap/>
            <w:vAlign w:val="center"/>
            <w:hideMark/>
          </w:tcPr>
          <w:p w14:paraId="6C45E05A" w14:textId="77777777" w:rsidR="006D1689" w:rsidRPr="004B723C" w:rsidRDefault="006D1689" w:rsidP="0025243F">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eastAsia="en-GB"/>
              </w:rPr>
            </w:pPr>
            <w:r w:rsidRPr="004B723C">
              <w:rPr>
                <w:rFonts w:eastAsia="Times New Roman" w:cs="Times New Roman"/>
                <w:b/>
                <w:bCs/>
                <w:color w:val="000000"/>
                <w:sz w:val="18"/>
                <w:szCs w:val="18"/>
                <w:lang w:eastAsia="en-GB"/>
              </w:rPr>
              <w:t>HR</w:t>
            </w:r>
            <w:r w:rsidRPr="004B723C">
              <w:rPr>
                <w:rFonts w:eastAsia="Times New Roman" w:cs="Times New Roman"/>
                <w:b/>
                <w:bCs/>
                <w:color w:val="000000"/>
                <w:sz w:val="18"/>
                <w:szCs w:val="18"/>
                <w:lang w:eastAsia="en-GB"/>
              </w:rPr>
              <w:br/>
              <w:t>(95% CI)</w:t>
            </w:r>
          </w:p>
        </w:tc>
        <w:tc>
          <w:tcPr>
            <w:tcW w:w="0" w:type="auto"/>
            <w:noWrap/>
            <w:vAlign w:val="center"/>
            <w:hideMark/>
          </w:tcPr>
          <w:p w14:paraId="4FBCC286" w14:textId="3B7526CB" w:rsidR="006D1689" w:rsidRPr="004B723C" w:rsidRDefault="00935D68" w:rsidP="0025243F">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eastAsia="en-GB"/>
              </w:rPr>
            </w:pPr>
            <w:r>
              <w:rPr>
                <w:rFonts w:eastAsia="Times New Roman" w:cs="Times New Roman"/>
                <w:b/>
                <w:bCs/>
                <w:color w:val="000000"/>
                <w:sz w:val="18"/>
                <w:szCs w:val="18"/>
                <w:lang w:eastAsia="en-GB"/>
              </w:rPr>
              <w:t xml:space="preserve">P </w:t>
            </w:r>
            <w:r w:rsidR="006D1689" w:rsidRPr="004B723C">
              <w:rPr>
                <w:rFonts w:eastAsia="Times New Roman" w:cs="Times New Roman"/>
                <w:b/>
                <w:bCs/>
                <w:color w:val="000000"/>
                <w:sz w:val="18"/>
                <w:szCs w:val="18"/>
                <w:lang w:eastAsia="en-GB"/>
              </w:rPr>
              <w:t>value</w:t>
            </w:r>
          </w:p>
        </w:tc>
        <w:tc>
          <w:tcPr>
            <w:tcW w:w="0" w:type="auto"/>
            <w:vAlign w:val="center"/>
          </w:tcPr>
          <w:p w14:paraId="177F62D4" w14:textId="77777777" w:rsidR="006D1689" w:rsidRPr="004B723C" w:rsidRDefault="006D1689" w:rsidP="0025243F">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eastAsia="en-GB"/>
              </w:rPr>
            </w:pPr>
            <w:r w:rsidRPr="004B723C">
              <w:rPr>
                <w:rFonts w:eastAsia="Times New Roman" w:cs="Times New Roman"/>
                <w:b/>
                <w:bCs/>
                <w:color w:val="000000"/>
                <w:sz w:val="18"/>
                <w:szCs w:val="18"/>
                <w:lang w:eastAsia="en-GB"/>
              </w:rPr>
              <w:t>Events/</w:t>
            </w:r>
            <w:r w:rsidRPr="004B723C">
              <w:rPr>
                <w:rFonts w:eastAsia="Times New Roman" w:cs="Times New Roman"/>
                <w:b/>
                <w:bCs/>
                <w:color w:val="000000"/>
                <w:sz w:val="18"/>
                <w:szCs w:val="18"/>
                <w:lang w:eastAsia="en-GB"/>
              </w:rPr>
              <w:br/>
              <w:t>N analyzed</w:t>
            </w:r>
          </w:p>
        </w:tc>
        <w:tc>
          <w:tcPr>
            <w:tcW w:w="0" w:type="auto"/>
            <w:vAlign w:val="center"/>
          </w:tcPr>
          <w:p w14:paraId="0CFF11D2" w14:textId="77777777" w:rsidR="006D1689" w:rsidRPr="004B723C" w:rsidRDefault="006D1689" w:rsidP="0025243F">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eastAsia="en-GB"/>
              </w:rPr>
            </w:pPr>
            <w:r w:rsidRPr="004B723C">
              <w:rPr>
                <w:rFonts w:eastAsia="Times New Roman" w:cs="Times New Roman"/>
                <w:b/>
                <w:bCs/>
                <w:color w:val="000000"/>
                <w:sz w:val="18"/>
                <w:szCs w:val="18"/>
                <w:lang w:eastAsia="en-GB"/>
              </w:rPr>
              <w:t>Events (group)/</w:t>
            </w:r>
            <w:r w:rsidRPr="004B723C">
              <w:rPr>
                <w:rFonts w:eastAsia="Times New Roman" w:cs="Times New Roman"/>
                <w:b/>
                <w:bCs/>
                <w:color w:val="000000"/>
                <w:sz w:val="18"/>
                <w:szCs w:val="18"/>
                <w:lang w:eastAsia="en-GB"/>
              </w:rPr>
              <w:br/>
              <w:t>N (group)</w:t>
            </w:r>
          </w:p>
        </w:tc>
        <w:tc>
          <w:tcPr>
            <w:tcW w:w="0" w:type="auto"/>
            <w:vAlign w:val="center"/>
          </w:tcPr>
          <w:p w14:paraId="305B5E9C" w14:textId="77777777" w:rsidR="006D1689" w:rsidRPr="004B723C" w:rsidRDefault="006D1689" w:rsidP="0025243F">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eastAsia="en-GB"/>
              </w:rPr>
            </w:pPr>
            <w:r w:rsidRPr="004B723C">
              <w:rPr>
                <w:rFonts w:eastAsia="Times New Roman" w:cs="Times New Roman"/>
                <w:b/>
                <w:bCs/>
                <w:color w:val="000000"/>
                <w:sz w:val="18"/>
                <w:szCs w:val="18"/>
                <w:lang w:eastAsia="en-GB"/>
              </w:rPr>
              <w:t>HR</w:t>
            </w:r>
            <w:r w:rsidRPr="004B723C">
              <w:rPr>
                <w:rFonts w:eastAsia="Times New Roman" w:cs="Times New Roman"/>
                <w:b/>
                <w:bCs/>
                <w:color w:val="000000"/>
                <w:sz w:val="18"/>
                <w:szCs w:val="18"/>
                <w:lang w:eastAsia="en-GB"/>
              </w:rPr>
              <w:br/>
              <w:t>(95% CI)</w:t>
            </w:r>
          </w:p>
        </w:tc>
        <w:tc>
          <w:tcPr>
            <w:tcW w:w="0" w:type="auto"/>
            <w:vAlign w:val="center"/>
          </w:tcPr>
          <w:p w14:paraId="3C495ECA" w14:textId="6DAC0172" w:rsidR="006D1689" w:rsidRPr="004B723C" w:rsidRDefault="00935D68" w:rsidP="0025243F">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eastAsia="en-GB"/>
              </w:rPr>
            </w:pPr>
            <w:r>
              <w:rPr>
                <w:rFonts w:eastAsia="Times New Roman" w:cs="Times New Roman"/>
                <w:b/>
                <w:bCs/>
                <w:color w:val="000000"/>
                <w:sz w:val="18"/>
                <w:szCs w:val="18"/>
                <w:lang w:eastAsia="en-GB"/>
              </w:rPr>
              <w:t>P</w:t>
            </w:r>
            <w:r w:rsidR="006D1689" w:rsidRPr="004B723C">
              <w:rPr>
                <w:rFonts w:eastAsia="Times New Roman" w:cs="Times New Roman"/>
                <w:b/>
                <w:bCs/>
                <w:color w:val="000000"/>
                <w:sz w:val="18"/>
                <w:szCs w:val="18"/>
                <w:lang w:eastAsia="en-GB"/>
              </w:rPr>
              <w:t xml:space="preserve"> value</w:t>
            </w:r>
          </w:p>
        </w:tc>
      </w:tr>
      <w:tr w:rsidR="0067192F" w:rsidRPr="004B723C" w14:paraId="1422DD62" w14:textId="77777777" w:rsidTr="007F3A2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001B8740" w14:textId="77777777" w:rsidR="006D1689" w:rsidRPr="004B723C" w:rsidRDefault="006D1689" w:rsidP="0025243F">
            <w:pPr>
              <w:spacing w:line="360" w:lineRule="auto"/>
              <w:jc w:val="center"/>
              <w:rPr>
                <w:rFonts w:eastAsia="Times New Roman" w:cs="Times New Roman"/>
                <w:b/>
                <w:bCs/>
                <w:color w:val="000000"/>
                <w:sz w:val="18"/>
                <w:szCs w:val="18"/>
                <w:lang w:eastAsia="en-GB"/>
              </w:rPr>
            </w:pPr>
          </w:p>
        </w:tc>
        <w:tc>
          <w:tcPr>
            <w:tcW w:w="0" w:type="auto"/>
            <w:noWrap/>
            <w:vAlign w:val="center"/>
          </w:tcPr>
          <w:p w14:paraId="3B20417F" w14:textId="77777777" w:rsidR="006D1689" w:rsidRPr="004B723C" w:rsidRDefault="006D1689"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eastAsia="en-GB"/>
              </w:rPr>
            </w:pPr>
          </w:p>
        </w:tc>
        <w:tc>
          <w:tcPr>
            <w:tcW w:w="0" w:type="auto"/>
            <w:gridSpan w:val="4"/>
            <w:noWrap/>
            <w:vAlign w:val="center"/>
          </w:tcPr>
          <w:p w14:paraId="5F7D7529" w14:textId="77777777" w:rsidR="006D1689" w:rsidRPr="004B723C" w:rsidRDefault="006D1689"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eastAsia="en-GB"/>
              </w:rPr>
            </w:pPr>
            <w:r w:rsidRPr="004B723C">
              <w:rPr>
                <w:rFonts w:eastAsia="Times New Roman" w:cs="Times New Roman"/>
                <w:b/>
                <w:bCs/>
                <w:color w:val="000000"/>
                <w:sz w:val="18"/>
                <w:szCs w:val="18"/>
                <w:lang w:eastAsia="en-GB"/>
              </w:rPr>
              <w:t>UNIVARIABLE ANALYSIS</w:t>
            </w:r>
          </w:p>
        </w:tc>
        <w:tc>
          <w:tcPr>
            <w:tcW w:w="0" w:type="auto"/>
            <w:gridSpan w:val="4"/>
            <w:vAlign w:val="center"/>
          </w:tcPr>
          <w:p w14:paraId="6B048DD1" w14:textId="77777777" w:rsidR="006D1689" w:rsidRPr="004B723C" w:rsidRDefault="006D1689"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eastAsia="en-GB"/>
              </w:rPr>
            </w:pPr>
            <w:r w:rsidRPr="004B723C">
              <w:rPr>
                <w:rFonts w:eastAsia="Times New Roman" w:cs="Times New Roman"/>
                <w:b/>
                <w:bCs/>
                <w:color w:val="000000"/>
                <w:sz w:val="18"/>
                <w:szCs w:val="18"/>
                <w:lang w:eastAsia="en-GB"/>
              </w:rPr>
              <w:t>MULTIVARIABLE ANALYSIS</w:t>
            </w:r>
          </w:p>
        </w:tc>
      </w:tr>
      <w:tr w:rsidR="001B669D" w:rsidRPr="004B723C" w14:paraId="5DAF6289" w14:textId="77777777" w:rsidTr="007F3A2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3A46714" w14:textId="77777777" w:rsidR="006D1689" w:rsidRPr="004B723C" w:rsidRDefault="006D1689" w:rsidP="0025243F">
            <w:pPr>
              <w:spacing w:line="360" w:lineRule="auto"/>
              <w:rPr>
                <w:rFonts w:eastAsia="Times New Roman" w:cs="Times New Roman"/>
                <w:color w:val="000000"/>
                <w:sz w:val="18"/>
                <w:szCs w:val="18"/>
                <w:lang w:eastAsia="en-GB"/>
              </w:rPr>
            </w:pPr>
            <w:r w:rsidRPr="004B723C">
              <w:rPr>
                <w:rFonts w:eastAsia="Times New Roman" w:cs="Times New Roman"/>
                <w:color w:val="000000"/>
                <w:sz w:val="18"/>
                <w:szCs w:val="18"/>
                <w:lang w:eastAsia="en-GB"/>
              </w:rPr>
              <w:t>Recipient CMV seropositivity</w:t>
            </w:r>
          </w:p>
        </w:tc>
        <w:tc>
          <w:tcPr>
            <w:tcW w:w="0" w:type="auto"/>
            <w:noWrap/>
            <w:vAlign w:val="center"/>
          </w:tcPr>
          <w:p w14:paraId="75134021" w14:textId="77777777" w:rsidR="006D1689" w:rsidRPr="004B723C" w:rsidRDefault="006D1689"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Recipient seronegative</w:t>
            </w:r>
          </w:p>
        </w:tc>
        <w:tc>
          <w:tcPr>
            <w:tcW w:w="0" w:type="auto"/>
            <w:noWrap/>
            <w:vAlign w:val="center"/>
          </w:tcPr>
          <w:p w14:paraId="7E903855" w14:textId="25246394" w:rsidR="006D1689" w:rsidRPr="004B723C" w:rsidRDefault="00931F92">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128/1,017</w:t>
            </w:r>
          </w:p>
        </w:tc>
        <w:tc>
          <w:tcPr>
            <w:tcW w:w="0" w:type="auto"/>
            <w:noWrap/>
            <w:vAlign w:val="center"/>
          </w:tcPr>
          <w:p w14:paraId="7DCE08F0" w14:textId="3D18C488" w:rsidR="006D1689" w:rsidRPr="004B723C" w:rsidRDefault="00931F92">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20/135</w:t>
            </w:r>
          </w:p>
        </w:tc>
        <w:tc>
          <w:tcPr>
            <w:tcW w:w="0" w:type="auto"/>
            <w:noWrap/>
            <w:vAlign w:val="center"/>
          </w:tcPr>
          <w:p w14:paraId="6439ED53" w14:textId="3A8C197E" w:rsidR="006D1689" w:rsidRPr="004B723C" w:rsidRDefault="00931F92">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 xml:space="preserve">3.35 </w:t>
            </w:r>
            <w:r w:rsidR="00DA7E1C"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1.96–5.72</w:t>
            </w:r>
            <w:r w:rsidR="00DA7E1C" w:rsidRPr="004B723C">
              <w:rPr>
                <w:rFonts w:eastAsia="Times New Roman" w:cs="Times New Roman"/>
                <w:color w:val="000000"/>
                <w:sz w:val="18"/>
                <w:szCs w:val="18"/>
                <w:lang w:eastAsia="en-GB"/>
              </w:rPr>
              <w:t>)</w:t>
            </w:r>
          </w:p>
        </w:tc>
        <w:tc>
          <w:tcPr>
            <w:tcW w:w="0" w:type="auto"/>
            <w:noWrap/>
            <w:vAlign w:val="center"/>
          </w:tcPr>
          <w:p w14:paraId="1D527906" w14:textId="62F5E043" w:rsidR="006D1689" w:rsidRPr="004B723C" w:rsidRDefault="00D53FD9">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9.93 × 10</w:t>
            </w:r>
            <w:r w:rsidRPr="004B723C">
              <w:rPr>
                <w:rFonts w:eastAsia="Times New Roman" w:cs="Times New Roman"/>
                <w:color w:val="000000"/>
                <w:sz w:val="18"/>
                <w:szCs w:val="18"/>
                <w:vertAlign w:val="superscript"/>
                <w:lang w:eastAsia="en-GB"/>
              </w:rPr>
              <w:t>-6</w:t>
            </w:r>
          </w:p>
        </w:tc>
        <w:tc>
          <w:tcPr>
            <w:tcW w:w="0" w:type="auto"/>
            <w:vAlign w:val="center"/>
          </w:tcPr>
          <w:p w14:paraId="7FF995EB" w14:textId="4FD8D02E" w:rsidR="006D1689" w:rsidRPr="004B723C" w:rsidRDefault="00931F92">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127/1,016</w:t>
            </w:r>
          </w:p>
        </w:tc>
        <w:tc>
          <w:tcPr>
            <w:tcW w:w="0" w:type="auto"/>
            <w:vAlign w:val="center"/>
          </w:tcPr>
          <w:p w14:paraId="24F96829" w14:textId="6C189C00" w:rsidR="006D1689" w:rsidRPr="004B723C" w:rsidRDefault="00931F92" w:rsidP="007F3A2D">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eastAsia="Times New Roman" w:cs="Times New Roman"/>
                <w:color w:val="000000"/>
                <w:sz w:val="18"/>
                <w:szCs w:val="18"/>
                <w:lang w:eastAsia="en-GB"/>
              </w:rPr>
              <w:t>20/135</w:t>
            </w:r>
          </w:p>
        </w:tc>
        <w:tc>
          <w:tcPr>
            <w:tcW w:w="0" w:type="auto"/>
            <w:vAlign w:val="center"/>
          </w:tcPr>
          <w:p w14:paraId="0F1DB641" w14:textId="390FE6A3" w:rsidR="006D1689" w:rsidRPr="004B723C" w:rsidRDefault="00931F92">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 xml:space="preserve">2.32 </w:t>
            </w:r>
            <w:r w:rsidR="00DA7E1C" w:rsidRPr="004B723C">
              <w:rPr>
                <w:rFonts w:cs="Times New Roman"/>
                <w:color w:val="000000"/>
                <w:sz w:val="18"/>
                <w:szCs w:val="18"/>
              </w:rPr>
              <w:t>(</w:t>
            </w:r>
            <w:r w:rsidRPr="004B723C">
              <w:rPr>
                <w:rFonts w:cs="Times New Roman"/>
                <w:color w:val="000000"/>
                <w:sz w:val="18"/>
                <w:szCs w:val="18"/>
              </w:rPr>
              <w:t>1.29–4.17</w:t>
            </w:r>
            <w:r w:rsidR="00DA7E1C" w:rsidRPr="004B723C">
              <w:rPr>
                <w:rFonts w:cs="Times New Roman"/>
                <w:color w:val="000000"/>
                <w:sz w:val="18"/>
                <w:szCs w:val="18"/>
              </w:rPr>
              <w:t>)</w:t>
            </w:r>
          </w:p>
        </w:tc>
        <w:tc>
          <w:tcPr>
            <w:tcW w:w="0" w:type="auto"/>
            <w:vAlign w:val="center"/>
          </w:tcPr>
          <w:p w14:paraId="01E5886D" w14:textId="5CA9A1AF" w:rsidR="006D1689" w:rsidRPr="004B723C" w:rsidRDefault="00931F92">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0.0048</w:t>
            </w:r>
          </w:p>
        </w:tc>
      </w:tr>
      <w:tr w:rsidR="001B669D" w:rsidRPr="004B723C" w14:paraId="6D59CAB3" w14:textId="77777777" w:rsidTr="007F3A2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2C6410AB" w14:textId="77777777" w:rsidR="006D1689" w:rsidRPr="004B723C" w:rsidRDefault="006D1689" w:rsidP="0025243F">
            <w:pPr>
              <w:spacing w:line="360" w:lineRule="auto"/>
              <w:rPr>
                <w:rFonts w:eastAsia="Times New Roman" w:cs="Times New Roman"/>
                <w:color w:val="000000"/>
                <w:sz w:val="18"/>
                <w:szCs w:val="18"/>
                <w:lang w:eastAsia="en-GB"/>
              </w:rPr>
            </w:pPr>
          </w:p>
        </w:tc>
        <w:tc>
          <w:tcPr>
            <w:tcW w:w="0" w:type="auto"/>
            <w:noWrap/>
            <w:vAlign w:val="center"/>
          </w:tcPr>
          <w:p w14:paraId="15E03402" w14:textId="77777777" w:rsidR="006D1689" w:rsidRPr="004B723C" w:rsidRDefault="006D1689" w:rsidP="002524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Recipient seropositive</w:t>
            </w:r>
          </w:p>
        </w:tc>
        <w:tc>
          <w:tcPr>
            <w:tcW w:w="0" w:type="auto"/>
            <w:noWrap/>
            <w:vAlign w:val="center"/>
          </w:tcPr>
          <w:p w14:paraId="5537F9EE" w14:textId="1A542EDC" w:rsidR="006D1689" w:rsidRPr="004B723C" w:rsidRDefault="00931F92">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230/1,181</w:t>
            </w:r>
          </w:p>
        </w:tc>
        <w:tc>
          <w:tcPr>
            <w:tcW w:w="0" w:type="auto"/>
            <w:noWrap/>
            <w:vAlign w:val="center"/>
          </w:tcPr>
          <w:p w14:paraId="5F7C0B0E" w14:textId="1666AF46" w:rsidR="006D1689" w:rsidRPr="004B723C" w:rsidRDefault="00931F92">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6/52</w:t>
            </w:r>
          </w:p>
        </w:tc>
        <w:tc>
          <w:tcPr>
            <w:tcW w:w="0" w:type="auto"/>
            <w:noWrap/>
            <w:vAlign w:val="center"/>
          </w:tcPr>
          <w:p w14:paraId="34C111FF" w14:textId="25F9F9EA" w:rsidR="006D1689" w:rsidRPr="004B723C" w:rsidRDefault="00931F92">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 xml:space="preserve">1.28 </w:t>
            </w:r>
            <w:r w:rsidR="00DA7E1C" w:rsidRPr="004B723C">
              <w:rPr>
                <w:rFonts w:eastAsia="Times New Roman" w:cs="Times New Roman"/>
                <w:color w:val="000000"/>
                <w:sz w:val="18"/>
                <w:szCs w:val="18"/>
                <w:lang w:eastAsia="en-GB"/>
              </w:rPr>
              <w:t>(</w:t>
            </w:r>
            <w:r w:rsidRPr="004B723C">
              <w:rPr>
                <w:rFonts w:eastAsia="Times New Roman" w:cs="Times New Roman"/>
                <w:color w:val="000000"/>
                <w:sz w:val="18"/>
                <w:szCs w:val="18"/>
                <w:lang w:eastAsia="en-GB"/>
              </w:rPr>
              <w:t>0.56–2.92</w:t>
            </w:r>
            <w:r w:rsidR="00DA7E1C" w:rsidRPr="004B723C">
              <w:rPr>
                <w:rFonts w:eastAsia="Times New Roman" w:cs="Times New Roman"/>
                <w:color w:val="000000"/>
                <w:sz w:val="18"/>
                <w:szCs w:val="18"/>
                <w:lang w:eastAsia="en-GB"/>
              </w:rPr>
              <w:t>)</w:t>
            </w:r>
          </w:p>
        </w:tc>
        <w:tc>
          <w:tcPr>
            <w:tcW w:w="0" w:type="auto"/>
            <w:noWrap/>
            <w:vAlign w:val="center"/>
          </w:tcPr>
          <w:p w14:paraId="6DDC2B6A" w14:textId="7A41EBBE" w:rsidR="006D1689" w:rsidRPr="004B723C" w:rsidRDefault="00931F92">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0.55</w:t>
            </w:r>
          </w:p>
        </w:tc>
        <w:tc>
          <w:tcPr>
            <w:tcW w:w="0" w:type="auto"/>
            <w:vAlign w:val="center"/>
          </w:tcPr>
          <w:p w14:paraId="327A8229" w14:textId="62279F24" w:rsidR="006D1689" w:rsidRPr="004B723C" w:rsidRDefault="00931F92">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eastAsia="Times New Roman" w:cs="Times New Roman"/>
                <w:color w:val="000000"/>
                <w:sz w:val="18"/>
                <w:szCs w:val="18"/>
                <w:lang w:eastAsia="en-GB"/>
              </w:rPr>
              <w:t>230/1,181</w:t>
            </w:r>
          </w:p>
        </w:tc>
        <w:tc>
          <w:tcPr>
            <w:tcW w:w="0" w:type="auto"/>
            <w:vAlign w:val="center"/>
          </w:tcPr>
          <w:p w14:paraId="20E03417" w14:textId="111F80F3" w:rsidR="006D1689" w:rsidRPr="004B723C" w:rsidRDefault="00931F92">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eastAsia="Times New Roman" w:cs="Times New Roman"/>
                <w:color w:val="000000"/>
                <w:sz w:val="18"/>
                <w:szCs w:val="18"/>
                <w:lang w:eastAsia="en-GB"/>
              </w:rPr>
              <w:t>6/52</w:t>
            </w:r>
          </w:p>
        </w:tc>
        <w:tc>
          <w:tcPr>
            <w:tcW w:w="0" w:type="auto"/>
            <w:vAlign w:val="center"/>
          </w:tcPr>
          <w:p w14:paraId="543B1DFC" w14:textId="389C90DB" w:rsidR="006D1689" w:rsidRPr="004B723C" w:rsidRDefault="00931F92">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 xml:space="preserve">1.48 </w:t>
            </w:r>
            <w:r w:rsidR="00DA7E1C" w:rsidRPr="004B723C">
              <w:rPr>
                <w:rFonts w:cs="Times New Roman"/>
                <w:color w:val="000000"/>
                <w:sz w:val="18"/>
                <w:szCs w:val="18"/>
              </w:rPr>
              <w:t>(</w:t>
            </w:r>
            <w:r w:rsidRPr="004B723C">
              <w:rPr>
                <w:rFonts w:cs="Times New Roman"/>
                <w:color w:val="000000"/>
                <w:sz w:val="18"/>
                <w:szCs w:val="18"/>
              </w:rPr>
              <w:t>0.64–3.41</w:t>
            </w:r>
            <w:r w:rsidR="00DA7E1C" w:rsidRPr="004B723C">
              <w:rPr>
                <w:rFonts w:cs="Times New Roman"/>
                <w:color w:val="000000"/>
                <w:sz w:val="18"/>
                <w:szCs w:val="18"/>
              </w:rPr>
              <w:t>)</w:t>
            </w:r>
          </w:p>
        </w:tc>
        <w:tc>
          <w:tcPr>
            <w:tcW w:w="0" w:type="auto"/>
            <w:vAlign w:val="center"/>
          </w:tcPr>
          <w:p w14:paraId="7AFA3F42" w14:textId="0357F9C7" w:rsidR="006D1689" w:rsidRPr="004B723C" w:rsidRDefault="00931F92">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0.36</w:t>
            </w:r>
          </w:p>
        </w:tc>
      </w:tr>
      <w:tr w:rsidR="007E2023" w:rsidRPr="004B723C" w14:paraId="35C9A311" w14:textId="77777777" w:rsidTr="00755A54">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gridSpan w:val="2"/>
            <w:noWrap/>
            <w:vAlign w:val="center"/>
          </w:tcPr>
          <w:p w14:paraId="39A416AB" w14:textId="52C1A8EC" w:rsidR="007E2023" w:rsidRPr="004B723C" w:rsidDel="00D41BA7" w:rsidRDefault="007E2023" w:rsidP="007F3A2D">
            <w:pPr>
              <w:spacing w:line="360" w:lineRule="auto"/>
              <w:rPr>
                <w:rFonts w:eastAsia="Times New Roman" w:cs="Times New Roman"/>
                <w:color w:val="000000"/>
                <w:sz w:val="18"/>
                <w:szCs w:val="18"/>
                <w:lang w:eastAsia="en-GB"/>
              </w:rPr>
            </w:pPr>
            <w:r w:rsidRPr="004B723C">
              <w:rPr>
                <w:rFonts w:cs="Times New Roman"/>
                <w:color w:val="000000"/>
                <w:sz w:val="18"/>
                <w:szCs w:val="18"/>
              </w:rPr>
              <w:t>Interaction (CMV replication × recipient serostatus)</w:t>
            </w:r>
          </w:p>
        </w:tc>
        <w:tc>
          <w:tcPr>
            <w:tcW w:w="0" w:type="auto"/>
            <w:noWrap/>
            <w:vAlign w:val="center"/>
          </w:tcPr>
          <w:p w14:paraId="67067CAE" w14:textId="5B254F8C" w:rsidR="007E2023" w:rsidRPr="004B723C" w:rsidRDefault="007E2023" w:rsidP="00876906">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358/2,198</w:t>
            </w:r>
          </w:p>
        </w:tc>
        <w:tc>
          <w:tcPr>
            <w:tcW w:w="0" w:type="auto"/>
            <w:noWrap/>
            <w:vAlign w:val="center"/>
          </w:tcPr>
          <w:p w14:paraId="7EEA01E3" w14:textId="6D991A07" w:rsidR="007E2023" w:rsidRPr="004B723C" w:rsidRDefault="007E2023" w:rsidP="00876906">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w:t>
            </w:r>
          </w:p>
        </w:tc>
        <w:tc>
          <w:tcPr>
            <w:tcW w:w="0" w:type="auto"/>
            <w:noWrap/>
            <w:vAlign w:val="center"/>
          </w:tcPr>
          <w:p w14:paraId="72576A22" w14:textId="6A2BAEF7" w:rsidR="007E2023" w:rsidRPr="004B723C" w:rsidRDefault="007E2023" w:rsidP="00876906">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0.38 (0.15–0.99)</w:t>
            </w:r>
          </w:p>
        </w:tc>
        <w:tc>
          <w:tcPr>
            <w:tcW w:w="0" w:type="auto"/>
            <w:noWrap/>
            <w:vAlign w:val="center"/>
          </w:tcPr>
          <w:p w14:paraId="1E8F802E" w14:textId="02A4DB57" w:rsidR="007E2023" w:rsidRPr="004B723C" w:rsidRDefault="007E2023" w:rsidP="00876906">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0.047</w:t>
            </w:r>
          </w:p>
        </w:tc>
        <w:tc>
          <w:tcPr>
            <w:tcW w:w="0" w:type="auto"/>
            <w:vAlign w:val="center"/>
          </w:tcPr>
          <w:p w14:paraId="023538DC" w14:textId="611EF2B0" w:rsidR="007E2023" w:rsidRPr="004B723C" w:rsidRDefault="007E2023" w:rsidP="00876906">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357/2,197</w:t>
            </w:r>
          </w:p>
        </w:tc>
        <w:tc>
          <w:tcPr>
            <w:tcW w:w="0" w:type="auto"/>
            <w:vAlign w:val="center"/>
          </w:tcPr>
          <w:p w14:paraId="4ED302B9" w14:textId="5441B4DC" w:rsidR="007E2023" w:rsidRPr="004B723C" w:rsidRDefault="007E2023" w:rsidP="00876906">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w:t>
            </w:r>
          </w:p>
        </w:tc>
        <w:tc>
          <w:tcPr>
            <w:tcW w:w="0" w:type="auto"/>
            <w:vAlign w:val="center"/>
          </w:tcPr>
          <w:p w14:paraId="101C52E5" w14:textId="717464C7" w:rsidR="007E2023" w:rsidRPr="004B723C" w:rsidRDefault="007E2023" w:rsidP="00876906">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0.47 (0.18–1.21)</w:t>
            </w:r>
          </w:p>
        </w:tc>
        <w:tc>
          <w:tcPr>
            <w:tcW w:w="0" w:type="auto"/>
            <w:vAlign w:val="center"/>
          </w:tcPr>
          <w:p w14:paraId="29A4E3F3" w14:textId="23F6E4BF" w:rsidR="007E2023" w:rsidRPr="004B723C" w:rsidRDefault="007E2023" w:rsidP="00876906">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0.12</w:t>
            </w:r>
          </w:p>
        </w:tc>
      </w:tr>
      <w:tr w:rsidR="001B669D" w:rsidRPr="004B723C" w14:paraId="06016EED" w14:textId="77777777" w:rsidTr="007F3A2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13818916" w14:textId="77777777" w:rsidR="00876906" w:rsidRPr="004B723C" w:rsidRDefault="00876906" w:rsidP="00876906">
            <w:pPr>
              <w:spacing w:line="360" w:lineRule="auto"/>
              <w:rPr>
                <w:rFonts w:eastAsia="Times New Roman" w:cs="Times New Roman"/>
                <w:color w:val="000000"/>
                <w:sz w:val="18"/>
                <w:szCs w:val="18"/>
                <w:lang w:eastAsia="en-GB"/>
              </w:rPr>
            </w:pPr>
            <w:r w:rsidRPr="004B723C">
              <w:rPr>
                <w:rFonts w:eastAsia="Times New Roman" w:cs="Times New Roman"/>
                <w:color w:val="000000"/>
                <w:sz w:val="18"/>
                <w:szCs w:val="18"/>
                <w:lang w:eastAsia="en-GB"/>
              </w:rPr>
              <w:t>Donor CMV seropositivity</w:t>
            </w:r>
          </w:p>
        </w:tc>
        <w:tc>
          <w:tcPr>
            <w:tcW w:w="0" w:type="auto"/>
            <w:noWrap/>
            <w:vAlign w:val="center"/>
          </w:tcPr>
          <w:p w14:paraId="6B74D686" w14:textId="77777777" w:rsidR="00876906" w:rsidRPr="004B723C" w:rsidRDefault="00876906" w:rsidP="00876906">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Donor seronegative</w:t>
            </w:r>
          </w:p>
        </w:tc>
        <w:tc>
          <w:tcPr>
            <w:tcW w:w="0" w:type="auto"/>
            <w:noWrap/>
            <w:vAlign w:val="center"/>
          </w:tcPr>
          <w:p w14:paraId="7C56C218" w14:textId="6DA3E82F" w:rsidR="00876906" w:rsidRPr="004B723C" w:rsidRDefault="00876906" w:rsidP="00876906">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178/1169</w:t>
            </w:r>
          </w:p>
        </w:tc>
        <w:tc>
          <w:tcPr>
            <w:tcW w:w="0" w:type="auto"/>
            <w:noWrap/>
            <w:vAlign w:val="center"/>
          </w:tcPr>
          <w:p w14:paraId="276116D2" w14:textId="31ECD32E" w:rsidR="00876906" w:rsidRPr="004B723C" w:rsidRDefault="00876906" w:rsidP="00876906">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4/21</w:t>
            </w:r>
          </w:p>
        </w:tc>
        <w:tc>
          <w:tcPr>
            <w:tcW w:w="0" w:type="auto"/>
            <w:noWrap/>
            <w:vAlign w:val="center"/>
          </w:tcPr>
          <w:p w14:paraId="52B532C1" w14:textId="5DD22C66" w:rsidR="00876906" w:rsidRPr="004B723C" w:rsidRDefault="00876906" w:rsidP="00876906">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4.07 (1.49–11.08)</w:t>
            </w:r>
          </w:p>
        </w:tc>
        <w:tc>
          <w:tcPr>
            <w:tcW w:w="0" w:type="auto"/>
            <w:noWrap/>
            <w:vAlign w:val="center"/>
          </w:tcPr>
          <w:p w14:paraId="0C69065C" w14:textId="6F76711A" w:rsidR="00876906" w:rsidRPr="004B723C" w:rsidRDefault="00876906" w:rsidP="00876906">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0.006</w:t>
            </w:r>
          </w:p>
        </w:tc>
        <w:tc>
          <w:tcPr>
            <w:tcW w:w="0" w:type="auto"/>
            <w:vAlign w:val="center"/>
          </w:tcPr>
          <w:p w14:paraId="3425AEA5" w14:textId="7A8EA3DD" w:rsidR="00876906" w:rsidRPr="004B723C" w:rsidRDefault="00876906" w:rsidP="00876906">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178/1169</w:t>
            </w:r>
          </w:p>
        </w:tc>
        <w:tc>
          <w:tcPr>
            <w:tcW w:w="0" w:type="auto"/>
            <w:vAlign w:val="center"/>
          </w:tcPr>
          <w:p w14:paraId="24A9C4C3" w14:textId="7CEB1626" w:rsidR="00876906" w:rsidRPr="004B723C" w:rsidRDefault="00876906" w:rsidP="00876906">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4/21</w:t>
            </w:r>
          </w:p>
        </w:tc>
        <w:tc>
          <w:tcPr>
            <w:tcW w:w="0" w:type="auto"/>
            <w:vAlign w:val="center"/>
          </w:tcPr>
          <w:p w14:paraId="1FEE37FF" w14:textId="4C528D93" w:rsidR="00876906" w:rsidRPr="004B723C" w:rsidRDefault="00876906" w:rsidP="00876906">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4.74 (1.71–13.11)</w:t>
            </w:r>
          </w:p>
        </w:tc>
        <w:tc>
          <w:tcPr>
            <w:tcW w:w="0" w:type="auto"/>
            <w:vAlign w:val="center"/>
          </w:tcPr>
          <w:p w14:paraId="10E6EC3C" w14:textId="42F55BF4" w:rsidR="00876906" w:rsidRPr="004B723C" w:rsidRDefault="00876906" w:rsidP="00876906">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0.0027</w:t>
            </w:r>
          </w:p>
        </w:tc>
      </w:tr>
      <w:tr w:rsidR="001B669D" w:rsidRPr="004B723C" w14:paraId="1D38A131" w14:textId="77777777" w:rsidTr="007F3A2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00092543" w14:textId="77777777" w:rsidR="00876906" w:rsidRPr="004B723C" w:rsidRDefault="00876906" w:rsidP="00876906">
            <w:pPr>
              <w:spacing w:line="360" w:lineRule="auto"/>
              <w:rPr>
                <w:rFonts w:eastAsia="Times New Roman" w:cs="Times New Roman"/>
                <w:color w:val="000000"/>
                <w:sz w:val="18"/>
                <w:szCs w:val="18"/>
                <w:lang w:eastAsia="en-GB"/>
              </w:rPr>
            </w:pPr>
          </w:p>
        </w:tc>
        <w:tc>
          <w:tcPr>
            <w:tcW w:w="0" w:type="auto"/>
            <w:noWrap/>
            <w:vAlign w:val="center"/>
          </w:tcPr>
          <w:p w14:paraId="79E7206D" w14:textId="77777777" w:rsidR="00876906" w:rsidRPr="004B723C" w:rsidRDefault="00876906" w:rsidP="00876906">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Donor seropositive</w:t>
            </w:r>
          </w:p>
        </w:tc>
        <w:tc>
          <w:tcPr>
            <w:tcW w:w="0" w:type="auto"/>
            <w:noWrap/>
            <w:vAlign w:val="center"/>
          </w:tcPr>
          <w:p w14:paraId="32D3F26E" w14:textId="2CF3F515" w:rsidR="00876906" w:rsidRPr="004B723C" w:rsidRDefault="00876906" w:rsidP="00876906">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180/1029</w:t>
            </w:r>
          </w:p>
        </w:tc>
        <w:tc>
          <w:tcPr>
            <w:tcW w:w="0" w:type="auto"/>
            <w:noWrap/>
            <w:vAlign w:val="center"/>
          </w:tcPr>
          <w:p w14:paraId="08083EC1" w14:textId="3EBA30D1" w:rsidR="00876906" w:rsidRPr="004B723C" w:rsidRDefault="00876906" w:rsidP="00876906">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22/166</w:t>
            </w:r>
          </w:p>
        </w:tc>
        <w:tc>
          <w:tcPr>
            <w:tcW w:w="0" w:type="auto"/>
            <w:noWrap/>
            <w:vAlign w:val="center"/>
          </w:tcPr>
          <w:p w14:paraId="3F5C2EF5" w14:textId="37EBD8DB" w:rsidR="00876906" w:rsidRPr="004B723C" w:rsidRDefault="00876906" w:rsidP="00876906">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1.72 (1.06–2.81)</w:t>
            </w:r>
          </w:p>
        </w:tc>
        <w:tc>
          <w:tcPr>
            <w:tcW w:w="0" w:type="auto"/>
            <w:noWrap/>
            <w:vAlign w:val="center"/>
          </w:tcPr>
          <w:p w14:paraId="4E82335C" w14:textId="09C1DC70" w:rsidR="00876906" w:rsidRPr="004B723C" w:rsidRDefault="00876906" w:rsidP="00876906">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0.029</w:t>
            </w:r>
          </w:p>
        </w:tc>
        <w:tc>
          <w:tcPr>
            <w:tcW w:w="0" w:type="auto"/>
            <w:vAlign w:val="center"/>
          </w:tcPr>
          <w:p w14:paraId="73F93FC3" w14:textId="384CD247" w:rsidR="00876906" w:rsidRPr="004B723C" w:rsidRDefault="00876906" w:rsidP="00876906">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179/1028</w:t>
            </w:r>
          </w:p>
        </w:tc>
        <w:tc>
          <w:tcPr>
            <w:tcW w:w="0" w:type="auto"/>
            <w:vAlign w:val="center"/>
          </w:tcPr>
          <w:p w14:paraId="3C1018E5" w14:textId="7A6CC0A7" w:rsidR="00876906" w:rsidRPr="004B723C" w:rsidRDefault="00876906" w:rsidP="00876906">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22/166</w:t>
            </w:r>
          </w:p>
        </w:tc>
        <w:tc>
          <w:tcPr>
            <w:tcW w:w="0" w:type="auto"/>
            <w:vAlign w:val="center"/>
          </w:tcPr>
          <w:p w14:paraId="5097E92D" w14:textId="723DE044" w:rsidR="00876906" w:rsidRPr="004B723C" w:rsidRDefault="00876906" w:rsidP="00876906">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1.68 (1.01–2.78)</w:t>
            </w:r>
          </w:p>
        </w:tc>
        <w:tc>
          <w:tcPr>
            <w:tcW w:w="0" w:type="auto"/>
            <w:vAlign w:val="center"/>
          </w:tcPr>
          <w:p w14:paraId="6ED930F9" w14:textId="64A00B52" w:rsidR="00876906" w:rsidRPr="004B723C" w:rsidRDefault="00876906" w:rsidP="00876906">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0.046</w:t>
            </w:r>
          </w:p>
        </w:tc>
      </w:tr>
      <w:tr w:rsidR="007E2023" w:rsidRPr="004B723C" w14:paraId="7A267666" w14:textId="77777777" w:rsidTr="001B12D9">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gridSpan w:val="2"/>
            <w:noWrap/>
            <w:vAlign w:val="center"/>
          </w:tcPr>
          <w:p w14:paraId="4D34BC5B" w14:textId="610ABBB7" w:rsidR="007E2023" w:rsidRPr="004B723C" w:rsidDel="00D41BA7" w:rsidRDefault="007E2023" w:rsidP="007F3A2D">
            <w:pPr>
              <w:spacing w:line="360" w:lineRule="auto"/>
              <w:rPr>
                <w:rFonts w:eastAsia="Times New Roman" w:cs="Times New Roman"/>
                <w:color w:val="000000"/>
                <w:sz w:val="18"/>
                <w:szCs w:val="18"/>
                <w:lang w:eastAsia="en-GB"/>
              </w:rPr>
            </w:pPr>
            <w:r w:rsidRPr="004B723C">
              <w:rPr>
                <w:rFonts w:cs="Times New Roman"/>
                <w:color w:val="000000"/>
                <w:sz w:val="18"/>
                <w:szCs w:val="18"/>
              </w:rPr>
              <w:t>Interaction (CMV replication × donor serostatus)</w:t>
            </w:r>
          </w:p>
        </w:tc>
        <w:tc>
          <w:tcPr>
            <w:tcW w:w="0" w:type="auto"/>
            <w:noWrap/>
            <w:vAlign w:val="center"/>
          </w:tcPr>
          <w:p w14:paraId="7B2ADBA0" w14:textId="2E94FA62" w:rsidR="007E2023" w:rsidRPr="004B723C" w:rsidRDefault="007E2023" w:rsidP="006534F8">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358/2,198</w:t>
            </w:r>
          </w:p>
        </w:tc>
        <w:tc>
          <w:tcPr>
            <w:tcW w:w="0" w:type="auto"/>
            <w:noWrap/>
            <w:vAlign w:val="center"/>
          </w:tcPr>
          <w:p w14:paraId="363890E5" w14:textId="316D051A" w:rsidR="007E2023" w:rsidRPr="004B723C" w:rsidRDefault="007E2023" w:rsidP="006534F8">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w:t>
            </w:r>
          </w:p>
        </w:tc>
        <w:tc>
          <w:tcPr>
            <w:tcW w:w="0" w:type="auto"/>
            <w:noWrap/>
            <w:vAlign w:val="center"/>
          </w:tcPr>
          <w:p w14:paraId="331B8020" w14:textId="0633A8BA" w:rsidR="007E2023" w:rsidRPr="004B723C" w:rsidRDefault="007E2023" w:rsidP="006534F8">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0.45 (0.15–1.33)</w:t>
            </w:r>
          </w:p>
        </w:tc>
        <w:tc>
          <w:tcPr>
            <w:tcW w:w="0" w:type="auto"/>
            <w:noWrap/>
            <w:vAlign w:val="center"/>
          </w:tcPr>
          <w:p w14:paraId="410F2AC9" w14:textId="4CCFBDAA" w:rsidR="007E2023" w:rsidRPr="004B723C" w:rsidRDefault="007E2023" w:rsidP="006534F8">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0.15</w:t>
            </w:r>
          </w:p>
        </w:tc>
        <w:tc>
          <w:tcPr>
            <w:tcW w:w="0" w:type="auto"/>
            <w:vAlign w:val="center"/>
          </w:tcPr>
          <w:p w14:paraId="7DE92EB7" w14:textId="4544FCF1" w:rsidR="007E2023" w:rsidRPr="004B723C" w:rsidRDefault="007E2023" w:rsidP="006534F8">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357/2,197</w:t>
            </w:r>
          </w:p>
        </w:tc>
        <w:tc>
          <w:tcPr>
            <w:tcW w:w="0" w:type="auto"/>
            <w:vAlign w:val="center"/>
          </w:tcPr>
          <w:p w14:paraId="75B2308B" w14:textId="58957A9E" w:rsidR="007E2023" w:rsidRPr="004B723C" w:rsidRDefault="007E2023" w:rsidP="006534F8">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w:t>
            </w:r>
          </w:p>
        </w:tc>
        <w:tc>
          <w:tcPr>
            <w:tcW w:w="0" w:type="auto"/>
            <w:vAlign w:val="center"/>
          </w:tcPr>
          <w:p w14:paraId="4FFD2D52" w14:textId="558E8B8D" w:rsidR="007E2023" w:rsidRPr="004B723C" w:rsidRDefault="007E2023" w:rsidP="006534F8">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0.41 (0.14–1.22)</w:t>
            </w:r>
          </w:p>
        </w:tc>
        <w:tc>
          <w:tcPr>
            <w:tcW w:w="0" w:type="auto"/>
            <w:vAlign w:val="center"/>
          </w:tcPr>
          <w:p w14:paraId="3EC08120" w14:textId="0BAAE3A2" w:rsidR="007E2023" w:rsidRPr="004B723C" w:rsidRDefault="007E2023" w:rsidP="006534F8">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0.11</w:t>
            </w:r>
          </w:p>
        </w:tc>
      </w:tr>
      <w:tr w:rsidR="006534F8" w:rsidRPr="004B723C" w14:paraId="77D47BF1" w14:textId="77777777" w:rsidTr="007F3A2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309915BA" w14:textId="77777777" w:rsidR="006534F8" w:rsidRPr="004B723C" w:rsidRDefault="006534F8" w:rsidP="006534F8">
            <w:pPr>
              <w:spacing w:line="360" w:lineRule="auto"/>
              <w:rPr>
                <w:rFonts w:eastAsia="Times New Roman" w:cs="Times New Roman"/>
                <w:color w:val="000000"/>
                <w:sz w:val="18"/>
                <w:szCs w:val="18"/>
                <w:lang w:eastAsia="en-GB"/>
              </w:rPr>
            </w:pPr>
            <w:r w:rsidRPr="004B723C">
              <w:rPr>
                <w:rFonts w:eastAsia="Times New Roman" w:cs="Times New Roman"/>
                <w:color w:val="000000"/>
                <w:sz w:val="18"/>
                <w:szCs w:val="18"/>
                <w:lang w:eastAsia="en-GB"/>
              </w:rPr>
              <w:t>CMV serostatus</w:t>
            </w:r>
          </w:p>
        </w:tc>
        <w:tc>
          <w:tcPr>
            <w:tcW w:w="0" w:type="auto"/>
            <w:noWrap/>
            <w:vAlign w:val="center"/>
          </w:tcPr>
          <w:p w14:paraId="7BE33EFB" w14:textId="77777777" w:rsidR="006534F8" w:rsidRPr="004B723C" w:rsidRDefault="006534F8" w:rsidP="006534F8">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eastAsia="Times New Roman" w:cs="Times New Roman"/>
                <w:color w:val="000000"/>
                <w:sz w:val="18"/>
                <w:szCs w:val="18"/>
                <w:lang w:eastAsia="en-GB"/>
              </w:rPr>
              <w:t>D−/R−</w:t>
            </w:r>
          </w:p>
        </w:tc>
        <w:tc>
          <w:tcPr>
            <w:tcW w:w="0" w:type="auto"/>
            <w:noWrap/>
            <w:vAlign w:val="center"/>
          </w:tcPr>
          <w:p w14:paraId="57F42F26" w14:textId="3A1B3667" w:rsidR="006534F8" w:rsidRPr="004B723C" w:rsidRDefault="006534F8" w:rsidP="006534F8">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57/588</w:t>
            </w:r>
          </w:p>
        </w:tc>
        <w:tc>
          <w:tcPr>
            <w:tcW w:w="0" w:type="auto"/>
            <w:noWrap/>
            <w:vAlign w:val="center"/>
          </w:tcPr>
          <w:p w14:paraId="4DC1AA55" w14:textId="3213020E" w:rsidR="006534F8" w:rsidRPr="004B723C" w:rsidRDefault="006534F8" w:rsidP="006534F8">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2/10</w:t>
            </w:r>
          </w:p>
        </w:tc>
        <w:tc>
          <w:tcPr>
            <w:tcW w:w="0" w:type="auto"/>
            <w:noWrap/>
            <w:vAlign w:val="center"/>
          </w:tcPr>
          <w:p w14:paraId="19B05D71" w14:textId="5B71D9AB" w:rsidR="006534F8" w:rsidRPr="004B723C" w:rsidRDefault="006534F8" w:rsidP="006534F8">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6.75 (1.60–28.50)</w:t>
            </w:r>
          </w:p>
        </w:tc>
        <w:tc>
          <w:tcPr>
            <w:tcW w:w="0" w:type="auto"/>
            <w:noWrap/>
            <w:vAlign w:val="center"/>
          </w:tcPr>
          <w:p w14:paraId="1DFD745F" w14:textId="735951F2" w:rsidR="006534F8" w:rsidRPr="004B723C" w:rsidRDefault="006534F8" w:rsidP="006534F8">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0.0094</w:t>
            </w:r>
          </w:p>
        </w:tc>
        <w:tc>
          <w:tcPr>
            <w:tcW w:w="0" w:type="auto"/>
            <w:vAlign w:val="center"/>
          </w:tcPr>
          <w:p w14:paraId="1F661C75" w14:textId="7E04667A" w:rsidR="006534F8" w:rsidRPr="004B723C" w:rsidRDefault="006534F8" w:rsidP="006534F8">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57/588</w:t>
            </w:r>
          </w:p>
        </w:tc>
        <w:tc>
          <w:tcPr>
            <w:tcW w:w="0" w:type="auto"/>
            <w:vAlign w:val="center"/>
          </w:tcPr>
          <w:p w14:paraId="2B5E73F8" w14:textId="118FDC12" w:rsidR="006534F8" w:rsidRPr="004B723C" w:rsidRDefault="006534F8" w:rsidP="006534F8">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2/10</w:t>
            </w:r>
          </w:p>
        </w:tc>
        <w:tc>
          <w:tcPr>
            <w:tcW w:w="0" w:type="auto"/>
            <w:vAlign w:val="center"/>
          </w:tcPr>
          <w:p w14:paraId="6193C529" w14:textId="6DE26EBC" w:rsidR="006534F8" w:rsidRPr="004B723C" w:rsidRDefault="006534F8" w:rsidP="006534F8">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7.71 (1.76–33.71)</w:t>
            </w:r>
          </w:p>
        </w:tc>
        <w:tc>
          <w:tcPr>
            <w:tcW w:w="0" w:type="auto"/>
            <w:vAlign w:val="center"/>
          </w:tcPr>
          <w:p w14:paraId="7CFFAE73" w14:textId="102DC0E7" w:rsidR="006534F8" w:rsidRPr="004B723C" w:rsidRDefault="006534F8" w:rsidP="006534F8">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0.0067</w:t>
            </w:r>
          </w:p>
        </w:tc>
      </w:tr>
      <w:tr w:rsidR="00F01A3F" w:rsidRPr="004B723C" w14:paraId="0A22E326" w14:textId="77777777" w:rsidTr="007F3A2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2DA3CAA8" w14:textId="77777777" w:rsidR="00F01A3F" w:rsidRPr="004B723C" w:rsidRDefault="00F01A3F" w:rsidP="00F01A3F">
            <w:pPr>
              <w:spacing w:line="360" w:lineRule="auto"/>
              <w:rPr>
                <w:rFonts w:eastAsia="Times New Roman" w:cs="Times New Roman"/>
                <w:color w:val="000000"/>
                <w:sz w:val="18"/>
                <w:szCs w:val="18"/>
                <w:lang w:eastAsia="en-GB"/>
              </w:rPr>
            </w:pPr>
          </w:p>
        </w:tc>
        <w:tc>
          <w:tcPr>
            <w:tcW w:w="0" w:type="auto"/>
            <w:noWrap/>
            <w:vAlign w:val="center"/>
          </w:tcPr>
          <w:p w14:paraId="7FA25D7A" w14:textId="77777777" w:rsidR="00F01A3F" w:rsidRPr="004B723C" w:rsidRDefault="00F01A3F" w:rsidP="00F01A3F">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D</w:t>
            </w:r>
            <w:r w:rsidRPr="004B723C">
              <w:rPr>
                <w:rFonts w:eastAsia="Times New Roman" w:cs="Times New Roman"/>
                <w:color w:val="000000"/>
                <w:sz w:val="18"/>
                <w:szCs w:val="18"/>
                <w:lang w:eastAsia="en-GB"/>
              </w:rPr>
              <w:t>−</w:t>
            </w:r>
            <w:r w:rsidRPr="004B723C">
              <w:rPr>
                <w:rFonts w:cs="Times New Roman"/>
                <w:color w:val="000000"/>
                <w:sz w:val="18"/>
                <w:szCs w:val="18"/>
              </w:rPr>
              <w:t>/R+</w:t>
            </w:r>
          </w:p>
        </w:tc>
        <w:tc>
          <w:tcPr>
            <w:tcW w:w="0" w:type="auto"/>
            <w:noWrap/>
            <w:vAlign w:val="center"/>
          </w:tcPr>
          <w:p w14:paraId="12E91858" w14:textId="7351AF13" w:rsidR="00F01A3F" w:rsidRPr="004B723C" w:rsidRDefault="00F01A3F" w:rsidP="00F01A3F">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121/581</w:t>
            </w:r>
          </w:p>
        </w:tc>
        <w:tc>
          <w:tcPr>
            <w:tcW w:w="0" w:type="auto"/>
            <w:noWrap/>
            <w:vAlign w:val="center"/>
          </w:tcPr>
          <w:p w14:paraId="1357A7BC" w14:textId="5B6AFB6A" w:rsidR="00F01A3F" w:rsidRPr="004B723C" w:rsidRDefault="00F01A3F" w:rsidP="00F01A3F">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2/11</w:t>
            </w:r>
          </w:p>
        </w:tc>
        <w:tc>
          <w:tcPr>
            <w:tcW w:w="0" w:type="auto"/>
            <w:noWrap/>
            <w:vAlign w:val="center"/>
          </w:tcPr>
          <w:p w14:paraId="24CAA0E1" w14:textId="19DD775A" w:rsidR="00F01A3F" w:rsidRPr="004B723C" w:rsidRDefault="00F01A3F" w:rsidP="00F01A3F">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2.49 (0.61–10.17)</w:t>
            </w:r>
          </w:p>
        </w:tc>
        <w:tc>
          <w:tcPr>
            <w:tcW w:w="0" w:type="auto"/>
            <w:noWrap/>
            <w:vAlign w:val="center"/>
          </w:tcPr>
          <w:p w14:paraId="0C8A9974" w14:textId="654E7F37" w:rsidR="00F01A3F" w:rsidRPr="004B723C" w:rsidRDefault="00F01A3F" w:rsidP="00F01A3F">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0.21</w:t>
            </w:r>
          </w:p>
        </w:tc>
        <w:tc>
          <w:tcPr>
            <w:tcW w:w="0" w:type="auto"/>
            <w:vAlign w:val="center"/>
          </w:tcPr>
          <w:p w14:paraId="3C2DB615" w14:textId="1229E0E0" w:rsidR="00F01A3F" w:rsidRPr="004B723C" w:rsidRDefault="00F01A3F" w:rsidP="00F01A3F">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121/581</w:t>
            </w:r>
          </w:p>
        </w:tc>
        <w:tc>
          <w:tcPr>
            <w:tcW w:w="0" w:type="auto"/>
            <w:vAlign w:val="center"/>
          </w:tcPr>
          <w:p w14:paraId="40AF0D49" w14:textId="56FA65DF" w:rsidR="00F01A3F" w:rsidRPr="004B723C" w:rsidRDefault="00F01A3F" w:rsidP="00F01A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2/11</w:t>
            </w:r>
          </w:p>
        </w:tc>
        <w:tc>
          <w:tcPr>
            <w:tcW w:w="0" w:type="auto"/>
            <w:vAlign w:val="center"/>
          </w:tcPr>
          <w:p w14:paraId="169D7234" w14:textId="6EC4F08B" w:rsidR="00F01A3F" w:rsidRPr="004B723C" w:rsidRDefault="00F01A3F" w:rsidP="00F01A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3.03 (0.72–12.68)</w:t>
            </w:r>
          </w:p>
        </w:tc>
        <w:tc>
          <w:tcPr>
            <w:tcW w:w="0" w:type="auto"/>
            <w:vAlign w:val="center"/>
          </w:tcPr>
          <w:p w14:paraId="3132EFB6" w14:textId="488A1F34" w:rsidR="00F01A3F" w:rsidRPr="004B723C" w:rsidRDefault="00F01A3F" w:rsidP="00F01A3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0.13</w:t>
            </w:r>
          </w:p>
        </w:tc>
      </w:tr>
      <w:tr w:rsidR="00BA193B" w:rsidRPr="004B723C" w14:paraId="11D5D56B" w14:textId="77777777" w:rsidTr="007F3A2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7770EDF6" w14:textId="77777777" w:rsidR="00BA193B" w:rsidRPr="004B723C" w:rsidRDefault="00BA193B" w:rsidP="00BA193B">
            <w:pPr>
              <w:spacing w:line="360" w:lineRule="auto"/>
              <w:rPr>
                <w:rFonts w:eastAsia="Times New Roman" w:cs="Times New Roman"/>
                <w:color w:val="000000"/>
                <w:sz w:val="18"/>
                <w:szCs w:val="18"/>
                <w:lang w:eastAsia="en-GB"/>
              </w:rPr>
            </w:pPr>
          </w:p>
        </w:tc>
        <w:tc>
          <w:tcPr>
            <w:tcW w:w="0" w:type="auto"/>
            <w:noWrap/>
            <w:vAlign w:val="center"/>
          </w:tcPr>
          <w:p w14:paraId="4265E94F" w14:textId="77777777" w:rsidR="00BA193B" w:rsidRPr="004B723C" w:rsidRDefault="00BA193B" w:rsidP="00BA193B">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D+/R</w:t>
            </w:r>
            <w:r w:rsidRPr="004B723C">
              <w:rPr>
                <w:rFonts w:eastAsia="Times New Roman" w:cs="Times New Roman"/>
                <w:color w:val="000000"/>
                <w:sz w:val="18"/>
                <w:szCs w:val="18"/>
                <w:lang w:eastAsia="en-GB"/>
              </w:rPr>
              <w:t>−</w:t>
            </w:r>
          </w:p>
        </w:tc>
        <w:tc>
          <w:tcPr>
            <w:tcW w:w="0" w:type="auto"/>
            <w:noWrap/>
            <w:vAlign w:val="center"/>
          </w:tcPr>
          <w:p w14:paraId="5AB447C0" w14:textId="4D4E2653" w:rsidR="00BA193B" w:rsidRPr="004B723C" w:rsidRDefault="00BA193B" w:rsidP="00BA193B">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71/429</w:t>
            </w:r>
          </w:p>
        </w:tc>
        <w:tc>
          <w:tcPr>
            <w:tcW w:w="0" w:type="auto"/>
            <w:noWrap/>
            <w:vAlign w:val="center"/>
          </w:tcPr>
          <w:p w14:paraId="5131789A" w14:textId="20B24C9E" w:rsidR="00BA193B" w:rsidRPr="004B723C" w:rsidRDefault="00BA193B" w:rsidP="00BA193B">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18/125</w:t>
            </w:r>
          </w:p>
        </w:tc>
        <w:tc>
          <w:tcPr>
            <w:tcW w:w="0" w:type="auto"/>
            <w:noWrap/>
            <w:vAlign w:val="center"/>
          </w:tcPr>
          <w:p w14:paraId="71EC7C57" w14:textId="67169717" w:rsidR="00BA193B" w:rsidRPr="004B723C" w:rsidRDefault="00BA193B" w:rsidP="00BA193B">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2.22 (1.16–4.26)</w:t>
            </w:r>
          </w:p>
        </w:tc>
        <w:tc>
          <w:tcPr>
            <w:tcW w:w="0" w:type="auto"/>
            <w:noWrap/>
            <w:vAlign w:val="center"/>
          </w:tcPr>
          <w:p w14:paraId="186B11FD" w14:textId="1A6AED5A" w:rsidR="00BA193B" w:rsidRPr="004B723C" w:rsidRDefault="00BA193B" w:rsidP="00BA193B">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0.017</w:t>
            </w:r>
          </w:p>
        </w:tc>
        <w:tc>
          <w:tcPr>
            <w:tcW w:w="0" w:type="auto"/>
            <w:vAlign w:val="center"/>
          </w:tcPr>
          <w:p w14:paraId="5E9DDE77" w14:textId="45EFF2C1" w:rsidR="00BA193B" w:rsidRPr="004B723C" w:rsidRDefault="00BA193B" w:rsidP="00BA193B">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70/428</w:t>
            </w:r>
          </w:p>
        </w:tc>
        <w:tc>
          <w:tcPr>
            <w:tcW w:w="0" w:type="auto"/>
            <w:vAlign w:val="center"/>
          </w:tcPr>
          <w:p w14:paraId="696C66FA" w14:textId="5F22F2DA" w:rsidR="00BA193B" w:rsidRPr="004B723C" w:rsidRDefault="00BA193B" w:rsidP="00BA193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18/125</w:t>
            </w:r>
          </w:p>
        </w:tc>
        <w:tc>
          <w:tcPr>
            <w:tcW w:w="0" w:type="auto"/>
            <w:vAlign w:val="center"/>
          </w:tcPr>
          <w:p w14:paraId="7EB7664C" w14:textId="23D58B73" w:rsidR="00BA193B" w:rsidRPr="004B723C" w:rsidRDefault="00BA193B" w:rsidP="00BA193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1.90 (0.98–3.71)</w:t>
            </w:r>
          </w:p>
        </w:tc>
        <w:tc>
          <w:tcPr>
            <w:tcW w:w="0" w:type="auto"/>
            <w:vAlign w:val="center"/>
          </w:tcPr>
          <w:p w14:paraId="5CDC7DE0" w14:textId="201B2DD3" w:rsidR="00BA193B" w:rsidRPr="004B723C" w:rsidRDefault="00BA193B" w:rsidP="00BA193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0.059</w:t>
            </w:r>
          </w:p>
        </w:tc>
      </w:tr>
      <w:tr w:rsidR="00665C73" w:rsidRPr="004B723C" w14:paraId="28F293F7" w14:textId="77777777" w:rsidTr="007F3A2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53691195" w14:textId="77777777" w:rsidR="00665C73" w:rsidRPr="004B723C" w:rsidRDefault="00665C73" w:rsidP="00665C73">
            <w:pPr>
              <w:spacing w:line="360" w:lineRule="auto"/>
              <w:rPr>
                <w:rFonts w:eastAsia="Times New Roman" w:cs="Times New Roman"/>
                <w:color w:val="000000"/>
                <w:sz w:val="18"/>
                <w:szCs w:val="18"/>
                <w:lang w:eastAsia="en-GB"/>
              </w:rPr>
            </w:pPr>
          </w:p>
        </w:tc>
        <w:tc>
          <w:tcPr>
            <w:tcW w:w="0" w:type="auto"/>
            <w:noWrap/>
            <w:vAlign w:val="center"/>
          </w:tcPr>
          <w:p w14:paraId="00D46550" w14:textId="77777777" w:rsidR="00665C73" w:rsidRPr="004B723C" w:rsidRDefault="00665C73" w:rsidP="00665C73">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D+/R+</w:t>
            </w:r>
          </w:p>
        </w:tc>
        <w:tc>
          <w:tcPr>
            <w:tcW w:w="0" w:type="auto"/>
            <w:noWrap/>
            <w:vAlign w:val="center"/>
          </w:tcPr>
          <w:p w14:paraId="6F3F5BEB" w14:textId="487192EE" w:rsidR="00665C73" w:rsidRPr="004B723C" w:rsidRDefault="00665C73" w:rsidP="00665C73">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109/600</w:t>
            </w:r>
          </w:p>
        </w:tc>
        <w:tc>
          <w:tcPr>
            <w:tcW w:w="0" w:type="auto"/>
            <w:noWrap/>
            <w:vAlign w:val="center"/>
          </w:tcPr>
          <w:p w14:paraId="6CB62681" w14:textId="06DA7CFC" w:rsidR="00665C73" w:rsidRPr="004B723C" w:rsidRDefault="00665C73" w:rsidP="00665C73">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4/41</w:t>
            </w:r>
          </w:p>
        </w:tc>
        <w:tc>
          <w:tcPr>
            <w:tcW w:w="0" w:type="auto"/>
            <w:noWrap/>
            <w:vAlign w:val="center"/>
          </w:tcPr>
          <w:p w14:paraId="22F00A0B" w14:textId="66E757B4" w:rsidR="00665C73" w:rsidRPr="004B723C" w:rsidRDefault="00665C73" w:rsidP="00665C73">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1.07 (0.39–2.97)</w:t>
            </w:r>
          </w:p>
        </w:tc>
        <w:tc>
          <w:tcPr>
            <w:tcW w:w="0" w:type="auto"/>
            <w:noWrap/>
            <w:vAlign w:val="center"/>
          </w:tcPr>
          <w:p w14:paraId="6DBE001D" w14:textId="7A55487F" w:rsidR="00665C73" w:rsidRPr="004B723C" w:rsidRDefault="00665C73" w:rsidP="00665C73">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0.89</w:t>
            </w:r>
          </w:p>
        </w:tc>
        <w:tc>
          <w:tcPr>
            <w:tcW w:w="0" w:type="auto"/>
            <w:vAlign w:val="center"/>
          </w:tcPr>
          <w:p w14:paraId="2D175A9D" w14:textId="52EBCCBF" w:rsidR="00665C73" w:rsidRPr="004B723C" w:rsidRDefault="00665C73" w:rsidP="00665C73">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4B723C">
              <w:rPr>
                <w:rFonts w:cs="Times New Roman"/>
                <w:color w:val="000000"/>
                <w:sz w:val="18"/>
                <w:szCs w:val="18"/>
              </w:rPr>
              <w:t>109/600</w:t>
            </w:r>
          </w:p>
        </w:tc>
        <w:tc>
          <w:tcPr>
            <w:tcW w:w="0" w:type="auto"/>
            <w:vAlign w:val="center"/>
          </w:tcPr>
          <w:p w14:paraId="73FBF919" w14:textId="5ACB830A" w:rsidR="00665C73" w:rsidRPr="004B723C" w:rsidRDefault="00665C73" w:rsidP="00665C73">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4/41</w:t>
            </w:r>
          </w:p>
        </w:tc>
        <w:tc>
          <w:tcPr>
            <w:tcW w:w="0" w:type="auto"/>
            <w:vAlign w:val="center"/>
          </w:tcPr>
          <w:p w14:paraId="24901989" w14:textId="65D11028" w:rsidR="00665C73" w:rsidRPr="004B723C" w:rsidRDefault="00665C73" w:rsidP="00665C7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1.09 (0.39–3.07)</w:t>
            </w:r>
          </w:p>
        </w:tc>
        <w:tc>
          <w:tcPr>
            <w:tcW w:w="0" w:type="auto"/>
            <w:vAlign w:val="center"/>
          </w:tcPr>
          <w:p w14:paraId="47307483" w14:textId="16CBBE78" w:rsidR="00665C73" w:rsidRPr="004B723C" w:rsidRDefault="00665C73" w:rsidP="00665C73">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0.87</w:t>
            </w:r>
          </w:p>
        </w:tc>
      </w:tr>
    </w:tbl>
    <w:p w14:paraId="3717E4E5" w14:textId="4D27547C" w:rsidR="00CE491F" w:rsidRPr="004B723C" w:rsidRDefault="00CE491F" w:rsidP="00CE491F">
      <w:pPr>
        <w:spacing w:before="240" w:line="360" w:lineRule="auto"/>
        <w:jc w:val="both"/>
      </w:pPr>
      <w:r w:rsidRPr="004B723C">
        <w:t>Values are hazard ratios (HRs) with 95% confidence intervals (CIs) from univariable and multivariable time-dependent Cox proportional-hazards models assessing the association between post-transplant CMV disease and time to first MVI. CMV disease was modeled as a time-dependent covariate. Total events and events per subgroup are presented as n/N, where n denotes the number of events and N the number of participants with non-missing data for the respective stratum. Multivariable models were adjusted for recipient age and sex, donor age and type (living, donation after circulatory death, donation after brain death), repeat transplantation, calendar year of transplantation, HLA mismatch, HLA-DSA status at transplantation, cold ischemia time, and transplant center.</w:t>
      </w:r>
    </w:p>
    <w:p w14:paraId="2AB4F225" w14:textId="22C3A24B" w:rsidR="00CE491F" w:rsidRPr="004B723C" w:rsidRDefault="00CE491F" w:rsidP="00CE491F">
      <w:pPr>
        <w:spacing w:before="240" w:line="360" w:lineRule="auto"/>
        <w:jc w:val="both"/>
      </w:pPr>
      <w:r w:rsidRPr="004B723C">
        <w:t xml:space="preserve">Interaction was evaluated by including a multiplicative interaction term between CMV disease and the respective serostatus variable in a joint Cox proportional-hazards model including both main effects and the interaction term. The reported interaction HR corresponds to the exponentiated </w:t>
      </w:r>
      <w:r w:rsidRPr="004B723C">
        <w:lastRenderedPageBreak/>
        <w:t>coefficient of this interaction term. Interaction models evaluating recipient CMV serostatus were additionally adjusted for donor CMV serostatus, and vice versa.</w:t>
      </w:r>
    </w:p>
    <w:p w14:paraId="438F840A" w14:textId="2C2DE2B5" w:rsidR="00CE491F" w:rsidRPr="004B723C" w:rsidRDefault="00CE491F" w:rsidP="00D0211C">
      <w:pPr>
        <w:spacing w:before="240" w:line="360" w:lineRule="auto"/>
        <w:jc w:val="both"/>
      </w:pPr>
      <w:r w:rsidRPr="004B723C">
        <w:t>Abbreviations: CMV, cytomegalovirus; D, donor; DSA, donor-specific antibody; HLA, human leukocyte antigen; MVI, microvascular inflammation; R, recipient.</w:t>
      </w:r>
    </w:p>
    <w:p w14:paraId="1AA5BBB6" w14:textId="77777777" w:rsidR="00502AEB" w:rsidRPr="004B723C" w:rsidRDefault="00502AEB" w:rsidP="007F3A2D">
      <w:pPr>
        <w:spacing w:before="240" w:line="360" w:lineRule="auto"/>
        <w:jc w:val="both"/>
      </w:pPr>
    </w:p>
    <w:p w14:paraId="0888AA84" w14:textId="77777777" w:rsidR="00502AEB" w:rsidRPr="004B723C" w:rsidRDefault="00502AEB" w:rsidP="00BF0A42">
      <w:pPr>
        <w:spacing w:before="240" w:line="360" w:lineRule="auto"/>
        <w:sectPr w:rsidR="00502AEB" w:rsidRPr="004B723C" w:rsidSect="00380509">
          <w:pgSz w:w="16838" w:h="11906" w:orient="landscape"/>
          <w:pgMar w:top="1417" w:right="1417" w:bottom="1417" w:left="1417" w:header="708" w:footer="708" w:gutter="0"/>
          <w:cols w:space="708"/>
          <w:docGrid w:linePitch="360"/>
        </w:sectPr>
      </w:pPr>
    </w:p>
    <w:p w14:paraId="17C016BD" w14:textId="5D482C5C" w:rsidR="00FC7868" w:rsidRPr="004B723C" w:rsidRDefault="00FC7868" w:rsidP="00FC7868">
      <w:pPr>
        <w:pStyle w:val="Heading2"/>
        <w:spacing w:line="360" w:lineRule="auto"/>
        <w:rPr>
          <w:rFonts w:cs="Times New Roman"/>
          <w:sz w:val="22"/>
          <w:szCs w:val="22"/>
        </w:rPr>
      </w:pPr>
      <w:r w:rsidRPr="004B723C">
        <w:rPr>
          <w:rFonts w:cs="Times New Roman"/>
          <w:sz w:val="22"/>
          <w:szCs w:val="22"/>
        </w:rPr>
        <w:lastRenderedPageBreak/>
        <w:t>Table S1</w:t>
      </w:r>
      <w:r w:rsidR="0096707E" w:rsidRPr="004B723C">
        <w:rPr>
          <w:rFonts w:cs="Times New Roman"/>
          <w:sz w:val="22"/>
          <w:szCs w:val="22"/>
        </w:rPr>
        <w:t>8</w:t>
      </w:r>
      <w:r w:rsidRPr="004B723C">
        <w:rPr>
          <w:rFonts w:cs="Times New Roman"/>
          <w:sz w:val="22"/>
          <w:szCs w:val="22"/>
        </w:rPr>
        <w:t>: Time-dependent Cox proportional hazards models for post-transplant CMV replication and graft failure</w:t>
      </w:r>
    </w:p>
    <w:tbl>
      <w:tblPr>
        <w:tblStyle w:val="Nature"/>
        <w:tblW w:w="0" w:type="auto"/>
        <w:jc w:val="center"/>
        <w:tblLayout w:type="fixed"/>
        <w:tblLook w:val="04A0" w:firstRow="1" w:lastRow="0" w:firstColumn="1" w:lastColumn="0" w:noHBand="0" w:noVBand="1"/>
      </w:tblPr>
      <w:tblGrid>
        <w:gridCol w:w="2684"/>
        <w:gridCol w:w="850"/>
        <w:gridCol w:w="992"/>
        <w:gridCol w:w="1276"/>
        <w:gridCol w:w="1418"/>
        <w:gridCol w:w="1134"/>
        <w:gridCol w:w="992"/>
        <w:gridCol w:w="1417"/>
        <w:gridCol w:w="1843"/>
        <w:gridCol w:w="1378"/>
      </w:tblGrid>
      <w:tr w:rsidR="00FC7868" w:rsidRPr="004B723C" w14:paraId="4DDA1346" w14:textId="77777777" w:rsidTr="00EC6DBD">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684" w:type="dxa"/>
            <w:noWrap/>
            <w:vAlign w:val="center"/>
            <w:hideMark/>
          </w:tcPr>
          <w:p w14:paraId="3F35094E" w14:textId="20FE3659" w:rsidR="00FC7868" w:rsidRPr="004B723C" w:rsidRDefault="00EC6DBD" w:rsidP="00812B6B">
            <w:pPr>
              <w:spacing w:line="360" w:lineRule="auto"/>
              <w:jc w:val="center"/>
              <w:rPr>
                <w:rFonts w:eastAsia="Times New Roman" w:cs="Times New Roman"/>
                <w:b/>
                <w:bCs/>
                <w:color w:val="000000"/>
                <w:sz w:val="18"/>
                <w:szCs w:val="18"/>
                <w:lang w:eastAsia="en-GB"/>
              </w:rPr>
            </w:pPr>
            <w:r>
              <w:rPr>
                <w:rFonts w:eastAsia="Times New Roman" w:cs="Times New Roman"/>
                <w:b/>
                <w:bCs/>
                <w:color w:val="000000"/>
                <w:sz w:val="18"/>
                <w:szCs w:val="18"/>
                <w:lang w:eastAsia="en-GB"/>
              </w:rPr>
              <w:t>Factors</w:t>
            </w:r>
          </w:p>
        </w:tc>
        <w:tc>
          <w:tcPr>
            <w:tcW w:w="850" w:type="dxa"/>
            <w:noWrap/>
            <w:vAlign w:val="center"/>
            <w:hideMark/>
          </w:tcPr>
          <w:p w14:paraId="70B2DB76" w14:textId="77777777" w:rsidR="00FC7868" w:rsidRPr="004B723C" w:rsidRDefault="00FC7868" w:rsidP="00812B6B">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eastAsia="en-GB"/>
              </w:rPr>
            </w:pPr>
            <w:r w:rsidRPr="004B723C">
              <w:rPr>
                <w:rFonts w:eastAsia="Times New Roman" w:cs="Times New Roman"/>
                <w:b/>
                <w:bCs/>
                <w:color w:val="000000"/>
                <w:sz w:val="18"/>
                <w:szCs w:val="18"/>
                <w:lang w:eastAsia="en-GB"/>
              </w:rPr>
              <w:t>Level</w:t>
            </w:r>
          </w:p>
        </w:tc>
        <w:tc>
          <w:tcPr>
            <w:tcW w:w="992" w:type="dxa"/>
            <w:noWrap/>
            <w:vAlign w:val="center"/>
            <w:hideMark/>
          </w:tcPr>
          <w:p w14:paraId="189A2DD0" w14:textId="77777777" w:rsidR="00FC7868" w:rsidRPr="004B723C" w:rsidRDefault="00FC7868" w:rsidP="00812B6B">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eastAsia="en-GB"/>
              </w:rPr>
            </w:pPr>
            <w:r w:rsidRPr="004B723C">
              <w:rPr>
                <w:rFonts w:eastAsia="Times New Roman" w:cs="Times New Roman"/>
                <w:b/>
                <w:bCs/>
                <w:color w:val="000000"/>
                <w:sz w:val="18"/>
                <w:szCs w:val="18"/>
                <w:lang w:eastAsia="en-GB"/>
              </w:rPr>
              <w:t>Events/</w:t>
            </w:r>
            <w:r w:rsidRPr="004B723C">
              <w:rPr>
                <w:rFonts w:eastAsia="Times New Roman" w:cs="Times New Roman"/>
                <w:b/>
                <w:bCs/>
                <w:color w:val="000000"/>
                <w:sz w:val="18"/>
                <w:szCs w:val="18"/>
                <w:lang w:eastAsia="en-GB"/>
              </w:rPr>
              <w:br/>
              <w:t>N analyzed</w:t>
            </w:r>
          </w:p>
        </w:tc>
        <w:tc>
          <w:tcPr>
            <w:tcW w:w="1276" w:type="dxa"/>
            <w:noWrap/>
            <w:vAlign w:val="center"/>
            <w:hideMark/>
          </w:tcPr>
          <w:p w14:paraId="6DDC466C" w14:textId="77777777" w:rsidR="00FC7868" w:rsidRPr="004B723C" w:rsidRDefault="00FC7868" w:rsidP="00812B6B">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eastAsia="en-GB"/>
              </w:rPr>
            </w:pPr>
            <w:r w:rsidRPr="004B723C">
              <w:rPr>
                <w:rFonts w:eastAsia="Times New Roman" w:cs="Times New Roman"/>
                <w:b/>
                <w:bCs/>
                <w:color w:val="000000"/>
                <w:sz w:val="18"/>
                <w:szCs w:val="18"/>
                <w:lang w:eastAsia="en-GB"/>
              </w:rPr>
              <w:t>Events (group)/</w:t>
            </w:r>
            <w:r w:rsidRPr="004B723C">
              <w:rPr>
                <w:rFonts w:eastAsia="Times New Roman" w:cs="Times New Roman"/>
                <w:b/>
                <w:bCs/>
                <w:color w:val="000000"/>
                <w:sz w:val="18"/>
                <w:szCs w:val="18"/>
                <w:lang w:eastAsia="en-GB"/>
              </w:rPr>
              <w:br/>
              <w:t>N (group)</w:t>
            </w:r>
          </w:p>
        </w:tc>
        <w:tc>
          <w:tcPr>
            <w:tcW w:w="1418" w:type="dxa"/>
            <w:noWrap/>
            <w:vAlign w:val="center"/>
            <w:hideMark/>
          </w:tcPr>
          <w:p w14:paraId="3686907A" w14:textId="77777777" w:rsidR="00FC7868" w:rsidRPr="004B723C" w:rsidRDefault="00FC7868" w:rsidP="00812B6B">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eastAsia="en-GB"/>
              </w:rPr>
            </w:pPr>
            <w:r w:rsidRPr="004B723C">
              <w:rPr>
                <w:rFonts w:eastAsia="Times New Roman" w:cs="Times New Roman"/>
                <w:b/>
                <w:bCs/>
                <w:color w:val="000000"/>
                <w:sz w:val="18"/>
                <w:szCs w:val="18"/>
                <w:lang w:eastAsia="en-GB"/>
              </w:rPr>
              <w:t>HR</w:t>
            </w:r>
            <w:r w:rsidRPr="004B723C">
              <w:rPr>
                <w:rFonts w:eastAsia="Times New Roman" w:cs="Times New Roman"/>
                <w:b/>
                <w:bCs/>
                <w:color w:val="000000"/>
                <w:sz w:val="18"/>
                <w:szCs w:val="18"/>
                <w:lang w:eastAsia="en-GB"/>
              </w:rPr>
              <w:br/>
              <w:t>(95% CI)</w:t>
            </w:r>
          </w:p>
        </w:tc>
        <w:tc>
          <w:tcPr>
            <w:tcW w:w="1134" w:type="dxa"/>
            <w:noWrap/>
            <w:vAlign w:val="center"/>
            <w:hideMark/>
          </w:tcPr>
          <w:p w14:paraId="636159E1" w14:textId="30060687" w:rsidR="00FC7868" w:rsidRPr="004B723C" w:rsidRDefault="00EC6DBD" w:rsidP="00812B6B">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eastAsia="en-GB"/>
              </w:rPr>
            </w:pPr>
            <w:r>
              <w:rPr>
                <w:rFonts w:eastAsia="Times New Roman" w:cs="Times New Roman"/>
                <w:b/>
                <w:bCs/>
                <w:color w:val="000000"/>
                <w:sz w:val="18"/>
                <w:szCs w:val="18"/>
                <w:lang w:eastAsia="en-GB"/>
              </w:rPr>
              <w:t>P</w:t>
            </w:r>
            <w:r w:rsidR="00FC7868" w:rsidRPr="004B723C">
              <w:rPr>
                <w:rFonts w:eastAsia="Times New Roman" w:cs="Times New Roman"/>
                <w:b/>
                <w:bCs/>
                <w:color w:val="000000"/>
                <w:sz w:val="18"/>
                <w:szCs w:val="18"/>
                <w:lang w:eastAsia="en-GB"/>
              </w:rPr>
              <w:t xml:space="preserve"> value</w:t>
            </w:r>
          </w:p>
        </w:tc>
        <w:tc>
          <w:tcPr>
            <w:tcW w:w="992" w:type="dxa"/>
            <w:noWrap/>
            <w:vAlign w:val="center"/>
            <w:hideMark/>
          </w:tcPr>
          <w:p w14:paraId="28C20A78" w14:textId="77777777" w:rsidR="00FC7868" w:rsidRPr="004B723C" w:rsidRDefault="00FC7868" w:rsidP="00812B6B">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eastAsia="en-GB"/>
              </w:rPr>
            </w:pPr>
            <w:r w:rsidRPr="004B723C">
              <w:rPr>
                <w:rFonts w:eastAsia="Times New Roman" w:cs="Times New Roman"/>
                <w:b/>
                <w:bCs/>
                <w:color w:val="000000"/>
                <w:sz w:val="18"/>
                <w:szCs w:val="18"/>
                <w:lang w:eastAsia="en-GB"/>
              </w:rPr>
              <w:t>Events/N analyzed</w:t>
            </w:r>
          </w:p>
        </w:tc>
        <w:tc>
          <w:tcPr>
            <w:tcW w:w="1417" w:type="dxa"/>
            <w:noWrap/>
            <w:vAlign w:val="center"/>
            <w:hideMark/>
          </w:tcPr>
          <w:p w14:paraId="37186F7E" w14:textId="77777777" w:rsidR="00FC7868" w:rsidRPr="004B723C" w:rsidRDefault="00FC7868" w:rsidP="00812B6B">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8"/>
                <w:szCs w:val="18"/>
                <w:lang w:eastAsia="en-GB"/>
              </w:rPr>
            </w:pPr>
            <w:r w:rsidRPr="004B723C">
              <w:rPr>
                <w:rFonts w:eastAsia="Times New Roman" w:cs="Times New Roman"/>
                <w:b/>
                <w:bCs/>
                <w:color w:val="000000"/>
                <w:sz w:val="18"/>
                <w:szCs w:val="18"/>
                <w:lang w:eastAsia="en-GB"/>
              </w:rPr>
              <w:t>Events (group)/</w:t>
            </w:r>
            <w:r w:rsidRPr="004B723C">
              <w:rPr>
                <w:rFonts w:eastAsia="Times New Roman" w:cs="Times New Roman"/>
                <w:b/>
                <w:bCs/>
                <w:color w:val="000000"/>
                <w:sz w:val="18"/>
                <w:szCs w:val="18"/>
                <w:lang w:eastAsia="en-GB"/>
              </w:rPr>
              <w:br/>
              <w:t>N (group)</w:t>
            </w:r>
          </w:p>
        </w:tc>
        <w:tc>
          <w:tcPr>
            <w:tcW w:w="1843" w:type="dxa"/>
            <w:noWrap/>
            <w:vAlign w:val="center"/>
            <w:hideMark/>
          </w:tcPr>
          <w:p w14:paraId="3F79FCB4" w14:textId="77777777" w:rsidR="00FC7868" w:rsidRPr="004B723C" w:rsidRDefault="00FC7868" w:rsidP="00812B6B">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8"/>
                <w:szCs w:val="18"/>
                <w:lang w:eastAsia="en-GB"/>
              </w:rPr>
            </w:pPr>
            <w:r w:rsidRPr="004B723C">
              <w:rPr>
                <w:rFonts w:eastAsia="Times New Roman" w:cs="Times New Roman"/>
                <w:b/>
                <w:bCs/>
                <w:color w:val="000000"/>
                <w:sz w:val="18"/>
                <w:szCs w:val="18"/>
                <w:lang w:eastAsia="en-GB"/>
              </w:rPr>
              <w:t>Adjusted HR</w:t>
            </w:r>
            <w:r w:rsidRPr="004B723C">
              <w:rPr>
                <w:rFonts w:eastAsia="Times New Roman" w:cs="Times New Roman"/>
                <w:b/>
                <w:bCs/>
                <w:color w:val="000000"/>
                <w:sz w:val="18"/>
                <w:szCs w:val="18"/>
                <w:lang w:eastAsia="en-GB"/>
              </w:rPr>
              <w:br/>
              <w:t>(95% CI)</w:t>
            </w:r>
          </w:p>
        </w:tc>
        <w:tc>
          <w:tcPr>
            <w:tcW w:w="1378" w:type="dxa"/>
            <w:noWrap/>
            <w:vAlign w:val="center"/>
            <w:hideMark/>
          </w:tcPr>
          <w:p w14:paraId="45E06D9E" w14:textId="7F7EF357" w:rsidR="00FC7868" w:rsidRPr="004B723C" w:rsidRDefault="00EC6DBD" w:rsidP="00812B6B">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sz w:val="18"/>
                <w:szCs w:val="18"/>
                <w:lang w:eastAsia="en-GB"/>
              </w:rPr>
            </w:pPr>
            <w:r>
              <w:rPr>
                <w:rFonts w:eastAsia="Times New Roman" w:cs="Times New Roman"/>
                <w:b/>
                <w:bCs/>
                <w:sz w:val="18"/>
                <w:szCs w:val="18"/>
                <w:lang w:eastAsia="en-GB"/>
              </w:rPr>
              <w:t>P</w:t>
            </w:r>
            <w:r w:rsidR="00FC7868" w:rsidRPr="004B723C">
              <w:rPr>
                <w:rFonts w:eastAsia="Times New Roman" w:cs="Times New Roman"/>
                <w:b/>
                <w:bCs/>
                <w:sz w:val="18"/>
                <w:szCs w:val="18"/>
                <w:lang w:eastAsia="en-GB"/>
              </w:rPr>
              <w:t xml:space="preserve"> value</w:t>
            </w:r>
          </w:p>
        </w:tc>
      </w:tr>
      <w:tr w:rsidR="00FC7868" w:rsidRPr="004B723C" w14:paraId="195362D1" w14:textId="77777777" w:rsidTr="00EC6DBD">
        <w:trPr>
          <w:trHeight w:val="300"/>
          <w:jc w:val="center"/>
        </w:trPr>
        <w:tc>
          <w:tcPr>
            <w:cnfStyle w:val="001000000000" w:firstRow="0" w:lastRow="0" w:firstColumn="1" w:lastColumn="0" w:oddVBand="0" w:evenVBand="0" w:oddHBand="0" w:evenHBand="0" w:firstRowFirstColumn="0" w:firstRowLastColumn="0" w:lastRowFirstColumn="0" w:lastRowLastColumn="0"/>
            <w:tcW w:w="2684" w:type="dxa"/>
            <w:noWrap/>
            <w:vAlign w:val="center"/>
          </w:tcPr>
          <w:p w14:paraId="42224C35" w14:textId="77777777" w:rsidR="00FC7868" w:rsidRPr="004B723C" w:rsidRDefault="00FC7868" w:rsidP="00812B6B">
            <w:pPr>
              <w:spacing w:line="360" w:lineRule="auto"/>
              <w:jc w:val="center"/>
              <w:rPr>
                <w:rFonts w:eastAsia="Times New Roman" w:cs="Times New Roman"/>
                <w:color w:val="000000"/>
                <w:sz w:val="18"/>
                <w:szCs w:val="18"/>
                <w:lang w:eastAsia="en-GB"/>
              </w:rPr>
            </w:pPr>
          </w:p>
        </w:tc>
        <w:tc>
          <w:tcPr>
            <w:tcW w:w="850" w:type="dxa"/>
            <w:noWrap/>
            <w:vAlign w:val="center"/>
          </w:tcPr>
          <w:p w14:paraId="38D256AF"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4820" w:type="dxa"/>
            <w:gridSpan w:val="4"/>
            <w:noWrap/>
            <w:vAlign w:val="center"/>
          </w:tcPr>
          <w:p w14:paraId="785451B6"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b/>
                <w:bCs/>
                <w:color w:val="000000"/>
                <w:sz w:val="18"/>
                <w:szCs w:val="18"/>
                <w:lang w:eastAsia="en-GB"/>
              </w:rPr>
              <w:t>UNIVARIABLE ANALYSIS</w:t>
            </w:r>
          </w:p>
        </w:tc>
        <w:tc>
          <w:tcPr>
            <w:tcW w:w="5630" w:type="dxa"/>
            <w:gridSpan w:val="4"/>
            <w:noWrap/>
            <w:vAlign w:val="center"/>
          </w:tcPr>
          <w:p w14:paraId="55CFA0A9"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b/>
                <w:bCs/>
                <w:color w:val="000000"/>
                <w:sz w:val="18"/>
                <w:szCs w:val="18"/>
                <w:lang w:eastAsia="en-GB"/>
              </w:rPr>
              <w:t>MULTIVARIABLE ANALYSIS</w:t>
            </w:r>
          </w:p>
        </w:tc>
      </w:tr>
      <w:tr w:rsidR="00FC7868" w:rsidRPr="004B723C" w14:paraId="37682C79" w14:textId="77777777" w:rsidTr="00EC6DBD">
        <w:trPr>
          <w:trHeight w:val="300"/>
          <w:jc w:val="center"/>
        </w:trPr>
        <w:tc>
          <w:tcPr>
            <w:cnfStyle w:val="001000000000" w:firstRow="0" w:lastRow="0" w:firstColumn="1" w:lastColumn="0" w:oddVBand="0" w:evenVBand="0" w:oddHBand="0" w:evenHBand="0" w:firstRowFirstColumn="0" w:firstRowLastColumn="0" w:lastRowFirstColumn="0" w:lastRowLastColumn="0"/>
            <w:tcW w:w="2684" w:type="dxa"/>
            <w:noWrap/>
            <w:vAlign w:val="center"/>
            <w:hideMark/>
          </w:tcPr>
          <w:p w14:paraId="2F02A339" w14:textId="77777777" w:rsidR="00FC7868" w:rsidRPr="004B723C" w:rsidRDefault="00FC7868" w:rsidP="00812B6B">
            <w:pPr>
              <w:spacing w:line="360" w:lineRule="auto"/>
              <w:rPr>
                <w:rFonts w:eastAsia="Times New Roman" w:cs="Times New Roman"/>
                <w:color w:val="000000"/>
                <w:sz w:val="18"/>
                <w:szCs w:val="18"/>
                <w:lang w:eastAsia="en-GB"/>
              </w:rPr>
            </w:pPr>
            <w:r w:rsidRPr="004B723C">
              <w:rPr>
                <w:rFonts w:eastAsia="Times New Roman" w:cs="Times New Roman"/>
                <w:color w:val="000000"/>
                <w:sz w:val="18"/>
                <w:szCs w:val="18"/>
                <w:lang w:eastAsia="en-GB"/>
              </w:rPr>
              <w:t>Post-transplant CMV replication</w:t>
            </w:r>
          </w:p>
        </w:tc>
        <w:tc>
          <w:tcPr>
            <w:tcW w:w="850" w:type="dxa"/>
            <w:noWrap/>
            <w:vAlign w:val="center"/>
            <w:hideMark/>
          </w:tcPr>
          <w:p w14:paraId="133C9D7F"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No</w:t>
            </w:r>
          </w:p>
        </w:tc>
        <w:tc>
          <w:tcPr>
            <w:tcW w:w="992" w:type="dxa"/>
            <w:noWrap/>
            <w:vAlign w:val="center"/>
            <w:hideMark/>
          </w:tcPr>
          <w:p w14:paraId="1772D82C"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293/2,314</w:t>
            </w:r>
          </w:p>
        </w:tc>
        <w:tc>
          <w:tcPr>
            <w:tcW w:w="1276" w:type="dxa"/>
            <w:noWrap/>
            <w:vAlign w:val="center"/>
          </w:tcPr>
          <w:p w14:paraId="2BDBCAF4"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198/1,605</w:t>
            </w:r>
          </w:p>
        </w:tc>
        <w:tc>
          <w:tcPr>
            <w:tcW w:w="1418" w:type="dxa"/>
            <w:noWrap/>
            <w:vAlign w:val="center"/>
          </w:tcPr>
          <w:p w14:paraId="2A05CA9C"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1134" w:type="dxa"/>
            <w:noWrap/>
            <w:vAlign w:val="center"/>
          </w:tcPr>
          <w:p w14:paraId="3B3A7F97"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992" w:type="dxa"/>
            <w:noWrap/>
            <w:vAlign w:val="center"/>
            <w:hideMark/>
          </w:tcPr>
          <w:p w14:paraId="4E3D912E"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293/2,313</w:t>
            </w:r>
          </w:p>
        </w:tc>
        <w:tc>
          <w:tcPr>
            <w:tcW w:w="1417" w:type="dxa"/>
            <w:noWrap/>
            <w:vAlign w:val="center"/>
          </w:tcPr>
          <w:p w14:paraId="2AF77CEF"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198/1,605</w:t>
            </w:r>
          </w:p>
        </w:tc>
        <w:tc>
          <w:tcPr>
            <w:tcW w:w="1843" w:type="dxa"/>
            <w:noWrap/>
            <w:vAlign w:val="center"/>
          </w:tcPr>
          <w:p w14:paraId="7380B3E3"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1378" w:type="dxa"/>
            <w:noWrap/>
            <w:vAlign w:val="center"/>
          </w:tcPr>
          <w:p w14:paraId="2B820E37"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r>
      <w:tr w:rsidR="00FC7868" w:rsidRPr="004B723C" w14:paraId="3A82B0FE" w14:textId="77777777" w:rsidTr="00EC6DBD">
        <w:trPr>
          <w:trHeight w:val="300"/>
          <w:jc w:val="center"/>
        </w:trPr>
        <w:tc>
          <w:tcPr>
            <w:cnfStyle w:val="001000000000" w:firstRow="0" w:lastRow="0" w:firstColumn="1" w:lastColumn="0" w:oddVBand="0" w:evenVBand="0" w:oddHBand="0" w:evenHBand="0" w:firstRowFirstColumn="0" w:firstRowLastColumn="0" w:lastRowFirstColumn="0" w:lastRowLastColumn="0"/>
            <w:tcW w:w="2684" w:type="dxa"/>
            <w:noWrap/>
            <w:vAlign w:val="center"/>
          </w:tcPr>
          <w:p w14:paraId="327EE54A" w14:textId="77777777" w:rsidR="00FC7868" w:rsidRPr="004B723C" w:rsidRDefault="00FC7868" w:rsidP="00812B6B">
            <w:pPr>
              <w:spacing w:line="360" w:lineRule="auto"/>
              <w:rPr>
                <w:rFonts w:eastAsia="Times New Roman" w:cs="Times New Roman"/>
                <w:color w:val="000000"/>
                <w:sz w:val="18"/>
                <w:szCs w:val="18"/>
                <w:lang w:eastAsia="en-GB"/>
              </w:rPr>
            </w:pPr>
          </w:p>
        </w:tc>
        <w:tc>
          <w:tcPr>
            <w:tcW w:w="850" w:type="dxa"/>
            <w:noWrap/>
            <w:vAlign w:val="center"/>
            <w:hideMark/>
          </w:tcPr>
          <w:p w14:paraId="492F1EB9"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Yes</w:t>
            </w:r>
          </w:p>
        </w:tc>
        <w:tc>
          <w:tcPr>
            <w:tcW w:w="992" w:type="dxa"/>
            <w:noWrap/>
            <w:vAlign w:val="center"/>
          </w:tcPr>
          <w:p w14:paraId="2FBA8D0E"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276" w:type="dxa"/>
            <w:noWrap/>
            <w:vAlign w:val="center"/>
          </w:tcPr>
          <w:p w14:paraId="22C21081"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95/709</w:t>
            </w:r>
          </w:p>
        </w:tc>
        <w:tc>
          <w:tcPr>
            <w:tcW w:w="1418" w:type="dxa"/>
            <w:noWrap/>
            <w:vAlign w:val="center"/>
          </w:tcPr>
          <w:p w14:paraId="09FFE41B"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1.65 (1.27–2.13)</w:t>
            </w:r>
          </w:p>
        </w:tc>
        <w:tc>
          <w:tcPr>
            <w:tcW w:w="1134" w:type="dxa"/>
            <w:noWrap/>
            <w:vAlign w:val="center"/>
          </w:tcPr>
          <w:p w14:paraId="38DE9EF9"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1.42 × 10</w:t>
            </w:r>
            <w:r w:rsidRPr="004B723C">
              <w:rPr>
                <w:rFonts w:cs="Times New Roman"/>
                <w:color w:val="000000"/>
                <w:sz w:val="18"/>
                <w:szCs w:val="18"/>
                <w:vertAlign w:val="superscript"/>
              </w:rPr>
              <w:t>-4</w:t>
            </w:r>
          </w:p>
        </w:tc>
        <w:tc>
          <w:tcPr>
            <w:tcW w:w="992" w:type="dxa"/>
            <w:noWrap/>
            <w:vAlign w:val="center"/>
          </w:tcPr>
          <w:p w14:paraId="4F859504"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417" w:type="dxa"/>
            <w:noWrap/>
            <w:vAlign w:val="center"/>
          </w:tcPr>
          <w:p w14:paraId="52B29D22"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95/708</w:t>
            </w:r>
          </w:p>
        </w:tc>
        <w:tc>
          <w:tcPr>
            <w:tcW w:w="1843" w:type="dxa"/>
            <w:noWrap/>
            <w:vAlign w:val="center"/>
          </w:tcPr>
          <w:p w14:paraId="294303A9"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1.46 (1.11–1.94)</w:t>
            </w:r>
          </w:p>
        </w:tc>
        <w:tc>
          <w:tcPr>
            <w:tcW w:w="1378" w:type="dxa"/>
            <w:noWrap/>
            <w:vAlign w:val="center"/>
          </w:tcPr>
          <w:p w14:paraId="0AF029DD"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0.0077</w:t>
            </w:r>
          </w:p>
        </w:tc>
      </w:tr>
      <w:tr w:rsidR="00FC7868" w:rsidRPr="004B723C" w14:paraId="170F9D01" w14:textId="77777777" w:rsidTr="00EC6DBD">
        <w:trPr>
          <w:trHeight w:val="300"/>
          <w:jc w:val="center"/>
        </w:trPr>
        <w:tc>
          <w:tcPr>
            <w:cnfStyle w:val="001000000000" w:firstRow="0" w:lastRow="0" w:firstColumn="1" w:lastColumn="0" w:oddVBand="0" w:evenVBand="0" w:oddHBand="0" w:evenHBand="0" w:firstRowFirstColumn="0" w:firstRowLastColumn="0" w:lastRowFirstColumn="0" w:lastRowLastColumn="0"/>
            <w:tcW w:w="2684" w:type="dxa"/>
            <w:noWrap/>
            <w:vAlign w:val="center"/>
            <w:hideMark/>
          </w:tcPr>
          <w:p w14:paraId="42CCD278" w14:textId="77777777" w:rsidR="00FC7868" w:rsidRPr="004B723C" w:rsidRDefault="00FC7868" w:rsidP="00812B6B">
            <w:pPr>
              <w:spacing w:line="360" w:lineRule="auto"/>
              <w:rPr>
                <w:rFonts w:eastAsia="Times New Roman" w:cs="Times New Roman"/>
                <w:color w:val="000000"/>
                <w:sz w:val="18"/>
                <w:szCs w:val="18"/>
                <w:lang w:eastAsia="en-GB"/>
              </w:rPr>
            </w:pPr>
            <w:r w:rsidRPr="004B723C">
              <w:rPr>
                <w:rFonts w:eastAsia="Times New Roman" w:cs="Times New Roman"/>
                <w:color w:val="000000"/>
                <w:sz w:val="18"/>
                <w:szCs w:val="18"/>
                <w:lang w:eastAsia="en-GB"/>
              </w:rPr>
              <w:t>Donor–recipient CMV serostatus</w:t>
            </w:r>
          </w:p>
        </w:tc>
        <w:tc>
          <w:tcPr>
            <w:tcW w:w="850" w:type="dxa"/>
            <w:noWrap/>
            <w:vAlign w:val="center"/>
            <w:hideMark/>
          </w:tcPr>
          <w:p w14:paraId="46B32966"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D−/R−</w:t>
            </w:r>
          </w:p>
        </w:tc>
        <w:tc>
          <w:tcPr>
            <w:tcW w:w="992" w:type="dxa"/>
            <w:noWrap/>
            <w:vAlign w:val="center"/>
            <w:hideMark/>
          </w:tcPr>
          <w:p w14:paraId="624805CB"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293/2,314</w:t>
            </w:r>
          </w:p>
        </w:tc>
        <w:tc>
          <w:tcPr>
            <w:tcW w:w="1276" w:type="dxa"/>
            <w:noWrap/>
            <w:vAlign w:val="center"/>
          </w:tcPr>
          <w:p w14:paraId="0013317D"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55/612</w:t>
            </w:r>
          </w:p>
        </w:tc>
        <w:tc>
          <w:tcPr>
            <w:tcW w:w="1418" w:type="dxa"/>
            <w:noWrap/>
            <w:vAlign w:val="center"/>
          </w:tcPr>
          <w:p w14:paraId="7B5E3BBC"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1134" w:type="dxa"/>
            <w:noWrap/>
            <w:vAlign w:val="center"/>
          </w:tcPr>
          <w:p w14:paraId="69268565"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992" w:type="dxa"/>
            <w:noWrap/>
            <w:vAlign w:val="center"/>
            <w:hideMark/>
          </w:tcPr>
          <w:p w14:paraId="05D8631D"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293/2,313</w:t>
            </w:r>
          </w:p>
        </w:tc>
        <w:tc>
          <w:tcPr>
            <w:tcW w:w="1417" w:type="dxa"/>
            <w:noWrap/>
            <w:vAlign w:val="center"/>
          </w:tcPr>
          <w:p w14:paraId="595F06D5"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55/612</w:t>
            </w:r>
          </w:p>
        </w:tc>
        <w:tc>
          <w:tcPr>
            <w:tcW w:w="1843" w:type="dxa"/>
            <w:noWrap/>
            <w:vAlign w:val="center"/>
          </w:tcPr>
          <w:p w14:paraId="2D95F52B"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1378" w:type="dxa"/>
            <w:noWrap/>
            <w:vAlign w:val="center"/>
          </w:tcPr>
          <w:p w14:paraId="6CEB39A7"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r>
      <w:tr w:rsidR="00FC7868" w:rsidRPr="004B723C" w14:paraId="75D0FE42" w14:textId="77777777" w:rsidTr="00EC6DBD">
        <w:trPr>
          <w:trHeight w:val="300"/>
          <w:jc w:val="center"/>
        </w:trPr>
        <w:tc>
          <w:tcPr>
            <w:cnfStyle w:val="001000000000" w:firstRow="0" w:lastRow="0" w:firstColumn="1" w:lastColumn="0" w:oddVBand="0" w:evenVBand="0" w:oddHBand="0" w:evenHBand="0" w:firstRowFirstColumn="0" w:firstRowLastColumn="0" w:lastRowFirstColumn="0" w:lastRowLastColumn="0"/>
            <w:tcW w:w="2684" w:type="dxa"/>
            <w:noWrap/>
            <w:vAlign w:val="center"/>
          </w:tcPr>
          <w:p w14:paraId="4D06E10A" w14:textId="77777777" w:rsidR="00FC7868" w:rsidRPr="004B723C" w:rsidRDefault="00FC7868" w:rsidP="00812B6B">
            <w:pPr>
              <w:spacing w:line="360" w:lineRule="auto"/>
              <w:rPr>
                <w:rFonts w:eastAsia="Times New Roman" w:cs="Times New Roman"/>
                <w:color w:val="000000"/>
                <w:sz w:val="18"/>
                <w:szCs w:val="18"/>
                <w:lang w:eastAsia="en-GB"/>
              </w:rPr>
            </w:pPr>
          </w:p>
        </w:tc>
        <w:tc>
          <w:tcPr>
            <w:tcW w:w="850" w:type="dxa"/>
            <w:noWrap/>
            <w:vAlign w:val="center"/>
            <w:hideMark/>
          </w:tcPr>
          <w:p w14:paraId="1BF426E2"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D+/R+</w:t>
            </w:r>
          </w:p>
        </w:tc>
        <w:tc>
          <w:tcPr>
            <w:tcW w:w="992" w:type="dxa"/>
            <w:noWrap/>
            <w:vAlign w:val="center"/>
          </w:tcPr>
          <w:p w14:paraId="00847550"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276" w:type="dxa"/>
            <w:noWrap/>
            <w:vAlign w:val="center"/>
          </w:tcPr>
          <w:p w14:paraId="74951CEE"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85/632</w:t>
            </w:r>
          </w:p>
        </w:tc>
        <w:tc>
          <w:tcPr>
            <w:tcW w:w="1418" w:type="dxa"/>
            <w:noWrap/>
            <w:vAlign w:val="center"/>
          </w:tcPr>
          <w:p w14:paraId="1783D060"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1.70 (1.21–2.39)</w:t>
            </w:r>
          </w:p>
        </w:tc>
        <w:tc>
          <w:tcPr>
            <w:tcW w:w="1134" w:type="dxa"/>
            <w:noWrap/>
            <w:vAlign w:val="center"/>
          </w:tcPr>
          <w:p w14:paraId="36DD9FE8"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0.0022</w:t>
            </w:r>
          </w:p>
        </w:tc>
        <w:tc>
          <w:tcPr>
            <w:tcW w:w="992" w:type="dxa"/>
            <w:noWrap/>
            <w:vAlign w:val="center"/>
          </w:tcPr>
          <w:p w14:paraId="6F4C677D"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417" w:type="dxa"/>
            <w:noWrap/>
            <w:vAlign w:val="center"/>
          </w:tcPr>
          <w:p w14:paraId="612B08F0"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85/632</w:t>
            </w:r>
          </w:p>
        </w:tc>
        <w:tc>
          <w:tcPr>
            <w:tcW w:w="1843" w:type="dxa"/>
            <w:noWrap/>
            <w:vAlign w:val="center"/>
          </w:tcPr>
          <w:p w14:paraId="4B02D9FF"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1.35 (0.94–1.93)</w:t>
            </w:r>
          </w:p>
        </w:tc>
        <w:tc>
          <w:tcPr>
            <w:tcW w:w="1378" w:type="dxa"/>
            <w:noWrap/>
            <w:vAlign w:val="center"/>
          </w:tcPr>
          <w:p w14:paraId="4771DA50"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0.1</w:t>
            </w:r>
          </w:p>
        </w:tc>
      </w:tr>
      <w:tr w:rsidR="00FC7868" w:rsidRPr="004B723C" w14:paraId="1C3386F7" w14:textId="77777777" w:rsidTr="00EC6DBD">
        <w:trPr>
          <w:trHeight w:val="300"/>
          <w:jc w:val="center"/>
        </w:trPr>
        <w:tc>
          <w:tcPr>
            <w:cnfStyle w:val="001000000000" w:firstRow="0" w:lastRow="0" w:firstColumn="1" w:lastColumn="0" w:oddVBand="0" w:evenVBand="0" w:oddHBand="0" w:evenHBand="0" w:firstRowFirstColumn="0" w:firstRowLastColumn="0" w:lastRowFirstColumn="0" w:lastRowLastColumn="0"/>
            <w:tcW w:w="2684" w:type="dxa"/>
            <w:noWrap/>
            <w:vAlign w:val="center"/>
          </w:tcPr>
          <w:p w14:paraId="6DB729F4" w14:textId="77777777" w:rsidR="00FC7868" w:rsidRPr="004B723C" w:rsidRDefault="00FC7868" w:rsidP="00812B6B">
            <w:pPr>
              <w:spacing w:line="360" w:lineRule="auto"/>
              <w:rPr>
                <w:rFonts w:eastAsia="Times New Roman" w:cs="Times New Roman"/>
                <w:color w:val="000000"/>
                <w:sz w:val="18"/>
                <w:szCs w:val="18"/>
                <w:lang w:eastAsia="en-GB"/>
              </w:rPr>
            </w:pPr>
          </w:p>
        </w:tc>
        <w:tc>
          <w:tcPr>
            <w:tcW w:w="850" w:type="dxa"/>
            <w:noWrap/>
            <w:vAlign w:val="center"/>
            <w:hideMark/>
          </w:tcPr>
          <w:p w14:paraId="26D158C6"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D+/R−</w:t>
            </w:r>
          </w:p>
        </w:tc>
        <w:tc>
          <w:tcPr>
            <w:tcW w:w="992" w:type="dxa"/>
            <w:noWrap/>
            <w:vAlign w:val="center"/>
          </w:tcPr>
          <w:p w14:paraId="48476365"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276" w:type="dxa"/>
            <w:noWrap/>
            <w:vAlign w:val="center"/>
          </w:tcPr>
          <w:p w14:paraId="75BCEDC2"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66/460</w:t>
            </w:r>
          </w:p>
        </w:tc>
        <w:tc>
          <w:tcPr>
            <w:tcW w:w="1418" w:type="dxa"/>
            <w:noWrap/>
            <w:vAlign w:val="center"/>
          </w:tcPr>
          <w:p w14:paraId="6BFA2409"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1.74 (1.22–2.49)</w:t>
            </w:r>
          </w:p>
        </w:tc>
        <w:tc>
          <w:tcPr>
            <w:tcW w:w="1134" w:type="dxa"/>
            <w:noWrap/>
            <w:vAlign w:val="center"/>
          </w:tcPr>
          <w:p w14:paraId="76455125"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0.0024</w:t>
            </w:r>
          </w:p>
        </w:tc>
        <w:tc>
          <w:tcPr>
            <w:tcW w:w="992" w:type="dxa"/>
            <w:noWrap/>
            <w:vAlign w:val="center"/>
          </w:tcPr>
          <w:p w14:paraId="5C46FD96"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417" w:type="dxa"/>
            <w:noWrap/>
            <w:vAlign w:val="center"/>
          </w:tcPr>
          <w:p w14:paraId="2A7B5B28"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66/459</w:t>
            </w:r>
          </w:p>
        </w:tc>
        <w:tc>
          <w:tcPr>
            <w:tcW w:w="1843" w:type="dxa"/>
            <w:noWrap/>
            <w:vAlign w:val="center"/>
          </w:tcPr>
          <w:p w14:paraId="5964C414"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1.35 (0.92–1.98)</w:t>
            </w:r>
          </w:p>
        </w:tc>
        <w:tc>
          <w:tcPr>
            <w:tcW w:w="1378" w:type="dxa"/>
            <w:noWrap/>
            <w:vAlign w:val="center"/>
          </w:tcPr>
          <w:p w14:paraId="09C3161A"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0.13</w:t>
            </w:r>
          </w:p>
        </w:tc>
      </w:tr>
      <w:tr w:rsidR="00FC7868" w:rsidRPr="004B723C" w14:paraId="61755ED3" w14:textId="77777777" w:rsidTr="00EC6DBD">
        <w:trPr>
          <w:trHeight w:val="300"/>
          <w:jc w:val="center"/>
        </w:trPr>
        <w:tc>
          <w:tcPr>
            <w:cnfStyle w:val="001000000000" w:firstRow="0" w:lastRow="0" w:firstColumn="1" w:lastColumn="0" w:oddVBand="0" w:evenVBand="0" w:oddHBand="0" w:evenHBand="0" w:firstRowFirstColumn="0" w:firstRowLastColumn="0" w:lastRowFirstColumn="0" w:lastRowLastColumn="0"/>
            <w:tcW w:w="2684" w:type="dxa"/>
            <w:noWrap/>
            <w:vAlign w:val="center"/>
          </w:tcPr>
          <w:p w14:paraId="7FCD68F3" w14:textId="77777777" w:rsidR="00FC7868" w:rsidRPr="004B723C" w:rsidRDefault="00FC7868" w:rsidP="00812B6B">
            <w:pPr>
              <w:spacing w:line="360" w:lineRule="auto"/>
              <w:rPr>
                <w:rFonts w:eastAsia="Times New Roman" w:cs="Times New Roman"/>
                <w:color w:val="000000"/>
                <w:sz w:val="18"/>
                <w:szCs w:val="18"/>
                <w:lang w:eastAsia="en-GB"/>
              </w:rPr>
            </w:pPr>
          </w:p>
        </w:tc>
        <w:tc>
          <w:tcPr>
            <w:tcW w:w="850" w:type="dxa"/>
            <w:noWrap/>
            <w:vAlign w:val="center"/>
            <w:hideMark/>
          </w:tcPr>
          <w:p w14:paraId="06402D77"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D−/R+</w:t>
            </w:r>
          </w:p>
        </w:tc>
        <w:tc>
          <w:tcPr>
            <w:tcW w:w="992" w:type="dxa"/>
            <w:noWrap/>
            <w:vAlign w:val="center"/>
          </w:tcPr>
          <w:p w14:paraId="671CD305"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276" w:type="dxa"/>
            <w:noWrap/>
            <w:vAlign w:val="center"/>
          </w:tcPr>
          <w:p w14:paraId="57D847C6"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87/610</w:t>
            </w:r>
          </w:p>
        </w:tc>
        <w:tc>
          <w:tcPr>
            <w:tcW w:w="1418" w:type="dxa"/>
            <w:noWrap/>
            <w:vAlign w:val="center"/>
          </w:tcPr>
          <w:p w14:paraId="1F46526B"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1.71 (1.22–2.40)</w:t>
            </w:r>
          </w:p>
        </w:tc>
        <w:tc>
          <w:tcPr>
            <w:tcW w:w="1134" w:type="dxa"/>
            <w:noWrap/>
            <w:vAlign w:val="center"/>
          </w:tcPr>
          <w:p w14:paraId="67D4A464"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0.0018</w:t>
            </w:r>
          </w:p>
        </w:tc>
        <w:tc>
          <w:tcPr>
            <w:tcW w:w="992" w:type="dxa"/>
            <w:noWrap/>
            <w:vAlign w:val="center"/>
          </w:tcPr>
          <w:p w14:paraId="63B38224"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417" w:type="dxa"/>
            <w:noWrap/>
            <w:vAlign w:val="center"/>
          </w:tcPr>
          <w:p w14:paraId="78949BE8"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87/610</w:t>
            </w:r>
          </w:p>
        </w:tc>
        <w:tc>
          <w:tcPr>
            <w:tcW w:w="1843" w:type="dxa"/>
            <w:noWrap/>
            <w:vAlign w:val="center"/>
          </w:tcPr>
          <w:p w14:paraId="782E04A5"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1.37 (0.97–1.95)</w:t>
            </w:r>
          </w:p>
        </w:tc>
        <w:tc>
          <w:tcPr>
            <w:tcW w:w="1378" w:type="dxa"/>
            <w:noWrap/>
            <w:vAlign w:val="center"/>
          </w:tcPr>
          <w:p w14:paraId="18752767"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0.075</w:t>
            </w:r>
          </w:p>
        </w:tc>
      </w:tr>
      <w:tr w:rsidR="00FC7868" w:rsidRPr="004B723C" w14:paraId="4D16C7BB" w14:textId="77777777" w:rsidTr="00EC6DBD">
        <w:trPr>
          <w:trHeight w:val="300"/>
          <w:jc w:val="center"/>
        </w:trPr>
        <w:tc>
          <w:tcPr>
            <w:cnfStyle w:val="001000000000" w:firstRow="0" w:lastRow="0" w:firstColumn="1" w:lastColumn="0" w:oddVBand="0" w:evenVBand="0" w:oddHBand="0" w:evenHBand="0" w:firstRowFirstColumn="0" w:firstRowLastColumn="0" w:lastRowFirstColumn="0" w:lastRowLastColumn="0"/>
            <w:tcW w:w="2684" w:type="dxa"/>
            <w:noWrap/>
            <w:vAlign w:val="center"/>
            <w:hideMark/>
          </w:tcPr>
          <w:p w14:paraId="6EC3BEA2" w14:textId="77777777" w:rsidR="00FC7868" w:rsidRPr="004B723C" w:rsidRDefault="00FC7868" w:rsidP="00812B6B">
            <w:pPr>
              <w:spacing w:line="360" w:lineRule="auto"/>
              <w:rPr>
                <w:rFonts w:eastAsia="Times New Roman" w:cs="Times New Roman"/>
                <w:color w:val="000000"/>
                <w:sz w:val="18"/>
                <w:szCs w:val="18"/>
                <w:lang w:eastAsia="en-GB"/>
              </w:rPr>
            </w:pPr>
            <w:r w:rsidRPr="004B723C">
              <w:rPr>
                <w:rFonts w:eastAsia="Times New Roman" w:cs="Times New Roman"/>
                <w:color w:val="000000"/>
                <w:sz w:val="18"/>
                <w:szCs w:val="18"/>
                <w:lang w:eastAsia="en-GB"/>
              </w:rPr>
              <w:t>Cold ischemia time (per 5 hours)</w:t>
            </w:r>
          </w:p>
        </w:tc>
        <w:tc>
          <w:tcPr>
            <w:tcW w:w="850" w:type="dxa"/>
            <w:noWrap/>
            <w:vAlign w:val="center"/>
            <w:hideMark/>
          </w:tcPr>
          <w:p w14:paraId="667541F6"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w:t>
            </w:r>
          </w:p>
        </w:tc>
        <w:tc>
          <w:tcPr>
            <w:tcW w:w="992" w:type="dxa"/>
            <w:noWrap/>
            <w:vAlign w:val="center"/>
            <w:hideMark/>
          </w:tcPr>
          <w:p w14:paraId="3B7076F9"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293/2,313</w:t>
            </w:r>
          </w:p>
        </w:tc>
        <w:tc>
          <w:tcPr>
            <w:tcW w:w="1276" w:type="dxa"/>
            <w:noWrap/>
            <w:vAlign w:val="center"/>
          </w:tcPr>
          <w:p w14:paraId="64910AEB"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w:t>
            </w:r>
          </w:p>
        </w:tc>
        <w:tc>
          <w:tcPr>
            <w:tcW w:w="1418" w:type="dxa"/>
            <w:noWrap/>
            <w:vAlign w:val="center"/>
          </w:tcPr>
          <w:p w14:paraId="2B5CB8C2"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1.15 (1.05–1.27)</w:t>
            </w:r>
          </w:p>
        </w:tc>
        <w:tc>
          <w:tcPr>
            <w:tcW w:w="1134" w:type="dxa"/>
            <w:noWrap/>
            <w:vAlign w:val="center"/>
          </w:tcPr>
          <w:p w14:paraId="1F28A6B9"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0.0035</w:t>
            </w:r>
          </w:p>
        </w:tc>
        <w:tc>
          <w:tcPr>
            <w:tcW w:w="992" w:type="dxa"/>
            <w:noWrap/>
            <w:vAlign w:val="center"/>
            <w:hideMark/>
          </w:tcPr>
          <w:p w14:paraId="7590BC2E"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293/2,313</w:t>
            </w:r>
          </w:p>
        </w:tc>
        <w:tc>
          <w:tcPr>
            <w:tcW w:w="1417" w:type="dxa"/>
            <w:noWrap/>
            <w:vAlign w:val="center"/>
          </w:tcPr>
          <w:p w14:paraId="4C901AA9"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w:t>
            </w:r>
          </w:p>
        </w:tc>
        <w:tc>
          <w:tcPr>
            <w:tcW w:w="1843" w:type="dxa"/>
            <w:noWrap/>
            <w:vAlign w:val="center"/>
          </w:tcPr>
          <w:p w14:paraId="4F5B993D"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1.10 (0.97–1.25)</w:t>
            </w:r>
          </w:p>
        </w:tc>
        <w:tc>
          <w:tcPr>
            <w:tcW w:w="1378" w:type="dxa"/>
            <w:noWrap/>
            <w:vAlign w:val="center"/>
          </w:tcPr>
          <w:p w14:paraId="08129CD2"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0.14</w:t>
            </w:r>
          </w:p>
        </w:tc>
      </w:tr>
      <w:tr w:rsidR="00FC7868" w:rsidRPr="004B723C" w14:paraId="3C4C7DCC" w14:textId="77777777" w:rsidTr="00EC6DBD">
        <w:trPr>
          <w:trHeight w:val="300"/>
          <w:jc w:val="center"/>
        </w:trPr>
        <w:tc>
          <w:tcPr>
            <w:cnfStyle w:val="001000000000" w:firstRow="0" w:lastRow="0" w:firstColumn="1" w:lastColumn="0" w:oddVBand="0" w:evenVBand="0" w:oddHBand="0" w:evenHBand="0" w:firstRowFirstColumn="0" w:firstRowLastColumn="0" w:lastRowFirstColumn="0" w:lastRowLastColumn="0"/>
            <w:tcW w:w="2684" w:type="dxa"/>
            <w:noWrap/>
            <w:vAlign w:val="center"/>
            <w:hideMark/>
          </w:tcPr>
          <w:p w14:paraId="7DF9278C" w14:textId="77777777" w:rsidR="00FC7868" w:rsidRPr="004B723C" w:rsidRDefault="00FC7868" w:rsidP="00812B6B">
            <w:pPr>
              <w:spacing w:line="360" w:lineRule="auto"/>
              <w:rPr>
                <w:rFonts w:eastAsia="Times New Roman" w:cs="Times New Roman"/>
                <w:color w:val="000000"/>
                <w:sz w:val="18"/>
                <w:szCs w:val="18"/>
                <w:lang w:eastAsia="en-GB"/>
              </w:rPr>
            </w:pPr>
            <w:r w:rsidRPr="004B723C">
              <w:rPr>
                <w:rFonts w:eastAsia="Times New Roman" w:cs="Times New Roman"/>
                <w:color w:val="000000"/>
                <w:sz w:val="18"/>
                <w:szCs w:val="18"/>
                <w:lang w:eastAsia="en-GB"/>
              </w:rPr>
              <w:t>Calendar year of transplantation (per year)</w:t>
            </w:r>
          </w:p>
        </w:tc>
        <w:tc>
          <w:tcPr>
            <w:tcW w:w="850" w:type="dxa"/>
            <w:noWrap/>
            <w:vAlign w:val="center"/>
            <w:hideMark/>
          </w:tcPr>
          <w:p w14:paraId="5A6F2529"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w:t>
            </w:r>
          </w:p>
        </w:tc>
        <w:tc>
          <w:tcPr>
            <w:tcW w:w="992" w:type="dxa"/>
            <w:noWrap/>
            <w:vAlign w:val="center"/>
            <w:hideMark/>
          </w:tcPr>
          <w:p w14:paraId="74F1871C"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293/2,314</w:t>
            </w:r>
          </w:p>
        </w:tc>
        <w:tc>
          <w:tcPr>
            <w:tcW w:w="1276" w:type="dxa"/>
            <w:noWrap/>
            <w:vAlign w:val="center"/>
          </w:tcPr>
          <w:p w14:paraId="70D9289E"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w:t>
            </w:r>
          </w:p>
        </w:tc>
        <w:tc>
          <w:tcPr>
            <w:tcW w:w="1418" w:type="dxa"/>
            <w:noWrap/>
            <w:vAlign w:val="center"/>
          </w:tcPr>
          <w:p w14:paraId="55F82185"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0.98 (0.96–1.01)</w:t>
            </w:r>
          </w:p>
        </w:tc>
        <w:tc>
          <w:tcPr>
            <w:tcW w:w="1134" w:type="dxa"/>
            <w:noWrap/>
            <w:vAlign w:val="center"/>
          </w:tcPr>
          <w:p w14:paraId="2B2AC95A"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0.2</w:t>
            </w:r>
          </w:p>
        </w:tc>
        <w:tc>
          <w:tcPr>
            <w:tcW w:w="992" w:type="dxa"/>
            <w:noWrap/>
            <w:vAlign w:val="center"/>
            <w:hideMark/>
          </w:tcPr>
          <w:p w14:paraId="237B59F7"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293/2,313</w:t>
            </w:r>
          </w:p>
        </w:tc>
        <w:tc>
          <w:tcPr>
            <w:tcW w:w="1417" w:type="dxa"/>
            <w:noWrap/>
            <w:vAlign w:val="center"/>
          </w:tcPr>
          <w:p w14:paraId="4E370B28"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w:t>
            </w:r>
          </w:p>
        </w:tc>
        <w:tc>
          <w:tcPr>
            <w:tcW w:w="1843" w:type="dxa"/>
            <w:noWrap/>
            <w:vAlign w:val="center"/>
          </w:tcPr>
          <w:p w14:paraId="30B3E0BD"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0.99 (0.96–1.02)</w:t>
            </w:r>
          </w:p>
        </w:tc>
        <w:tc>
          <w:tcPr>
            <w:tcW w:w="1378" w:type="dxa"/>
            <w:noWrap/>
            <w:vAlign w:val="center"/>
          </w:tcPr>
          <w:p w14:paraId="7FC17904"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0.42</w:t>
            </w:r>
          </w:p>
        </w:tc>
      </w:tr>
      <w:tr w:rsidR="00FC7868" w:rsidRPr="004B723C" w14:paraId="3E61E78D" w14:textId="77777777" w:rsidTr="00EC6DBD">
        <w:trPr>
          <w:trHeight w:val="300"/>
          <w:jc w:val="center"/>
        </w:trPr>
        <w:tc>
          <w:tcPr>
            <w:cnfStyle w:val="001000000000" w:firstRow="0" w:lastRow="0" w:firstColumn="1" w:lastColumn="0" w:oddVBand="0" w:evenVBand="0" w:oddHBand="0" w:evenHBand="0" w:firstRowFirstColumn="0" w:firstRowLastColumn="0" w:lastRowFirstColumn="0" w:lastRowLastColumn="0"/>
            <w:tcW w:w="2684" w:type="dxa"/>
            <w:noWrap/>
            <w:vAlign w:val="center"/>
            <w:hideMark/>
          </w:tcPr>
          <w:p w14:paraId="5D82D1F3" w14:textId="77777777" w:rsidR="00FC7868" w:rsidRPr="004B723C" w:rsidRDefault="00FC7868" w:rsidP="00812B6B">
            <w:pPr>
              <w:spacing w:line="360" w:lineRule="auto"/>
              <w:rPr>
                <w:rFonts w:eastAsia="Times New Roman" w:cs="Times New Roman"/>
                <w:color w:val="000000"/>
                <w:sz w:val="18"/>
                <w:szCs w:val="18"/>
                <w:lang w:eastAsia="en-GB"/>
              </w:rPr>
            </w:pPr>
            <w:r w:rsidRPr="004B723C">
              <w:rPr>
                <w:rFonts w:eastAsia="Times New Roman" w:cs="Times New Roman"/>
                <w:color w:val="000000"/>
                <w:sz w:val="18"/>
                <w:szCs w:val="18"/>
                <w:lang w:eastAsia="en-GB"/>
              </w:rPr>
              <w:t>Center</w:t>
            </w:r>
          </w:p>
        </w:tc>
        <w:tc>
          <w:tcPr>
            <w:tcW w:w="850" w:type="dxa"/>
            <w:noWrap/>
            <w:vAlign w:val="center"/>
            <w:hideMark/>
          </w:tcPr>
          <w:p w14:paraId="7EBD451E"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Basel</w:t>
            </w:r>
          </w:p>
        </w:tc>
        <w:tc>
          <w:tcPr>
            <w:tcW w:w="992" w:type="dxa"/>
            <w:noWrap/>
            <w:vAlign w:val="center"/>
            <w:hideMark/>
          </w:tcPr>
          <w:p w14:paraId="3E119B0A"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293/2,314</w:t>
            </w:r>
          </w:p>
        </w:tc>
        <w:tc>
          <w:tcPr>
            <w:tcW w:w="1276" w:type="dxa"/>
            <w:noWrap/>
            <w:vAlign w:val="center"/>
          </w:tcPr>
          <w:p w14:paraId="4475B450"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25/423</w:t>
            </w:r>
          </w:p>
        </w:tc>
        <w:tc>
          <w:tcPr>
            <w:tcW w:w="1418" w:type="dxa"/>
            <w:noWrap/>
            <w:vAlign w:val="center"/>
          </w:tcPr>
          <w:p w14:paraId="72932731"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1134" w:type="dxa"/>
            <w:noWrap/>
            <w:vAlign w:val="center"/>
          </w:tcPr>
          <w:p w14:paraId="1253839B"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992" w:type="dxa"/>
            <w:noWrap/>
            <w:vAlign w:val="center"/>
            <w:hideMark/>
          </w:tcPr>
          <w:p w14:paraId="28EC8E14"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293/2,313</w:t>
            </w:r>
          </w:p>
        </w:tc>
        <w:tc>
          <w:tcPr>
            <w:tcW w:w="1417" w:type="dxa"/>
            <w:noWrap/>
            <w:vAlign w:val="center"/>
          </w:tcPr>
          <w:p w14:paraId="161354A8"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25/423</w:t>
            </w:r>
          </w:p>
        </w:tc>
        <w:tc>
          <w:tcPr>
            <w:tcW w:w="1843" w:type="dxa"/>
            <w:noWrap/>
            <w:vAlign w:val="center"/>
          </w:tcPr>
          <w:p w14:paraId="7EA37E21"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1378" w:type="dxa"/>
            <w:noWrap/>
            <w:vAlign w:val="center"/>
          </w:tcPr>
          <w:p w14:paraId="612AB4AB"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r>
      <w:tr w:rsidR="00FC7868" w:rsidRPr="004B723C" w14:paraId="6592A0C3" w14:textId="77777777" w:rsidTr="00EC6DBD">
        <w:trPr>
          <w:trHeight w:val="300"/>
          <w:jc w:val="center"/>
        </w:trPr>
        <w:tc>
          <w:tcPr>
            <w:cnfStyle w:val="001000000000" w:firstRow="0" w:lastRow="0" w:firstColumn="1" w:lastColumn="0" w:oddVBand="0" w:evenVBand="0" w:oddHBand="0" w:evenHBand="0" w:firstRowFirstColumn="0" w:firstRowLastColumn="0" w:lastRowFirstColumn="0" w:lastRowLastColumn="0"/>
            <w:tcW w:w="2684" w:type="dxa"/>
            <w:noWrap/>
            <w:vAlign w:val="center"/>
          </w:tcPr>
          <w:p w14:paraId="4CFCE77C" w14:textId="77777777" w:rsidR="00FC7868" w:rsidRPr="004B723C" w:rsidRDefault="00FC7868" w:rsidP="00812B6B">
            <w:pPr>
              <w:spacing w:line="360" w:lineRule="auto"/>
              <w:rPr>
                <w:rFonts w:eastAsia="Times New Roman" w:cs="Times New Roman"/>
                <w:color w:val="000000"/>
                <w:sz w:val="18"/>
                <w:szCs w:val="18"/>
                <w:lang w:eastAsia="en-GB"/>
              </w:rPr>
            </w:pPr>
          </w:p>
        </w:tc>
        <w:tc>
          <w:tcPr>
            <w:tcW w:w="850" w:type="dxa"/>
            <w:noWrap/>
            <w:vAlign w:val="center"/>
            <w:hideMark/>
          </w:tcPr>
          <w:p w14:paraId="1D496308"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Leuven</w:t>
            </w:r>
          </w:p>
        </w:tc>
        <w:tc>
          <w:tcPr>
            <w:tcW w:w="992" w:type="dxa"/>
            <w:noWrap/>
            <w:vAlign w:val="center"/>
          </w:tcPr>
          <w:p w14:paraId="2368DB5C"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276" w:type="dxa"/>
            <w:noWrap/>
            <w:vAlign w:val="center"/>
          </w:tcPr>
          <w:p w14:paraId="08B42DC5"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268/1,891</w:t>
            </w:r>
          </w:p>
        </w:tc>
        <w:tc>
          <w:tcPr>
            <w:tcW w:w="1418" w:type="dxa"/>
            <w:noWrap/>
            <w:vAlign w:val="center"/>
          </w:tcPr>
          <w:p w14:paraId="034C8DC6"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1.29 (0.85–1.96)</w:t>
            </w:r>
          </w:p>
        </w:tc>
        <w:tc>
          <w:tcPr>
            <w:tcW w:w="1134" w:type="dxa"/>
            <w:noWrap/>
            <w:vAlign w:val="center"/>
          </w:tcPr>
          <w:p w14:paraId="2AE7A90B"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0.24</w:t>
            </w:r>
          </w:p>
        </w:tc>
        <w:tc>
          <w:tcPr>
            <w:tcW w:w="992" w:type="dxa"/>
            <w:noWrap/>
            <w:vAlign w:val="center"/>
          </w:tcPr>
          <w:p w14:paraId="144CC2C0"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417" w:type="dxa"/>
            <w:noWrap/>
            <w:vAlign w:val="center"/>
          </w:tcPr>
          <w:p w14:paraId="5FD7E942"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268/1,890</w:t>
            </w:r>
          </w:p>
        </w:tc>
        <w:tc>
          <w:tcPr>
            <w:tcW w:w="1843" w:type="dxa"/>
            <w:noWrap/>
            <w:vAlign w:val="center"/>
          </w:tcPr>
          <w:p w14:paraId="791C7AF0"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1.45 (0.90–2.36)</w:t>
            </w:r>
          </w:p>
        </w:tc>
        <w:tc>
          <w:tcPr>
            <w:tcW w:w="1378" w:type="dxa"/>
            <w:noWrap/>
            <w:vAlign w:val="center"/>
          </w:tcPr>
          <w:p w14:paraId="54A553F4"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0.13</w:t>
            </w:r>
          </w:p>
        </w:tc>
      </w:tr>
      <w:tr w:rsidR="00FC7868" w:rsidRPr="004B723C" w14:paraId="0F7417DB" w14:textId="77777777" w:rsidTr="00EC6DBD">
        <w:trPr>
          <w:trHeight w:val="300"/>
          <w:jc w:val="center"/>
        </w:trPr>
        <w:tc>
          <w:tcPr>
            <w:cnfStyle w:val="001000000000" w:firstRow="0" w:lastRow="0" w:firstColumn="1" w:lastColumn="0" w:oddVBand="0" w:evenVBand="0" w:oddHBand="0" w:evenHBand="0" w:firstRowFirstColumn="0" w:firstRowLastColumn="0" w:lastRowFirstColumn="0" w:lastRowLastColumn="0"/>
            <w:tcW w:w="2684" w:type="dxa"/>
            <w:noWrap/>
            <w:vAlign w:val="center"/>
            <w:hideMark/>
          </w:tcPr>
          <w:p w14:paraId="452E52F9" w14:textId="77777777" w:rsidR="00FC7868" w:rsidRPr="004B723C" w:rsidRDefault="00FC7868" w:rsidP="00812B6B">
            <w:pPr>
              <w:spacing w:line="360" w:lineRule="auto"/>
              <w:rPr>
                <w:rFonts w:eastAsia="Times New Roman" w:cs="Times New Roman"/>
                <w:color w:val="000000"/>
                <w:sz w:val="18"/>
                <w:szCs w:val="18"/>
                <w:lang w:eastAsia="en-GB"/>
              </w:rPr>
            </w:pPr>
            <w:r w:rsidRPr="004B723C">
              <w:rPr>
                <w:rFonts w:eastAsia="Times New Roman" w:cs="Times New Roman"/>
                <w:color w:val="000000"/>
                <w:sz w:val="18"/>
                <w:szCs w:val="18"/>
                <w:lang w:eastAsia="en-GB"/>
              </w:rPr>
              <w:t>Donor age (per 10 years)</w:t>
            </w:r>
          </w:p>
        </w:tc>
        <w:tc>
          <w:tcPr>
            <w:tcW w:w="850" w:type="dxa"/>
            <w:noWrap/>
            <w:vAlign w:val="center"/>
            <w:hideMark/>
          </w:tcPr>
          <w:p w14:paraId="1D31F725"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w:t>
            </w:r>
          </w:p>
        </w:tc>
        <w:tc>
          <w:tcPr>
            <w:tcW w:w="992" w:type="dxa"/>
            <w:noWrap/>
            <w:vAlign w:val="center"/>
            <w:hideMark/>
          </w:tcPr>
          <w:p w14:paraId="20E3145E"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293/2,314</w:t>
            </w:r>
          </w:p>
        </w:tc>
        <w:tc>
          <w:tcPr>
            <w:tcW w:w="1276" w:type="dxa"/>
            <w:noWrap/>
            <w:vAlign w:val="center"/>
          </w:tcPr>
          <w:p w14:paraId="42913064"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w:t>
            </w:r>
          </w:p>
        </w:tc>
        <w:tc>
          <w:tcPr>
            <w:tcW w:w="1418" w:type="dxa"/>
            <w:noWrap/>
            <w:vAlign w:val="center"/>
          </w:tcPr>
          <w:p w14:paraId="56FA48CA"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1.21 (1.11–1.31)</w:t>
            </w:r>
          </w:p>
        </w:tc>
        <w:tc>
          <w:tcPr>
            <w:tcW w:w="1134" w:type="dxa"/>
            <w:noWrap/>
            <w:vAlign w:val="center"/>
          </w:tcPr>
          <w:p w14:paraId="5AC74CC4"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1.74 × 10</w:t>
            </w:r>
            <w:r w:rsidRPr="004B723C">
              <w:rPr>
                <w:rFonts w:cs="Times New Roman"/>
                <w:color w:val="000000"/>
                <w:sz w:val="18"/>
                <w:szCs w:val="18"/>
                <w:vertAlign w:val="superscript"/>
              </w:rPr>
              <w:t>-5</w:t>
            </w:r>
          </w:p>
        </w:tc>
        <w:tc>
          <w:tcPr>
            <w:tcW w:w="992" w:type="dxa"/>
            <w:noWrap/>
            <w:vAlign w:val="center"/>
            <w:hideMark/>
          </w:tcPr>
          <w:p w14:paraId="2AD8DDCF"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293/2,313</w:t>
            </w:r>
          </w:p>
        </w:tc>
        <w:tc>
          <w:tcPr>
            <w:tcW w:w="1417" w:type="dxa"/>
            <w:noWrap/>
            <w:vAlign w:val="center"/>
          </w:tcPr>
          <w:p w14:paraId="5CC22989"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w:t>
            </w:r>
          </w:p>
        </w:tc>
        <w:tc>
          <w:tcPr>
            <w:tcW w:w="1843" w:type="dxa"/>
            <w:noWrap/>
            <w:vAlign w:val="center"/>
          </w:tcPr>
          <w:p w14:paraId="1FC056B8"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1.23 (1.12–1.35)</w:t>
            </w:r>
          </w:p>
        </w:tc>
        <w:tc>
          <w:tcPr>
            <w:tcW w:w="1378" w:type="dxa"/>
            <w:noWrap/>
            <w:vAlign w:val="center"/>
          </w:tcPr>
          <w:p w14:paraId="30CBA48A"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1.23 × 10</w:t>
            </w:r>
            <w:r w:rsidRPr="004B723C">
              <w:rPr>
                <w:rFonts w:cs="Times New Roman"/>
                <w:color w:val="000000"/>
                <w:sz w:val="18"/>
                <w:szCs w:val="18"/>
                <w:vertAlign w:val="superscript"/>
              </w:rPr>
              <w:t>-5</w:t>
            </w:r>
          </w:p>
        </w:tc>
      </w:tr>
      <w:tr w:rsidR="00FC7868" w:rsidRPr="004B723C" w14:paraId="7DD85C7B" w14:textId="77777777" w:rsidTr="00EC6DBD">
        <w:trPr>
          <w:trHeight w:val="300"/>
          <w:jc w:val="center"/>
        </w:trPr>
        <w:tc>
          <w:tcPr>
            <w:cnfStyle w:val="001000000000" w:firstRow="0" w:lastRow="0" w:firstColumn="1" w:lastColumn="0" w:oddVBand="0" w:evenVBand="0" w:oddHBand="0" w:evenHBand="0" w:firstRowFirstColumn="0" w:firstRowLastColumn="0" w:lastRowFirstColumn="0" w:lastRowLastColumn="0"/>
            <w:tcW w:w="2684" w:type="dxa"/>
            <w:noWrap/>
            <w:vAlign w:val="center"/>
            <w:hideMark/>
          </w:tcPr>
          <w:p w14:paraId="73C3D83D" w14:textId="77777777" w:rsidR="00FC7868" w:rsidRPr="004B723C" w:rsidRDefault="00FC7868" w:rsidP="00812B6B">
            <w:pPr>
              <w:spacing w:line="360" w:lineRule="auto"/>
              <w:rPr>
                <w:rFonts w:eastAsia="Times New Roman" w:cs="Times New Roman"/>
                <w:color w:val="000000"/>
                <w:sz w:val="18"/>
                <w:szCs w:val="18"/>
                <w:lang w:eastAsia="en-GB"/>
              </w:rPr>
            </w:pPr>
            <w:r w:rsidRPr="004B723C">
              <w:rPr>
                <w:rFonts w:eastAsia="Times New Roman" w:cs="Times New Roman"/>
                <w:color w:val="000000"/>
                <w:sz w:val="18"/>
                <w:szCs w:val="18"/>
                <w:lang w:eastAsia="en-GB"/>
              </w:rPr>
              <w:t>Donor type</w:t>
            </w:r>
          </w:p>
        </w:tc>
        <w:tc>
          <w:tcPr>
            <w:tcW w:w="850" w:type="dxa"/>
            <w:noWrap/>
            <w:vAlign w:val="center"/>
            <w:hideMark/>
          </w:tcPr>
          <w:p w14:paraId="3B4B9864"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Living</w:t>
            </w:r>
          </w:p>
        </w:tc>
        <w:tc>
          <w:tcPr>
            <w:tcW w:w="992" w:type="dxa"/>
            <w:noWrap/>
            <w:vAlign w:val="center"/>
            <w:hideMark/>
          </w:tcPr>
          <w:p w14:paraId="5E221476"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293/2,314</w:t>
            </w:r>
          </w:p>
        </w:tc>
        <w:tc>
          <w:tcPr>
            <w:tcW w:w="1276" w:type="dxa"/>
            <w:noWrap/>
            <w:vAlign w:val="center"/>
          </w:tcPr>
          <w:p w14:paraId="5C77CE6E"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18/300</w:t>
            </w:r>
          </w:p>
        </w:tc>
        <w:tc>
          <w:tcPr>
            <w:tcW w:w="1418" w:type="dxa"/>
            <w:noWrap/>
            <w:vAlign w:val="center"/>
          </w:tcPr>
          <w:p w14:paraId="7B372A73"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1134" w:type="dxa"/>
            <w:noWrap/>
            <w:vAlign w:val="center"/>
          </w:tcPr>
          <w:p w14:paraId="0E646B7A"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992" w:type="dxa"/>
            <w:noWrap/>
            <w:vAlign w:val="center"/>
            <w:hideMark/>
          </w:tcPr>
          <w:p w14:paraId="3D7BD7CD"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293/2,313</w:t>
            </w:r>
          </w:p>
        </w:tc>
        <w:tc>
          <w:tcPr>
            <w:tcW w:w="1417" w:type="dxa"/>
            <w:noWrap/>
            <w:vAlign w:val="center"/>
          </w:tcPr>
          <w:p w14:paraId="53129AF4"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18/300</w:t>
            </w:r>
          </w:p>
        </w:tc>
        <w:tc>
          <w:tcPr>
            <w:tcW w:w="1843" w:type="dxa"/>
            <w:noWrap/>
            <w:vAlign w:val="center"/>
          </w:tcPr>
          <w:p w14:paraId="0BCF676C"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1378" w:type="dxa"/>
            <w:noWrap/>
            <w:vAlign w:val="center"/>
          </w:tcPr>
          <w:p w14:paraId="2EBF597A"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r>
      <w:tr w:rsidR="00FC7868" w:rsidRPr="004B723C" w14:paraId="6431B44B" w14:textId="77777777" w:rsidTr="00EC6DBD">
        <w:trPr>
          <w:trHeight w:val="300"/>
          <w:jc w:val="center"/>
        </w:trPr>
        <w:tc>
          <w:tcPr>
            <w:cnfStyle w:val="001000000000" w:firstRow="0" w:lastRow="0" w:firstColumn="1" w:lastColumn="0" w:oddVBand="0" w:evenVBand="0" w:oddHBand="0" w:evenHBand="0" w:firstRowFirstColumn="0" w:firstRowLastColumn="0" w:lastRowFirstColumn="0" w:lastRowLastColumn="0"/>
            <w:tcW w:w="2684" w:type="dxa"/>
            <w:noWrap/>
            <w:vAlign w:val="center"/>
          </w:tcPr>
          <w:p w14:paraId="7060DF9B" w14:textId="77777777" w:rsidR="00FC7868" w:rsidRPr="004B723C" w:rsidRDefault="00FC7868" w:rsidP="00812B6B">
            <w:pPr>
              <w:spacing w:line="360" w:lineRule="auto"/>
              <w:rPr>
                <w:rFonts w:eastAsia="Times New Roman" w:cs="Times New Roman"/>
                <w:color w:val="000000"/>
                <w:sz w:val="18"/>
                <w:szCs w:val="18"/>
                <w:lang w:eastAsia="en-GB"/>
              </w:rPr>
            </w:pPr>
          </w:p>
        </w:tc>
        <w:tc>
          <w:tcPr>
            <w:tcW w:w="850" w:type="dxa"/>
            <w:noWrap/>
            <w:vAlign w:val="center"/>
            <w:hideMark/>
          </w:tcPr>
          <w:p w14:paraId="4F6F2023"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DBD</w:t>
            </w:r>
          </w:p>
        </w:tc>
        <w:tc>
          <w:tcPr>
            <w:tcW w:w="992" w:type="dxa"/>
            <w:noWrap/>
            <w:vAlign w:val="center"/>
          </w:tcPr>
          <w:p w14:paraId="7530CF08"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276" w:type="dxa"/>
            <w:noWrap/>
            <w:vAlign w:val="center"/>
          </w:tcPr>
          <w:p w14:paraId="6C834A75"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232/1,581</w:t>
            </w:r>
          </w:p>
        </w:tc>
        <w:tc>
          <w:tcPr>
            <w:tcW w:w="1418" w:type="dxa"/>
            <w:noWrap/>
            <w:vAlign w:val="center"/>
          </w:tcPr>
          <w:p w14:paraId="03CC61B8"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1.97 (1.22–3.19)</w:t>
            </w:r>
          </w:p>
        </w:tc>
        <w:tc>
          <w:tcPr>
            <w:tcW w:w="1134" w:type="dxa"/>
            <w:noWrap/>
            <w:vAlign w:val="center"/>
          </w:tcPr>
          <w:p w14:paraId="52CD8305"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0.0055</w:t>
            </w:r>
          </w:p>
        </w:tc>
        <w:tc>
          <w:tcPr>
            <w:tcW w:w="992" w:type="dxa"/>
            <w:noWrap/>
            <w:vAlign w:val="center"/>
          </w:tcPr>
          <w:p w14:paraId="312832FB"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417" w:type="dxa"/>
            <w:noWrap/>
            <w:vAlign w:val="center"/>
          </w:tcPr>
          <w:p w14:paraId="6E388AB1"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232/1,580</w:t>
            </w:r>
          </w:p>
        </w:tc>
        <w:tc>
          <w:tcPr>
            <w:tcW w:w="1843" w:type="dxa"/>
            <w:noWrap/>
            <w:vAlign w:val="center"/>
          </w:tcPr>
          <w:p w14:paraId="0A2D9B65"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1.67 (0.92–3.05)</w:t>
            </w:r>
          </w:p>
        </w:tc>
        <w:tc>
          <w:tcPr>
            <w:tcW w:w="1378" w:type="dxa"/>
            <w:noWrap/>
            <w:vAlign w:val="center"/>
          </w:tcPr>
          <w:p w14:paraId="12AF252C"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0.092</w:t>
            </w:r>
          </w:p>
        </w:tc>
      </w:tr>
      <w:tr w:rsidR="00FC7868" w:rsidRPr="004B723C" w14:paraId="5BFBD5BA" w14:textId="77777777" w:rsidTr="00EC6DBD">
        <w:trPr>
          <w:trHeight w:val="300"/>
          <w:jc w:val="center"/>
        </w:trPr>
        <w:tc>
          <w:tcPr>
            <w:cnfStyle w:val="001000000000" w:firstRow="0" w:lastRow="0" w:firstColumn="1" w:lastColumn="0" w:oddVBand="0" w:evenVBand="0" w:oddHBand="0" w:evenHBand="0" w:firstRowFirstColumn="0" w:firstRowLastColumn="0" w:lastRowFirstColumn="0" w:lastRowLastColumn="0"/>
            <w:tcW w:w="2684" w:type="dxa"/>
            <w:noWrap/>
            <w:vAlign w:val="center"/>
          </w:tcPr>
          <w:p w14:paraId="61DE7AA2" w14:textId="77777777" w:rsidR="00FC7868" w:rsidRPr="004B723C" w:rsidRDefault="00FC7868" w:rsidP="00812B6B">
            <w:pPr>
              <w:spacing w:line="360" w:lineRule="auto"/>
              <w:rPr>
                <w:rFonts w:eastAsia="Times New Roman" w:cs="Times New Roman"/>
                <w:color w:val="000000"/>
                <w:sz w:val="18"/>
                <w:szCs w:val="18"/>
                <w:lang w:eastAsia="en-GB"/>
              </w:rPr>
            </w:pPr>
          </w:p>
        </w:tc>
        <w:tc>
          <w:tcPr>
            <w:tcW w:w="850" w:type="dxa"/>
            <w:noWrap/>
            <w:vAlign w:val="center"/>
            <w:hideMark/>
          </w:tcPr>
          <w:p w14:paraId="2F138D71"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DCD</w:t>
            </w:r>
          </w:p>
        </w:tc>
        <w:tc>
          <w:tcPr>
            <w:tcW w:w="992" w:type="dxa"/>
            <w:noWrap/>
            <w:vAlign w:val="center"/>
          </w:tcPr>
          <w:p w14:paraId="1C25F3CE"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276" w:type="dxa"/>
            <w:noWrap/>
            <w:vAlign w:val="center"/>
          </w:tcPr>
          <w:p w14:paraId="7706F1CF"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43/433</w:t>
            </w:r>
          </w:p>
        </w:tc>
        <w:tc>
          <w:tcPr>
            <w:tcW w:w="1418" w:type="dxa"/>
            <w:noWrap/>
            <w:vAlign w:val="center"/>
          </w:tcPr>
          <w:p w14:paraId="60779971"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1.45 (0.84–2.52)</w:t>
            </w:r>
          </w:p>
        </w:tc>
        <w:tc>
          <w:tcPr>
            <w:tcW w:w="1134" w:type="dxa"/>
            <w:noWrap/>
            <w:vAlign w:val="center"/>
          </w:tcPr>
          <w:p w14:paraId="67467F02"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0.19</w:t>
            </w:r>
          </w:p>
        </w:tc>
        <w:tc>
          <w:tcPr>
            <w:tcW w:w="992" w:type="dxa"/>
            <w:noWrap/>
            <w:vAlign w:val="center"/>
          </w:tcPr>
          <w:p w14:paraId="16834C57"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417" w:type="dxa"/>
            <w:noWrap/>
            <w:vAlign w:val="center"/>
          </w:tcPr>
          <w:p w14:paraId="46146C90"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43/433</w:t>
            </w:r>
          </w:p>
        </w:tc>
        <w:tc>
          <w:tcPr>
            <w:tcW w:w="1843" w:type="dxa"/>
            <w:noWrap/>
            <w:vAlign w:val="center"/>
          </w:tcPr>
          <w:p w14:paraId="1895AAAE"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1.38 (0.72–2.65)</w:t>
            </w:r>
          </w:p>
        </w:tc>
        <w:tc>
          <w:tcPr>
            <w:tcW w:w="1378" w:type="dxa"/>
            <w:noWrap/>
            <w:vAlign w:val="center"/>
          </w:tcPr>
          <w:p w14:paraId="40C18AEF"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0.34</w:t>
            </w:r>
          </w:p>
        </w:tc>
      </w:tr>
      <w:tr w:rsidR="00FC7868" w:rsidRPr="004B723C" w14:paraId="3A77A3EB" w14:textId="77777777" w:rsidTr="00EC6DBD">
        <w:trPr>
          <w:trHeight w:val="300"/>
          <w:jc w:val="center"/>
        </w:trPr>
        <w:tc>
          <w:tcPr>
            <w:cnfStyle w:val="001000000000" w:firstRow="0" w:lastRow="0" w:firstColumn="1" w:lastColumn="0" w:oddVBand="0" w:evenVBand="0" w:oddHBand="0" w:evenHBand="0" w:firstRowFirstColumn="0" w:firstRowLastColumn="0" w:lastRowFirstColumn="0" w:lastRowLastColumn="0"/>
            <w:tcW w:w="2684" w:type="dxa"/>
            <w:noWrap/>
            <w:vAlign w:val="center"/>
            <w:hideMark/>
          </w:tcPr>
          <w:p w14:paraId="674337C7" w14:textId="77777777" w:rsidR="00FC7868" w:rsidRPr="004B723C" w:rsidRDefault="00FC7868" w:rsidP="00812B6B">
            <w:pPr>
              <w:spacing w:line="360" w:lineRule="auto"/>
              <w:rPr>
                <w:rFonts w:eastAsia="Times New Roman" w:cs="Times New Roman"/>
                <w:color w:val="000000"/>
                <w:sz w:val="18"/>
                <w:szCs w:val="18"/>
                <w:lang w:eastAsia="en-GB"/>
              </w:rPr>
            </w:pPr>
            <w:r w:rsidRPr="004B723C">
              <w:rPr>
                <w:rFonts w:eastAsia="Times New Roman" w:cs="Times New Roman"/>
                <w:color w:val="000000"/>
                <w:sz w:val="18"/>
                <w:szCs w:val="18"/>
                <w:lang w:eastAsia="en-GB"/>
              </w:rPr>
              <w:t>HLA mismatch (per mismatch)</w:t>
            </w:r>
          </w:p>
        </w:tc>
        <w:tc>
          <w:tcPr>
            <w:tcW w:w="850" w:type="dxa"/>
            <w:noWrap/>
            <w:vAlign w:val="center"/>
            <w:hideMark/>
          </w:tcPr>
          <w:p w14:paraId="18BFCD20"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w:t>
            </w:r>
          </w:p>
        </w:tc>
        <w:tc>
          <w:tcPr>
            <w:tcW w:w="992" w:type="dxa"/>
            <w:noWrap/>
            <w:vAlign w:val="center"/>
            <w:hideMark/>
          </w:tcPr>
          <w:p w14:paraId="112CF375"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293/2,314</w:t>
            </w:r>
          </w:p>
        </w:tc>
        <w:tc>
          <w:tcPr>
            <w:tcW w:w="1276" w:type="dxa"/>
            <w:noWrap/>
            <w:vAlign w:val="center"/>
          </w:tcPr>
          <w:p w14:paraId="04849724"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w:t>
            </w:r>
          </w:p>
        </w:tc>
        <w:tc>
          <w:tcPr>
            <w:tcW w:w="1418" w:type="dxa"/>
            <w:noWrap/>
            <w:vAlign w:val="center"/>
          </w:tcPr>
          <w:p w14:paraId="6DA6E610"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1.12 (1.03–1.21)</w:t>
            </w:r>
          </w:p>
        </w:tc>
        <w:tc>
          <w:tcPr>
            <w:tcW w:w="1134" w:type="dxa"/>
            <w:noWrap/>
            <w:vAlign w:val="center"/>
          </w:tcPr>
          <w:p w14:paraId="36D4F78A"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0.011</w:t>
            </w:r>
          </w:p>
        </w:tc>
        <w:tc>
          <w:tcPr>
            <w:tcW w:w="992" w:type="dxa"/>
            <w:noWrap/>
            <w:vAlign w:val="center"/>
            <w:hideMark/>
          </w:tcPr>
          <w:p w14:paraId="23292933"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293/2,313</w:t>
            </w:r>
          </w:p>
        </w:tc>
        <w:tc>
          <w:tcPr>
            <w:tcW w:w="1417" w:type="dxa"/>
            <w:noWrap/>
            <w:vAlign w:val="center"/>
          </w:tcPr>
          <w:p w14:paraId="7D1E489D"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w:t>
            </w:r>
          </w:p>
        </w:tc>
        <w:tc>
          <w:tcPr>
            <w:tcW w:w="1843" w:type="dxa"/>
            <w:noWrap/>
            <w:vAlign w:val="center"/>
          </w:tcPr>
          <w:p w14:paraId="0DD4ACFE"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1.17 (1.06–1.29)</w:t>
            </w:r>
          </w:p>
        </w:tc>
        <w:tc>
          <w:tcPr>
            <w:tcW w:w="1378" w:type="dxa"/>
            <w:noWrap/>
            <w:vAlign w:val="center"/>
          </w:tcPr>
          <w:p w14:paraId="32FD4CCA"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0.0018</w:t>
            </w:r>
          </w:p>
        </w:tc>
      </w:tr>
      <w:tr w:rsidR="00FC7868" w:rsidRPr="004B723C" w14:paraId="329570FF" w14:textId="77777777" w:rsidTr="00EC6DBD">
        <w:trPr>
          <w:trHeight w:val="300"/>
          <w:jc w:val="center"/>
        </w:trPr>
        <w:tc>
          <w:tcPr>
            <w:cnfStyle w:val="001000000000" w:firstRow="0" w:lastRow="0" w:firstColumn="1" w:lastColumn="0" w:oddVBand="0" w:evenVBand="0" w:oddHBand="0" w:evenHBand="0" w:firstRowFirstColumn="0" w:firstRowLastColumn="0" w:lastRowFirstColumn="0" w:lastRowLastColumn="0"/>
            <w:tcW w:w="2684" w:type="dxa"/>
            <w:noWrap/>
            <w:vAlign w:val="center"/>
            <w:hideMark/>
          </w:tcPr>
          <w:p w14:paraId="1AD8539A" w14:textId="77777777" w:rsidR="00FC7868" w:rsidRPr="004B723C" w:rsidRDefault="00FC7868" w:rsidP="00812B6B">
            <w:pPr>
              <w:spacing w:line="360" w:lineRule="auto"/>
              <w:rPr>
                <w:rFonts w:eastAsia="Times New Roman" w:cs="Times New Roman"/>
                <w:color w:val="000000"/>
                <w:sz w:val="18"/>
                <w:szCs w:val="18"/>
                <w:lang w:eastAsia="en-GB"/>
              </w:rPr>
            </w:pPr>
            <w:r w:rsidRPr="004B723C">
              <w:rPr>
                <w:rFonts w:eastAsia="Times New Roman" w:cs="Times New Roman"/>
                <w:color w:val="000000"/>
                <w:sz w:val="18"/>
                <w:szCs w:val="18"/>
                <w:lang w:eastAsia="en-GB"/>
              </w:rPr>
              <w:t>HLA–DSA status</w:t>
            </w:r>
          </w:p>
        </w:tc>
        <w:tc>
          <w:tcPr>
            <w:tcW w:w="850" w:type="dxa"/>
            <w:noWrap/>
            <w:vAlign w:val="center"/>
            <w:hideMark/>
          </w:tcPr>
          <w:p w14:paraId="780BFDA1"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Negative</w:t>
            </w:r>
          </w:p>
        </w:tc>
        <w:tc>
          <w:tcPr>
            <w:tcW w:w="992" w:type="dxa"/>
            <w:noWrap/>
            <w:vAlign w:val="center"/>
            <w:hideMark/>
          </w:tcPr>
          <w:p w14:paraId="7F0DFCA6"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293/2,314</w:t>
            </w:r>
          </w:p>
        </w:tc>
        <w:tc>
          <w:tcPr>
            <w:tcW w:w="1276" w:type="dxa"/>
            <w:noWrap/>
            <w:vAlign w:val="center"/>
          </w:tcPr>
          <w:p w14:paraId="56A2738D"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239/2,108</w:t>
            </w:r>
          </w:p>
        </w:tc>
        <w:tc>
          <w:tcPr>
            <w:tcW w:w="1418" w:type="dxa"/>
            <w:noWrap/>
            <w:vAlign w:val="center"/>
          </w:tcPr>
          <w:p w14:paraId="3137BCD1"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1134" w:type="dxa"/>
            <w:noWrap/>
            <w:vAlign w:val="center"/>
          </w:tcPr>
          <w:p w14:paraId="42537A8A"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992" w:type="dxa"/>
            <w:noWrap/>
            <w:vAlign w:val="center"/>
            <w:hideMark/>
          </w:tcPr>
          <w:p w14:paraId="1790C718"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293/2,313</w:t>
            </w:r>
          </w:p>
        </w:tc>
        <w:tc>
          <w:tcPr>
            <w:tcW w:w="1417" w:type="dxa"/>
            <w:noWrap/>
            <w:vAlign w:val="center"/>
          </w:tcPr>
          <w:p w14:paraId="283297B9"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239/2,107</w:t>
            </w:r>
          </w:p>
        </w:tc>
        <w:tc>
          <w:tcPr>
            <w:tcW w:w="1843" w:type="dxa"/>
            <w:noWrap/>
            <w:vAlign w:val="center"/>
          </w:tcPr>
          <w:p w14:paraId="37F349EE"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1378" w:type="dxa"/>
            <w:noWrap/>
            <w:vAlign w:val="center"/>
          </w:tcPr>
          <w:p w14:paraId="0B68125F"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r>
      <w:tr w:rsidR="00FC7868" w:rsidRPr="004B723C" w14:paraId="6B0C50FA" w14:textId="77777777" w:rsidTr="00EC6DBD">
        <w:trPr>
          <w:trHeight w:val="300"/>
          <w:jc w:val="center"/>
        </w:trPr>
        <w:tc>
          <w:tcPr>
            <w:cnfStyle w:val="001000000000" w:firstRow="0" w:lastRow="0" w:firstColumn="1" w:lastColumn="0" w:oddVBand="0" w:evenVBand="0" w:oddHBand="0" w:evenHBand="0" w:firstRowFirstColumn="0" w:firstRowLastColumn="0" w:lastRowFirstColumn="0" w:lastRowLastColumn="0"/>
            <w:tcW w:w="2684" w:type="dxa"/>
            <w:noWrap/>
            <w:vAlign w:val="center"/>
          </w:tcPr>
          <w:p w14:paraId="2A1CC01A" w14:textId="77777777" w:rsidR="00FC7868" w:rsidRPr="004B723C" w:rsidRDefault="00FC7868" w:rsidP="00812B6B">
            <w:pPr>
              <w:spacing w:line="360" w:lineRule="auto"/>
              <w:rPr>
                <w:rFonts w:eastAsia="Times New Roman" w:cs="Times New Roman"/>
                <w:color w:val="000000"/>
                <w:sz w:val="18"/>
                <w:szCs w:val="18"/>
                <w:lang w:eastAsia="en-GB"/>
              </w:rPr>
            </w:pPr>
          </w:p>
        </w:tc>
        <w:tc>
          <w:tcPr>
            <w:tcW w:w="850" w:type="dxa"/>
            <w:noWrap/>
            <w:vAlign w:val="center"/>
            <w:hideMark/>
          </w:tcPr>
          <w:p w14:paraId="2C027AA4"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Positive</w:t>
            </w:r>
          </w:p>
        </w:tc>
        <w:tc>
          <w:tcPr>
            <w:tcW w:w="992" w:type="dxa"/>
            <w:noWrap/>
            <w:vAlign w:val="center"/>
          </w:tcPr>
          <w:p w14:paraId="7627AD35"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276" w:type="dxa"/>
            <w:noWrap/>
            <w:vAlign w:val="center"/>
          </w:tcPr>
          <w:p w14:paraId="6B2CBCF8"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54/206</w:t>
            </w:r>
          </w:p>
        </w:tc>
        <w:tc>
          <w:tcPr>
            <w:tcW w:w="1418" w:type="dxa"/>
            <w:noWrap/>
            <w:vAlign w:val="center"/>
          </w:tcPr>
          <w:p w14:paraId="2E5A5388"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2.58 (1.92–3.46)</w:t>
            </w:r>
          </w:p>
        </w:tc>
        <w:tc>
          <w:tcPr>
            <w:tcW w:w="1134" w:type="dxa"/>
            <w:noWrap/>
            <w:vAlign w:val="center"/>
          </w:tcPr>
          <w:p w14:paraId="5A434F5D"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3.51 × 10</w:t>
            </w:r>
            <w:r w:rsidRPr="004B723C">
              <w:rPr>
                <w:rFonts w:cs="Times New Roman"/>
                <w:color w:val="000000"/>
                <w:sz w:val="18"/>
                <w:szCs w:val="18"/>
                <w:vertAlign w:val="superscript"/>
              </w:rPr>
              <w:t>-10</w:t>
            </w:r>
          </w:p>
        </w:tc>
        <w:tc>
          <w:tcPr>
            <w:tcW w:w="992" w:type="dxa"/>
            <w:noWrap/>
            <w:vAlign w:val="center"/>
          </w:tcPr>
          <w:p w14:paraId="63487D26"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417" w:type="dxa"/>
            <w:noWrap/>
            <w:vAlign w:val="center"/>
          </w:tcPr>
          <w:p w14:paraId="6EF5F6E4"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54/206</w:t>
            </w:r>
          </w:p>
        </w:tc>
        <w:tc>
          <w:tcPr>
            <w:tcW w:w="1843" w:type="dxa"/>
            <w:noWrap/>
            <w:vAlign w:val="center"/>
          </w:tcPr>
          <w:p w14:paraId="6D0D6BBB"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2.08 (1.49–2.90)</w:t>
            </w:r>
          </w:p>
        </w:tc>
        <w:tc>
          <w:tcPr>
            <w:tcW w:w="1378" w:type="dxa"/>
            <w:noWrap/>
            <w:vAlign w:val="center"/>
          </w:tcPr>
          <w:p w14:paraId="36EADC25"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1.58 × 10</w:t>
            </w:r>
            <w:r w:rsidRPr="004B723C">
              <w:rPr>
                <w:rFonts w:cs="Times New Roman"/>
                <w:color w:val="000000"/>
                <w:sz w:val="18"/>
                <w:szCs w:val="18"/>
                <w:vertAlign w:val="superscript"/>
              </w:rPr>
              <w:t>-5</w:t>
            </w:r>
          </w:p>
        </w:tc>
      </w:tr>
      <w:tr w:rsidR="00FC7868" w:rsidRPr="004B723C" w14:paraId="08B56998" w14:textId="77777777" w:rsidTr="00EC6DBD">
        <w:trPr>
          <w:trHeight w:val="300"/>
          <w:jc w:val="center"/>
        </w:trPr>
        <w:tc>
          <w:tcPr>
            <w:cnfStyle w:val="001000000000" w:firstRow="0" w:lastRow="0" w:firstColumn="1" w:lastColumn="0" w:oddVBand="0" w:evenVBand="0" w:oddHBand="0" w:evenHBand="0" w:firstRowFirstColumn="0" w:firstRowLastColumn="0" w:lastRowFirstColumn="0" w:lastRowLastColumn="0"/>
            <w:tcW w:w="2684" w:type="dxa"/>
            <w:noWrap/>
            <w:vAlign w:val="center"/>
            <w:hideMark/>
          </w:tcPr>
          <w:p w14:paraId="528B8958" w14:textId="77777777" w:rsidR="00FC7868" w:rsidRPr="004B723C" w:rsidRDefault="00FC7868" w:rsidP="00812B6B">
            <w:pPr>
              <w:spacing w:line="360" w:lineRule="auto"/>
              <w:rPr>
                <w:rFonts w:eastAsia="Times New Roman" w:cs="Times New Roman"/>
                <w:color w:val="000000"/>
                <w:sz w:val="18"/>
                <w:szCs w:val="18"/>
                <w:lang w:eastAsia="en-GB"/>
              </w:rPr>
            </w:pPr>
            <w:r w:rsidRPr="004B723C">
              <w:rPr>
                <w:rFonts w:eastAsia="Times New Roman" w:cs="Times New Roman"/>
                <w:color w:val="000000"/>
                <w:sz w:val="18"/>
                <w:szCs w:val="18"/>
                <w:lang w:eastAsia="en-GB"/>
              </w:rPr>
              <w:t>Recipient age (per 10 years)</w:t>
            </w:r>
          </w:p>
        </w:tc>
        <w:tc>
          <w:tcPr>
            <w:tcW w:w="850" w:type="dxa"/>
            <w:noWrap/>
            <w:vAlign w:val="center"/>
            <w:hideMark/>
          </w:tcPr>
          <w:p w14:paraId="4E20DEFE"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w:t>
            </w:r>
          </w:p>
        </w:tc>
        <w:tc>
          <w:tcPr>
            <w:tcW w:w="992" w:type="dxa"/>
            <w:noWrap/>
            <w:vAlign w:val="center"/>
            <w:hideMark/>
          </w:tcPr>
          <w:p w14:paraId="5E1790EF"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293/2,314</w:t>
            </w:r>
          </w:p>
        </w:tc>
        <w:tc>
          <w:tcPr>
            <w:tcW w:w="1276" w:type="dxa"/>
            <w:noWrap/>
            <w:vAlign w:val="center"/>
          </w:tcPr>
          <w:p w14:paraId="492018C9"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w:t>
            </w:r>
          </w:p>
        </w:tc>
        <w:tc>
          <w:tcPr>
            <w:tcW w:w="1418" w:type="dxa"/>
            <w:noWrap/>
            <w:vAlign w:val="center"/>
          </w:tcPr>
          <w:p w14:paraId="6F63A970"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1.03 (0.94–1.13)</w:t>
            </w:r>
          </w:p>
        </w:tc>
        <w:tc>
          <w:tcPr>
            <w:tcW w:w="1134" w:type="dxa"/>
            <w:noWrap/>
            <w:vAlign w:val="center"/>
          </w:tcPr>
          <w:p w14:paraId="5D682665"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0.53</w:t>
            </w:r>
          </w:p>
        </w:tc>
        <w:tc>
          <w:tcPr>
            <w:tcW w:w="992" w:type="dxa"/>
            <w:noWrap/>
            <w:vAlign w:val="center"/>
            <w:hideMark/>
          </w:tcPr>
          <w:p w14:paraId="7F95E281"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293/2,313</w:t>
            </w:r>
          </w:p>
        </w:tc>
        <w:tc>
          <w:tcPr>
            <w:tcW w:w="1417" w:type="dxa"/>
            <w:noWrap/>
            <w:vAlign w:val="center"/>
          </w:tcPr>
          <w:p w14:paraId="341F6BB2"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w:t>
            </w:r>
          </w:p>
        </w:tc>
        <w:tc>
          <w:tcPr>
            <w:tcW w:w="1843" w:type="dxa"/>
            <w:noWrap/>
            <w:vAlign w:val="center"/>
          </w:tcPr>
          <w:p w14:paraId="347356D1"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0.91 (0.82–1.00)</w:t>
            </w:r>
          </w:p>
        </w:tc>
        <w:tc>
          <w:tcPr>
            <w:tcW w:w="1378" w:type="dxa"/>
            <w:noWrap/>
            <w:vAlign w:val="center"/>
          </w:tcPr>
          <w:p w14:paraId="47D670E2"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0.059</w:t>
            </w:r>
          </w:p>
        </w:tc>
      </w:tr>
      <w:tr w:rsidR="00FC7868" w:rsidRPr="004B723C" w14:paraId="0028BD1A" w14:textId="77777777" w:rsidTr="00EC6DBD">
        <w:trPr>
          <w:trHeight w:val="300"/>
          <w:jc w:val="center"/>
        </w:trPr>
        <w:tc>
          <w:tcPr>
            <w:cnfStyle w:val="001000000000" w:firstRow="0" w:lastRow="0" w:firstColumn="1" w:lastColumn="0" w:oddVBand="0" w:evenVBand="0" w:oddHBand="0" w:evenHBand="0" w:firstRowFirstColumn="0" w:firstRowLastColumn="0" w:lastRowFirstColumn="0" w:lastRowLastColumn="0"/>
            <w:tcW w:w="2684" w:type="dxa"/>
            <w:noWrap/>
            <w:vAlign w:val="center"/>
            <w:hideMark/>
          </w:tcPr>
          <w:p w14:paraId="32A09761" w14:textId="77777777" w:rsidR="00FC7868" w:rsidRPr="004B723C" w:rsidRDefault="00FC7868" w:rsidP="00812B6B">
            <w:pPr>
              <w:spacing w:line="360" w:lineRule="auto"/>
              <w:rPr>
                <w:rFonts w:eastAsia="Times New Roman" w:cs="Times New Roman"/>
                <w:color w:val="000000"/>
                <w:sz w:val="18"/>
                <w:szCs w:val="18"/>
                <w:lang w:eastAsia="en-GB"/>
              </w:rPr>
            </w:pPr>
            <w:r w:rsidRPr="004B723C">
              <w:rPr>
                <w:rFonts w:eastAsia="Times New Roman" w:cs="Times New Roman"/>
                <w:color w:val="000000"/>
                <w:sz w:val="18"/>
                <w:szCs w:val="18"/>
                <w:lang w:eastAsia="en-GB"/>
              </w:rPr>
              <w:t>Recipient sex</w:t>
            </w:r>
          </w:p>
        </w:tc>
        <w:tc>
          <w:tcPr>
            <w:tcW w:w="850" w:type="dxa"/>
            <w:noWrap/>
            <w:vAlign w:val="center"/>
            <w:hideMark/>
          </w:tcPr>
          <w:p w14:paraId="55DC2FB1"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Male</w:t>
            </w:r>
          </w:p>
        </w:tc>
        <w:tc>
          <w:tcPr>
            <w:tcW w:w="992" w:type="dxa"/>
            <w:noWrap/>
            <w:vAlign w:val="center"/>
            <w:hideMark/>
          </w:tcPr>
          <w:p w14:paraId="7B1E6FC4"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293/2,314</w:t>
            </w:r>
          </w:p>
        </w:tc>
        <w:tc>
          <w:tcPr>
            <w:tcW w:w="1276" w:type="dxa"/>
            <w:noWrap/>
            <w:vAlign w:val="center"/>
          </w:tcPr>
          <w:p w14:paraId="59B2A392"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166/1,454</w:t>
            </w:r>
          </w:p>
        </w:tc>
        <w:tc>
          <w:tcPr>
            <w:tcW w:w="1418" w:type="dxa"/>
            <w:noWrap/>
            <w:vAlign w:val="center"/>
          </w:tcPr>
          <w:p w14:paraId="3539EB23"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1134" w:type="dxa"/>
            <w:noWrap/>
            <w:vAlign w:val="center"/>
          </w:tcPr>
          <w:p w14:paraId="09FE620E"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992" w:type="dxa"/>
            <w:noWrap/>
            <w:vAlign w:val="center"/>
            <w:hideMark/>
          </w:tcPr>
          <w:p w14:paraId="7F04595F"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293/2,313</w:t>
            </w:r>
          </w:p>
        </w:tc>
        <w:tc>
          <w:tcPr>
            <w:tcW w:w="1417" w:type="dxa"/>
            <w:noWrap/>
            <w:vAlign w:val="center"/>
          </w:tcPr>
          <w:p w14:paraId="64E58ABE"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166/1,453</w:t>
            </w:r>
          </w:p>
        </w:tc>
        <w:tc>
          <w:tcPr>
            <w:tcW w:w="1843" w:type="dxa"/>
            <w:noWrap/>
            <w:vAlign w:val="center"/>
          </w:tcPr>
          <w:p w14:paraId="55089754"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1378" w:type="dxa"/>
            <w:noWrap/>
            <w:vAlign w:val="center"/>
          </w:tcPr>
          <w:p w14:paraId="45A25878"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r>
      <w:tr w:rsidR="00FC7868" w:rsidRPr="004B723C" w14:paraId="1996FF5A" w14:textId="77777777" w:rsidTr="00EC6DBD">
        <w:trPr>
          <w:trHeight w:val="300"/>
          <w:jc w:val="center"/>
        </w:trPr>
        <w:tc>
          <w:tcPr>
            <w:cnfStyle w:val="001000000000" w:firstRow="0" w:lastRow="0" w:firstColumn="1" w:lastColumn="0" w:oddVBand="0" w:evenVBand="0" w:oddHBand="0" w:evenHBand="0" w:firstRowFirstColumn="0" w:firstRowLastColumn="0" w:lastRowFirstColumn="0" w:lastRowLastColumn="0"/>
            <w:tcW w:w="2684" w:type="dxa"/>
            <w:noWrap/>
            <w:vAlign w:val="center"/>
          </w:tcPr>
          <w:p w14:paraId="35EB4931" w14:textId="77777777" w:rsidR="00FC7868" w:rsidRPr="004B723C" w:rsidRDefault="00FC7868" w:rsidP="00812B6B">
            <w:pPr>
              <w:spacing w:line="360" w:lineRule="auto"/>
              <w:rPr>
                <w:rFonts w:eastAsia="Times New Roman" w:cs="Times New Roman"/>
                <w:color w:val="000000"/>
                <w:sz w:val="18"/>
                <w:szCs w:val="18"/>
                <w:lang w:eastAsia="en-GB"/>
              </w:rPr>
            </w:pPr>
          </w:p>
        </w:tc>
        <w:tc>
          <w:tcPr>
            <w:tcW w:w="850" w:type="dxa"/>
            <w:noWrap/>
            <w:vAlign w:val="center"/>
            <w:hideMark/>
          </w:tcPr>
          <w:p w14:paraId="1E639FDE"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Female</w:t>
            </w:r>
          </w:p>
        </w:tc>
        <w:tc>
          <w:tcPr>
            <w:tcW w:w="992" w:type="dxa"/>
            <w:noWrap/>
            <w:vAlign w:val="center"/>
          </w:tcPr>
          <w:p w14:paraId="6EF8B8F3"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276" w:type="dxa"/>
            <w:noWrap/>
            <w:vAlign w:val="center"/>
          </w:tcPr>
          <w:p w14:paraId="56DC300C"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127/860</w:t>
            </w:r>
          </w:p>
        </w:tc>
        <w:tc>
          <w:tcPr>
            <w:tcW w:w="1418" w:type="dxa"/>
            <w:noWrap/>
            <w:vAlign w:val="center"/>
          </w:tcPr>
          <w:p w14:paraId="582C1A3E"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1.26 (1.00–1.59)</w:t>
            </w:r>
          </w:p>
        </w:tc>
        <w:tc>
          <w:tcPr>
            <w:tcW w:w="1134" w:type="dxa"/>
            <w:noWrap/>
            <w:vAlign w:val="center"/>
          </w:tcPr>
          <w:p w14:paraId="2EF7AD38"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0.046</w:t>
            </w:r>
          </w:p>
        </w:tc>
        <w:tc>
          <w:tcPr>
            <w:tcW w:w="992" w:type="dxa"/>
            <w:noWrap/>
            <w:vAlign w:val="center"/>
          </w:tcPr>
          <w:p w14:paraId="6EBCF803"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417" w:type="dxa"/>
            <w:noWrap/>
            <w:vAlign w:val="center"/>
          </w:tcPr>
          <w:p w14:paraId="62836D8B"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127/860</w:t>
            </w:r>
          </w:p>
        </w:tc>
        <w:tc>
          <w:tcPr>
            <w:tcW w:w="1843" w:type="dxa"/>
            <w:noWrap/>
            <w:vAlign w:val="center"/>
          </w:tcPr>
          <w:p w14:paraId="670E6168"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1.18 (0.93–1.49)</w:t>
            </w:r>
          </w:p>
        </w:tc>
        <w:tc>
          <w:tcPr>
            <w:tcW w:w="1378" w:type="dxa"/>
            <w:noWrap/>
            <w:vAlign w:val="center"/>
          </w:tcPr>
          <w:p w14:paraId="2DBBD2E9"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0.18</w:t>
            </w:r>
          </w:p>
        </w:tc>
      </w:tr>
      <w:tr w:rsidR="00FC7868" w:rsidRPr="004B723C" w14:paraId="25F37557" w14:textId="77777777" w:rsidTr="00EC6DBD">
        <w:trPr>
          <w:trHeight w:val="300"/>
          <w:jc w:val="center"/>
        </w:trPr>
        <w:tc>
          <w:tcPr>
            <w:cnfStyle w:val="001000000000" w:firstRow="0" w:lastRow="0" w:firstColumn="1" w:lastColumn="0" w:oddVBand="0" w:evenVBand="0" w:oddHBand="0" w:evenHBand="0" w:firstRowFirstColumn="0" w:firstRowLastColumn="0" w:lastRowFirstColumn="0" w:lastRowLastColumn="0"/>
            <w:tcW w:w="2684" w:type="dxa"/>
            <w:noWrap/>
            <w:vAlign w:val="center"/>
            <w:hideMark/>
          </w:tcPr>
          <w:p w14:paraId="50CED6D8" w14:textId="77777777" w:rsidR="00FC7868" w:rsidRPr="004B723C" w:rsidRDefault="00FC7868" w:rsidP="00812B6B">
            <w:pPr>
              <w:spacing w:line="360" w:lineRule="auto"/>
              <w:rPr>
                <w:rFonts w:eastAsia="Times New Roman" w:cs="Times New Roman"/>
                <w:color w:val="000000"/>
                <w:sz w:val="18"/>
                <w:szCs w:val="18"/>
                <w:lang w:eastAsia="en-GB"/>
              </w:rPr>
            </w:pPr>
            <w:r w:rsidRPr="004B723C">
              <w:rPr>
                <w:rFonts w:eastAsia="Times New Roman" w:cs="Times New Roman"/>
                <w:color w:val="000000"/>
                <w:sz w:val="18"/>
                <w:szCs w:val="18"/>
                <w:lang w:eastAsia="en-GB"/>
              </w:rPr>
              <w:t>Repeat transplantation</w:t>
            </w:r>
          </w:p>
        </w:tc>
        <w:tc>
          <w:tcPr>
            <w:tcW w:w="850" w:type="dxa"/>
            <w:noWrap/>
            <w:vAlign w:val="center"/>
            <w:hideMark/>
          </w:tcPr>
          <w:p w14:paraId="2A14EA52"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No</w:t>
            </w:r>
          </w:p>
        </w:tc>
        <w:tc>
          <w:tcPr>
            <w:tcW w:w="992" w:type="dxa"/>
            <w:noWrap/>
            <w:vAlign w:val="center"/>
            <w:hideMark/>
          </w:tcPr>
          <w:p w14:paraId="7F6E1B0F"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293/2,314</w:t>
            </w:r>
          </w:p>
        </w:tc>
        <w:tc>
          <w:tcPr>
            <w:tcW w:w="1276" w:type="dxa"/>
            <w:noWrap/>
            <w:vAlign w:val="center"/>
          </w:tcPr>
          <w:p w14:paraId="3E111565"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227/1,977</w:t>
            </w:r>
          </w:p>
        </w:tc>
        <w:tc>
          <w:tcPr>
            <w:tcW w:w="1418" w:type="dxa"/>
            <w:noWrap/>
            <w:vAlign w:val="center"/>
          </w:tcPr>
          <w:p w14:paraId="306EA2C7"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1134" w:type="dxa"/>
            <w:noWrap/>
            <w:vAlign w:val="center"/>
          </w:tcPr>
          <w:p w14:paraId="1F677307"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992" w:type="dxa"/>
            <w:noWrap/>
            <w:vAlign w:val="center"/>
            <w:hideMark/>
          </w:tcPr>
          <w:p w14:paraId="5EB49900"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293/2,313</w:t>
            </w:r>
          </w:p>
        </w:tc>
        <w:tc>
          <w:tcPr>
            <w:tcW w:w="1417" w:type="dxa"/>
            <w:noWrap/>
            <w:vAlign w:val="center"/>
          </w:tcPr>
          <w:p w14:paraId="515E7D73"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227/1,976</w:t>
            </w:r>
          </w:p>
        </w:tc>
        <w:tc>
          <w:tcPr>
            <w:tcW w:w="1843" w:type="dxa"/>
            <w:noWrap/>
            <w:vAlign w:val="center"/>
          </w:tcPr>
          <w:p w14:paraId="30FF868F"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1378" w:type="dxa"/>
            <w:noWrap/>
            <w:vAlign w:val="center"/>
          </w:tcPr>
          <w:p w14:paraId="55D9F75C"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r>
      <w:tr w:rsidR="00FC7868" w:rsidRPr="004B723C" w14:paraId="1F8D4E08" w14:textId="77777777" w:rsidTr="00EC6DBD">
        <w:trPr>
          <w:trHeight w:val="300"/>
          <w:jc w:val="center"/>
        </w:trPr>
        <w:tc>
          <w:tcPr>
            <w:cnfStyle w:val="001000000000" w:firstRow="0" w:lastRow="0" w:firstColumn="1" w:lastColumn="0" w:oddVBand="0" w:evenVBand="0" w:oddHBand="0" w:evenHBand="0" w:firstRowFirstColumn="0" w:firstRowLastColumn="0" w:lastRowFirstColumn="0" w:lastRowLastColumn="0"/>
            <w:tcW w:w="2684" w:type="dxa"/>
            <w:noWrap/>
            <w:vAlign w:val="center"/>
          </w:tcPr>
          <w:p w14:paraId="07E95A2F" w14:textId="77777777" w:rsidR="00FC7868" w:rsidRPr="004B723C" w:rsidRDefault="00FC7868" w:rsidP="00812B6B">
            <w:pPr>
              <w:spacing w:line="360" w:lineRule="auto"/>
              <w:rPr>
                <w:rFonts w:eastAsia="Times New Roman" w:cs="Times New Roman"/>
                <w:color w:val="000000"/>
                <w:sz w:val="18"/>
                <w:szCs w:val="18"/>
                <w:lang w:eastAsia="en-GB"/>
              </w:rPr>
            </w:pPr>
          </w:p>
        </w:tc>
        <w:tc>
          <w:tcPr>
            <w:tcW w:w="850" w:type="dxa"/>
            <w:noWrap/>
            <w:vAlign w:val="center"/>
            <w:hideMark/>
          </w:tcPr>
          <w:p w14:paraId="1E356CCE"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Yes</w:t>
            </w:r>
          </w:p>
        </w:tc>
        <w:tc>
          <w:tcPr>
            <w:tcW w:w="992" w:type="dxa"/>
            <w:noWrap/>
            <w:vAlign w:val="center"/>
          </w:tcPr>
          <w:p w14:paraId="029BE95D"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276" w:type="dxa"/>
            <w:noWrap/>
            <w:vAlign w:val="center"/>
          </w:tcPr>
          <w:p w14:paraId="3254560D"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66/337</w:t>
            </w:r>
          </w:p>
        </w:tc>
        <w:tc>
          <w:tcPr>
            <w:tcW w:w="1418" w:type="dxa"/>
            <w:noWrap/>
            <w:vAlign w:val="center"/>
          </w:tcPr>
          <w:p w14:paraId="6875EC37"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1.83 (1.39–2.41)</w:t>
            </w:r>
          </w:p>
        </w:tc>
        <w:tc>
          <w:tcPr>
            <w:tcW w:w="1134" w:type="dxa"/>
            <w:noWrap/>
            <w:vAlign w:val="center"/>
          </w:tcPr>
          <w:p w14:paraId="0EF3F35E"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1.44 × 10</w:t>
            </w:r>
            <w:r w:rsidRPr="004B723C">
              <w:rPr>
                <w:rFonts w:cs="Times New Roman"/>
                <w:color w:val="000000"/>
                <w:sz w:val="18"/>
                <w:szCs w:val="18"/>
                <w:vertAlign w:val="superscript"/>
              </w:rPr>
              <w:t>-5</w:t>
            </w:r>
          </w:p>
        </w:tc>
        <w:tc>
          <w:tcPr>
            <w:tcW w:w="992" w:type="dxa"/>
            <w:noWrap/>
            <w:vAlign w:val="center"/>
          </w:tcPr>
          <w:p w14:paraId="3FCC1A84"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417" w:type="dxa"/>
            <w:noWrap/>
            <w:vAlign w:val="center"/>
          </w:tcPr>
          <w:p w14:paraId="14220ABB"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66/337</w:t>
            </w:r>
          </w:p>
        </w:tc>
        <w:tc>
          <w:tcPr>
            <w:tcW w:w="1843" w:type="dxa"/>
            <w:noWrap/>
            <w:vAlign w:val="center"/>
          </w:tcPr>
          <w:p w14:paraId="79025410"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1.55 (1.13–2.12)</w:t>
            </w:r>
          </w:p>
        </w:tc>
        <w:tc>
          <w:tcPr>
            <w:tcW w:w="1378" w:type="dxa"/>
            <w:noWrap/>
            <w:vAlign w:val="center"/>
          </w:tcPr>
          <w:p w14:paraId="695FE97D"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0.0059</w:t>
            </w:r>
          </w:p>
        </w:tc>
      </w:tr>
    </w:tbl>
    <w:p w14:paraId="0AF758C9" w14:textId="77777777" w:rsidR="00FC7868" w:rsidRPr="004B723C" w:rsidRDefault="00FC7868" w:rsidP="00FC7868">
      <w:pPr>
        <w:spacing w:before="240" w:line="360" w:lineRule="auto"/>
      </w:pPr>
      <w:r w:rsidRPr="004B723C">
        <w:t>Values are hazard ratios (HRs) with 95% confidence intervals (CIs) from univariable and multivariable time-dependent Cox proportional-hazards models. Total events and events per subgroup are presented as n/N, where n denotes the number of events and N the number of participants with non-missing data for the respective covariate. Multivariable models were adjusted for CMV serostatus, recipient age and sex, donor age and type (living, donation after circulatory death, donation after brain death), repeat transplantation, calendar year of transplantation, HLA mismatch, HLA-DSA status at transplantation, cold ischemia time, and transplant center.</w:t>
      </w:r>
    </w:p>
    <w:p w14:paraId="087446EA" w14:textId="283890D3" w:rsidR="004D0737" w:rsidRPr="004B723C" w:rsidRDefault="00FC7868">
      <w:pPr>
        <w:spacing w:before="240" w:line="360" w:lineRule="auto"/>
      </w:pPr>
      <w:r w:rsidRPr="004B723C">
        <w:t>Abbreviations: CMV, cytomegalovirus; D, donor; DSA, donor-specific antibody; HLA, human leukocyte antigen; R, recipient; Ref., reference.</w:t>
      </w:r>
    </w:p>
    <w:p w14:paraId="0AB95782" w14:textId="77777777" w:rsidR="004D0737" w:rsidRPr="004B723C" w:rsidRDefault="004D0737">
      <w:pPr>
        <w:spacing w:before="240" w:line="360" w:lineRule="auto"/>
        <w:rPr>
          <w:rFonts w:cs="Times New Roman"/>
        </w:rPr>
        <w:sectPr w:rsidR="004D0737" w:rsidRPr="004B723C" w:rsidSect="00380509">
          <w:pgSz w:w="16838" w:h="11906" w:orient="landscape"/>
          <w:pgMar w:top="1417" w:right="1417" w:bottom="1417" w:left="1417" w:header="708" w:footer="708" w:gutter="0"/>
          <w:cols w:space="708"/>
          <w:docGrid w:linePitch="360"/>
        </w:sectPr>
      </w:pPr>
    </w:p>
    <w:p w14:paraId="1B40FFB0" w14:textId="4298D558" w:rsidR="00FC7868" w:rsidRPr="004B723C" w:rsidRDefault="00FC7868" w:rsidP="00FC7868">
      <w:pPr>
        <w:pStyle w:val="Heading2"/>
        <w:spacing w:line="360" w:lineRule="auto"/>
        <w:rPr>
          <w:rFonts w:cs="Times New Roman"/>
          <w:sz w:val="22"/>
          <w:szCs w:val="22"/>
        </w:rPr>
      </w:pPr>
      <w:r w:rsidRPr="004B723C">
        <w:rPr>
          <w:rFonts w:cs="Times New Roman"/>
          <w:sz w:val="22"/>
          <w:szCs w:val="22"/>
        </w:rPr>
        <w:lastRenderedPageBreak/>
        <w:t>Table S1</w:t>
      </w:r>
      <w:r w:rsidR="0096707E" w:rsidRPr="004B723C">
        <w:rPr>
          <w:rFonts w:cs="Times New Roman"/>
          <w:sz w:val="22"/>
          <w:szCs w:val="22"/>
        </w:rPr>
        <w:t>9</w:t>
      </w:r>
      <w:r w:rsidRPr="004B723C">
        <w:rPr>
          <w:rFonts w:cs="Times New Roman"/>
          <w:sz w:val="22"/>
          <w:szCs w:val="22"/>
        </w:rPr>
        <w:t>: Time-dependent Cox proportional hazards models for post-transplant CMV disease and graft failure</w:t>
      </w:r>
    </w:p>
    <w:tbl>
      <w:tblPr>
        <w:tblStyle w:val="Nature"/>
        <w:tblW w:w="0" w:type="auto"/>
        <w:jc w:val="center"/>
        <w:tblLayout w:type="fixed"/>
        <w:tblLook w:val="04A0" w:firstRow="1" w:lastRow="0" w:firstColumn="1" w:lastColumn="0" w:noHBand="0" w:noVBand="1"/>
      </w:tblPr>
      <w:tblGrid>
        <w:gridCol w:w="2542"/>
        <w:gridCol w:w="850"/>
        <w:gridCol w:w="993"/>
        <w:gridCol w:w="1417"/>
        <w:gridCol w:w="1418"/>
        <w:gridCol w:w="1417"/>
        <w:gridCol w:w="1134"/>
        <w:gridCol w:w="1276"/>
        <w:gridCol w:w="1559"/>
        <w:gridCol w:w="1378"/>
      </w:tblGrid>
      <w:tr w:rsidR="00FC7868" w:rsidRPr="004B723C" w14:paraId="18065392" w14:textId="77777777" w:rsidTr="00BE5148">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542" w:type="dxa"/>
            <w:noWrap/>
            <w:vAlign w:val="center"/>
            <w:hideMark/>
          </w:tcPr>
          <w:p w14:paraId="279DD1EA" w14:textId="0CB6753D" w:rsidR="00FC7868" w:rsidRPr="004B723C" w:rsidRDefault="00BE5148" w:rsidP="00812B6B">
            <w:pPr>
              <w:spacing w:line="360" w:lineRule="auto"/>
              <w:jc w:val="center"/>
              <w:rPr>
                <w:rFonts w:eastAsia="Times New Roman" w:cs="Times New Roman"/>
                <w:b/>
                <w:bCs/>
                <w:color w:val="000000"/>
                <w:sz w:val="18"/>
                <w:szCs w:val="18"/>
                <w:lang w:eastAsia="en-GB"/>
              </w:rPr>
            </w:pPr>
            <w:r>
              <w:rPr>
                <w:rFonts w:eastAsia="Times New Roman" w:cs="Times New Roman"/>
                <w:b/>
                <w:bCs/>
                <w:color w:val="000000"/>
                <w:sz w:val="18"/>
                <w:szCs w:val="18"/>
                <w:lang w:eastAsia="en-GB"/>
              </w:rPr>
              <w:t>Factors</w:t>
            </w:r>
          </w:p>
        </w:tc>
        <w:tc>
          <w:tcPr>
            <w:tcW w:w="850" w:type="dxa"/>
            <w:noWrap/>
            <w:vAlign w:val="center"/>
            <w:hideMark/>
          </w:tcPr>
          <w:p w14:paraId="6C8AC2B7" w14:textId="77777777" w:rsidR="00FC7868" w:rsidRPr="004B723C" w:rsidRDefault="00FC7868" w:rsidP="00812B6B">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eastAsia="en-GB"/>
              </w:rPr>
            </w:pPr>
            <w:r w:rsidRPr="004B723C">
              <w:rPr>
                <w:rFonts w:eastAsia="Times New Roman" w:cs="Times New Roman"/>
                <w:b/>
                <w:bCs/>
                <w:color w:val="000000"/>
                <w:sz w:val="18"/>
                <w:szCs w:val="18"/>
                <w:lang w:eastAsia="en-GB"/>
              </w:rPr>
              <w:t>Level</w:t>
            </w:r>
          </w:p>
        </w:tc>
        <w:tc>
          <w:tcPr>
            <w:tcW w:w="993" w:type="dxa"/>
            <w:noWrap/>
            <w:vAlign w:val="center"/>
            <w:hideMark/>
          </w:tcPr>
          <w:p w14:paraId="225CD5FA" w14:textId="77777777" w:rsidR="00FC7868" w:rsidRPr="004B723C" w:rsidRDefault="00FC7868" w:rsidP="00812B6B">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eastAsia="en-GB"/>
              </w:rPr>
            </w:pPr>
            <w:r w:rsidRPr="004B723C">
              <w:rPr>
                <w:rFonts w:eastAsia="Times New Roman" w:cs="Times New Roman"/>
                <w:b/>
                <w:bCs/>
                <w:color w:val="000000"/>
                <w:sz w:val="18"/>
                <w:szCs w:val="18"/>
                <w:lang w:eastAsia="en-GB"/>
              </w:rPr>
              <w:t>Events/</w:t>
            </w:r>
            <w:r w:rsidRPr="004B723C">
              <w:rPr>
                <w:rFonts w:eastAsia="Times New Roman" w:cs="Times New Roman"/>
                <w:b/>
                <w:bCs/>
                <w:color w:val="000000"/>
                <w:sz w:val="18"/>
                <w:szCs w:val="18"/>
                <w:lang w:eastAsia="en-GB"/>
              </w:rPr>
              <w:br/>
              <w:t>N analyzed</w:t>
            </w:r>
          </w:p>
        </w:tc>
        <w:tc>
          <w:tcPr>
            <w:tcW w:w="1417" w:type="dxa"/>
            <w:noWrap/>
            <w:vAlign w:val="center"/>
            <w:hideMark/>
          </w:tcPr>
          <w:p w14:paraId="5E899616" w14:textId="77777777" w:rsidR="00FC7868" w:rsidRPr="004B723C" w:rsidRDefault="00FC7868" w:rsidP="00812B6B">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eastAsia="en-GB"/>
              </w:rPr>
            </w:pPr>
            <w:r w:rsidRPr="004B723C">
              <w:rPr>
                <w:rFonts w:eastAsia="Times New Roman" w:cs="Times New Roman"/>
                <w:b/>
                <w:bCs/>
                <w:color w:val="000000"/>
                <w:sz w:val="18"/>
                <w:szCs w:val="18"/>
                <w:lang w:eastAsia="en-GB"/>
              </w:rPr>
              <w:t>Events (group)/</w:t>
            </w:r>
            <w:r w:rsidRPr="004B723C">
              <w:rPr>
                <w:rFonts w:eastAsia="Times New Roman" w:cs="Times New Roman"/>
                <w:b/>
                <w:bCs/>
                <w:color w:val="000000"/>
                <w:sz w:val="18"/>
                <w:szCs w:val="18"/>
                <w:lang w:eastAsia="en-GB"/>
              </w:rPr>
              <w:br/>
              <w:t>N (group)</w:t>
            </w:r>
          </w:p>
        </w:tc>
        <w:tc>
          <w:tcPr>
            <w:tcW w:w="1418" w:type="dxa"/>
            <w:noWrap/>
            <w:vAlign w:val="center"/>
            <w:hideMark/>
          </w:tcPr>
          <w:p w14:paraId="5F4FA1A8" w14:textId="77777777" w:rsidR="00FC7868" w:rsidRPr="004B723C" w:rsidRDefault="00FC7868" w:rsidP="00812B6B">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eastAsia="en-GB"/>
              </w:rPr>
            </w:pPr>
            <w:r w:rsidRPr="004B723C">
              <w:rPr>
                <w:rFonts w:eastAsia="Times New Roman" w:cs="Times New Roman"/>
                <w:b/>
                <w:bCs/>
                <w:color w:val="000000"/>
                <w:sz w:val="18"/>
                <w:szCs w:val="18"/>
                <w:lang w:eastAsia="en-GB"/>
              </w:rPr>
              <w:t>HR</w:t>
            </w:r>
            <w:r w:rsidRPr="004B723C">
              <w:rPr>
                <w:rFonts w:eastAsia="Times New Roman" w:cs="Times New Roman"/>
                <w:b/>
                <w:bCs/>
                <w:color w:val="000000"/>
                <w:sz w:val="18"/>
                <w:szCs w:val="18"/>
                <w:lang w:eastAsia="en-GB"/>
              </w:rPr>
              <w:br/>
              <w:t>(95% CI)</w:t>
            </w:r>
          </w:p>
        </w:tc>
        <w:tc>
          <w:tcPr>
            <w:tcW w:w="1417" w:type="dxa"/>
            <w:noWrap/>
            <w:vAlign w:val="center"/>
            <w:hideMark/>
          </w:tcPr>
          <w:p w14:paraId="0CF997CE" w14:textId="2B1151D8" w:rsidR="00FC7868" w:rsidRPr="004B723C" w:rsidRDefault="00BE5148" w:rsidP="00812B6B">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eastAsia="en-GB"/>
              </w:rPr>
            </w:pPr>
            <w:r>
              <w:rPr>
                <w:rFonts w:eastAsia="Times New Roman" w:cs="Times New Roman"/>
                <w:b/>
                <w:bCs/>
                <w:color w:val="000000"/>
                <w:sz w:val="18"/>
                <w:szCs w:val="18"/>
                <w:lang w:eastAsia="en-GB"/>
              </w:rPr>
              <w:t>P</w:t>
            </w:r>
            <w:r w:rsidR="00FC7868" w:rsidRPr="004B723C">
              <w:rPr>
                <w:rFonts w:eastAsia="Times New Roman" w:cs="Times New Roman"/>
                <w:b/>
                <w:bCs/>
                <w:color w:val="000000"/>
                <w:sz w:val="18"/>
                <w:szCs w:val="18"/>
                <w:lang w:eastAsia="en-GB"/>
              </w:rPr>
              <w:t xml:space="preserve"> value</w:t>
            </w:r>
          </w:p>
        </w:tc>
        <w:tc>
          <w:tcPr>
            <w:tcW w:w="1134" w:type="dxa"/>
            <w:noWrap/>
            <w:vAlign w:val="center"/>
            <w:hideMark/>
          </w:tcPr>
          <w:p w14:paraId="5E417148" w14:textId="77777777" w:rsidR="00FC7868" w:rsidRPr="004B723C" w:rsidRDefault="00FC7868" w:rsidP="00812B6B">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eastAsia="en-GB"/>
              </w:rPr>
            </w:pPr>
            <w:r w:rsidRPr="004B723C">
              <w:rPr>
                <w:rFonts w:eastAsia="Times New Roman" w:cs="Times New Roman"/>
                <w:b/>
                <w:bCs/>
                <w:color w:val="000000"/>
                <w:sz w:val="18"/>
                <w:szCs w:val="18"/>
                <w:lang w:eastAsia="en-GB"/>
              </w:rPr>
              <w:t>Events/N analyzed</w:t>
            </w:r>
          </w:p>
        </w:tc>
        <w:tc>
          <w:tcPr>
            <w:tcW w:w="1276" w:type="dxa"/>
            <w:noWrap/>
            <w:vAlign w:val="center"/>
            <w:hideMark/>
          </w:tcPr>
          <w:p w14:paraId="0FA3C0E2" w14:textId="77777777" w:rsidR="00FC7868" w:rsidRPr="004B723C" w:rsidRDefault="00FC7868" w:rsidP="00812B6B">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8"/>
                <w:szCs w:val="18"/>
                <w:lang w:eastAsia="en-GB"/>
              </w:rPr>
            </w:pPr>
            <w:r w:rsidRPr="004B723C">
              <w:rPr>
                <w:rFonts w:eastAsia="Times New Roman" w:cs="Times New Roman"/>
                <w:b/>
                <w:bCs/>
                <w:color w:val="000000"/>
                <w:sz w:val="18"/>
                <w:szCs w:val="18"/>
                <w:lang w:eastAsia="en-GB"/>
              </w:rPr>
              <w:t>Events (group)/</w:t>
            </w:r>
            <w:r w:rsidRPr="004B723C">
              <w:rPr>
                <w:rFonts w:eastAsia="Times New Roman" w:cs="Times New Roman"/>
                <w:b/>
                <w:bCs/>
                <w:color w:val="000000"/>
                <w:sz w:val="18"/>
                <w:szCs w:val="18"/>
                <w:lang w:eastAsia="en-GB"/>
              </w:rPr>
              <w:br/>
              <w:t>N (group)</w:t>
            </w:r>
          </w:p>
        </w:tc>
        <w:tc>
          <w:tcPr>
            <w:tcW w:w="1559" w:type="dxa"/>
            <w:noWrap/>
            <w:vAlign w:val="center"/>
            <w:hideMark/>
          </w:tcPr>
          <w:p w14:paraId="182B5CE5" w14:textId="77777777" w:rsidR="00FC7868" w:rsidRPr="004B723C" w:rsidRDefault="00FC7868" w:rsidP="00812B6B">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8"/>
                <w:szCs w:val="18"/>
                <w:lang w:eastAsia="en-GB"/>
              </w:rPr>
            </w:pPr>
            <w:r w:rsidRPr="004B723C">
              <w:rPr>
                <w:rFonts w:eastAsia="Times New Roman" w:cs="Times New Roman"/>
                <w:b/>
                <w:bCs/>
                <w:color w:val="000000"/>
                <w:sz w:val="18"/>
                <w:szCs w:val="18"/>
                <w:lang w:eastAsia="en-GB"/>
              </w:rPr>
              <w:t>Adjusted HR</w:t>
            </w:r>
            <w:r w:rsidRPr="004B723C">
              <w:rPr>
                <w:rFonts w:eastAsia="Times New Roman" w:cs="Times New Roman"/>
                <w:b/>
                <w:bCs/>
                <w:color w:val="000000"/>
                <w:sz w:val="18"/>
                <w:szCs w:val="18"/>
                <w:lang w:eastAsia="en-GB"/>
              </w:rPr>
              <w:br/>
              <w:t>(95% CI)</w:t>
            </w:r>
          </w:p>
        </w:tc>
        <w:tc>
          <w:tcPr>
            <w:tcW w:w="1378" w:type="dxa"/>
            <w:noWrap/>
            <w:vAlign w:val="center"/>
            <w:hideMark/>
          </w:tcPr>
          <w:p w14:paraId="529778E9" w14:textId="381386B1" w:rsidR="00FC7868" w:rsidRPr="004B723C" w:rsidRDefault="00BE5148" w:rsidP="00812B6B">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sz w:val="18"/>
                <w:szCs w:val="18"/>
                <w:lang w:eastAsia="en-GB"/>
              </w:rPr>
            </w:pPr>
            <w:r>
              <w:rPr>
                <w:rFonts w:eastAsia="Times New Roman" w:cs="Times New Roman"/>
                <w:b/>
                <w:bCs/>
                <w:sz w:val="18"/>
                <w:szCs w:val="18"/>
                <w:lang w:eastAsia="en-GB"/>
              </w:rPr>
              <w:t>P</w:t>
            </w:r>
            <w:r w:rsidR="00FC7868" w:rsidRPr="004B723C">
              <w:rPr>
                <w:rFonts w:eastAsia="Times New Roman" w:cs="Times New Roman"/>
                <w:b/>
                <w:bCs/>
                <w:sz w:val="18"/>
                <w:szCs w:val="18"/>
                <w:lang w:eastAsia="en-GB"/>
              </w:rPr>
              <w:t xml:space="preserve"> value</w:t>
            </w:r>
          </w:p>
        </w:tc>
      </w:tr>
      <w:tr w:rsidR="00FC7868" w:rsidRPr="004B723C" w14:paraId="77E989EF" w14:textId="77777777" w:rsidTr="00BE5148">
        <w:trPr>
          <w:trHeight w:val="300"/>
          <w:jc w:val="center"/>
        </w:trPr>
        <w:tc>
          <w:tcPr>
            <w:cnfStyle w:val="001000000000" w:firstRow="0" w:lastRow="0" w:firstColumn="1" w:lastColumn="0" w:oddVBand="0" w:evenVBand="0" w:oddHBand="0" w:evenHBand="0" w:firstRowFirstColumn="0" w:firstRowLastColumn="0" w:lastRowFirstColumn="0" w:lastRowLastColumn="0"/>
            <w:tcW w:w="2542" w:type="dxa"/>
            <w:noWrap/>
            <w:vAlign w:val="center"/>
          </w:tcPr>
          <w:p w14:paraId="45C0C21C" w14:textId="77777777" w:rsidR="00FC7868" w:rsidRPr="004B723C" w:rsidRDefault="00FC7868" w:rsidP="00812B6B">
            <w:pPr>
              <w:spacing w:line="360" w:lineRule="auto"/>
              <w:jc w:val="center"/>
              <w:rPr>
                <w:rFonts w:eastAsia="Times New Roman" w:cs="Times New Roman"/>
                <w:color w:val="000000"/>
                <w:sz w:val="18"/>
                <w:szCs w:val="18"/>
                <w:lang w:eastAsia="en-GB"/>
              </w:rPr>
            </w:pPr>
          </w:p>
        </w:tc>
        <w:tc>
          <w:tcPr>
            <w:tcW w:w="850" w:type="dxa"/>
            <w:noWrap/>
            <w:vAlign w:val="center"/>
          </w:tcPr>
          <w:p w14:paraId="0EE37D3F"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5245" w:type="dxa"/>
            <w:gridSpan w:val="4"/>
            <w:noWrap/>
            <w:vAlign w:val="center"/>
          </w:tcPr>
          <w:p w14:paraId="4848A1E5"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b/>
                <w:bCs/>
                <w:color w:val="000000"/>
                <w:sz w:val="18"/>
                <w:szCs w:val="18"/>
                <w:lang w:eastAsia="en-GB"/>
              </w:rPr>
              <w:t>UNIVARIABLE ANALYSIS</w:t>
            </w:r>
          </w:p>
        </w:tc>
        <w:tc>
          <w:tcPr>
            <w:tcW w:w="5347" w:type="dxa"/>
            <w:gridSpan w:val="4"/>
            <w:noWrap/>
            <w:vAlign w:val="center"/>
          </w:tcPr>
          <w:p w14:paraId="25779706"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b/>
                <w:bCs/>
                <w:color w:val="000000"/>
                <w:sz w:val="18"/>
                <w:szCs w:val="18"/>
                <w:lang w:eastAsia="en-GB"/>
              </w:rPr>
              <w:t>MULTIVARIABLE ANALYSIS</w:t>
            </w:r>
          </w:p>
        </w:tc>
      </w:tr>
      <w:tr w:rsidR="00FC7868" w:rsidRPr="004B723C" w14:paraId="692019CD" w14:textId="77777777" w:rsidTr="00BE5148">
        <w:trPr>
          <w:trHeight w:val="300"/>
          <w:jc w:val="center"/>
        </w:trPr>
        <w:tc>
          <w:tcPr>
            <w:cnfStyle w:val="001000000000" w:firstRow="0" w:lastRow="0" w:firstColumn="1" w:lastColumn="0" w:oddVBand="0" w:evenVBand="0" w:oddHBand="0" w:evenHBand="0" w:firstRowFirstColumn="0" w:firstRowLastColumn="0" w:lastRowFirstColumn="0" w:lastRowLastColumn="0"/>
            <w:tcW w:w="2542" w:type="dxa"/>
            <w:noWrap/>
            <w:vAlign w:val="center"/>
            <w:hideMark/>
          </w:tcPr>
          <w:p w14:paraId="555D7DF9" w14:textId="77777777" w:rsidR="00FC7868" w:rsidRPr="004B723C" w:rsidRDefault="00FC7868" w:rsidP="00812B6B">
            <w:pPr>
              <w:spacing w:line="360" w:lineRule="auto"/>
              <w:rPr>
                <w:rFonts w:eastAsia="Times New Roman" w:cs="Times New Roman"/>
                <w:color w:val="000000"/>
                <w:sz w:val="18"/>
                <w:szCs w:val="18"/>
                <w:lang w:eastAsia="en-GB"/>
              </w:rPr>
            </w:pPr>
            <w:r w:rsidRPr="004B723C">
              <w:rPr>
                <w:rFonts w:eastAsia="Times New Roman" w:cs="Times New Roman"/>
                <w:color w:val="000000"/>
                <w:sz w:val="18"/>
                <w:szCs w:val="18"/>
                <w:lang w:eastAsia="en-GB"/>
              </w:rPr>
              <w:t>Post-transplant CMV disease</w:t>
            </w:r>
          </w:p>
        </w:tc>
        <w:tc>
          <w:tcPr>
            <w:tcW w:w="850" w:type="dxa"/>
            <w:noWrap/>
            <w:vAlign w:val="center"/>
            <w:hideMark/>
          </w:tcPr>
          <w:p w14:paraId="7EB6A5E0"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No</w:t>
            </w:r>
          </w:p>
        </w:tc>
        <w:tc>
          <w:tcPr>
            <w:tcW w:w="993" w:type="dxa"/>
            <w:noWrap/>
            <w:vAlign w:val="center"/>
            <w:hideMark/>
          </w:tcPr>
          <w:p w14:paraId="40067C35"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293/2,314</w:t>
            </w:r>
          </w:p>
        </w:tc>
        <w:tc>
          <w:tcPr>
            <w:tcW w:w="1417" w:type="dxa"/>
            <w:noWrap/>
            <w:vAlign w:val="center"/>
            <w:hideMark/>
          </w:tcPr>
          <w:p w14:paraId="53D7E494"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255/2,064</w:t>
            </w:r>
          </w:p>
        </w:tc>
        <w:tc>
          <w:tcPr>
            <w:tcW w:w="1418" w:type="dxa"/>
            <w:noWrap/>
            <w:vAlign w:val="center"/>
            <w:hideMark/>
          </w:tcPr>
          <w:p w14:paraId="1C68EE1D"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1417" w:type="dxa"/>
            <w:noWrap/>
            <w:vAlign w:val="center"/>
            <w:hideMark/>
          </w:tcPr>
          <w:p w14:paraId="00839B0B"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1134" w:type="dxa"/>
            <w:noWrap/>
            <w:vAlign w:val="center"/>
            <w:hideMark/>
          </w:tcPr>
          <w:p w14:paraId="53DF9391"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293/2,313</w:t>
            </w:r>
          </w:p>
        </w:tc>
        <w:tc>
          <w:tcPr>
            <w:tcW w:w="1276" w:type="dxa"/>
            <w:noWrap/>
            <w:vAlign w:val="center"/>
            <w:hideMark/>
          </w:tcPr>
          <w:p w14:paraId="432CFFB6"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255/2,064</w:t>
            </w:r>
          </w:p>
        </w:tc>
        <w:tc>
          <w:tcPr>
            <w:tcW w:w="1559" w:type="dxa"/>
            <w:noWrap/>
            <w:vAlign w:val="center"/>
            <w:hideMark/>
          </w:tcPr>
          <w:p w14:paraId="305ACCD9"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1378" w:type="dxa"/>
            <w:noWrap/>
            <w:vAlign w:val="center"/>
            <w:hideMark/>
          </w:tcPr>
          <w:p w14:paraId="2671719B"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r>
      <w:tr w:rsidR="00FC7868" w:rsidRPr="004B723C" w14:paraId="3BBBCEE6" w14:textId="77777777" w:rsidTr="00BE5148">
        <w:trPr>
          <w:trHeight w:val="300"/>
          <w:jc w:val="center"/>
        </w:trPr>
        <w:tc>
          <w:tcPr>
            <w:cnfStyle w:val="001000000000" w:firstRow="0" w:lastRow="0" w:firstColumn="1" w:lastColumn="0" w:oddVBand="0" w:evenVBand="0" w:oddHBand="0" w:evenHBand="0" w:firstRowFirstColumn="0" w:firstRowLastColumn="0" w:lastRowFirstColumn="0" w:lastRowLastColumn="0"/>
            <w:tcW w:w="2542" w:type="dxa"/>
            <w:noWrap/>
            <w:vAlign w:val="center"/>
          </w:tcPr>
          <w:p w14:paraId="0F8ACD27" w14:textId="77777777" w:rsidR="00FC7868" w:rsidRPr="004B723C" w:rsidRDefault="00FC7868" w:rsidP="00812B6B">
            <w:pPr>
              <w:spacing w:line="360" w:lineRule="auto"/>
              <w:rPr>
                <w:rFonts w:eastAsia="Times New Roman" w:cs="Times New Roman"/>
                <w:color w:val="000000"/>
                <w:sz w:val="18"/>
                <w:szCs w:val="18"/>
                <w:lang w:eastAsia="en-GB"/>
              </w:rPr>
            </w:pPr>
          </w:p>
        </w:tc>
        <w:tc>
          <w:tcPr>
            <w:tcW w:w="850" w:type="dxa"/>
            <w:noWrap/>
            <w:vAlign w:val="center"/>
            <w:hideMark/>
          </w:tcPr>
          <w:p w14:paraId="5AED186C"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Yes</w:t>
            </w:r>
          </w:p>
        </w:tc>
        <w:tc>
          <w:tcPr>
            <w:tcW w:w="993" w:type="dxa"/>
            <w:noWrap/>
            <w:vAlign w:val="center"/>
          </w:tcPr>
          <w:p w14:paraId="54CEDD78"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417" w:type="dxa"/>
            <w:noWrap/>
            <w:vAlign w:val="center"/>
            <w:hideMark/>
          </w:tcPr>
          <w:p w14:paraId="1F133690"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38/250</w:t>
            </w:r>
          </w:p>
        </w:tc>
        <w:tc>
          <w:tcPr>
            <w:tcW w:w="1418" w:type="dxa"/>
            <w:noWrap/>
            <w:vAlign w:val="center"/>
            <w:hideMark/>
          </w:tcPr>
          <w:p w14:paraId="3F20F05A"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1.71 (1.21–2.42)</w:t>
            </w:r>
          </w:p>
        </w:tc>
        <w:tc>
          <w:tcPr>
            <w:tcW w:w="1417" w:type="dxa"/>
            <w:noWrap/>
            <w:vAlign w:val="center"/>
            <w:hideMark/>
          </w:tcPr>
          <w:p w14:paraId="6DB195D1"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0.0026</w:t>
            </w:r>
          </w:p>
        </w:tc>
        <w:tc>
          <w:tcPr>
            <w:tcW w:w="1134" w:type="dxa"/>
            <w:noWrap/>
            <w:vAlign w:val="center"/>
          </w:tcPr>
          <w:p w14:paraId="50CD6D0F"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276" w:type="dxa"/>
            <w:noWrap/>
            <w:vAlign w:val="center"/>
            <w:hideMark/>
          </w:tcPr>
          <w:p w14:paraId="73DDB548"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38/249</w:t>
            </w:r>
          </w:p>
        </w:tc>
        <w:tc>
          <w:tcPr>
            <w:tcW w:w="1559" w:type="dxa"/>
            <w:noWrap/>
            <w:vAlign w:val="center"/>
            <w:hideMark/>
          </w:tcPr>
          <w:p w14:paraId="1B808D62"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1.55 (1.04–2.29)</w:t>
            </w:r>
          </w:p>
        </w:tc>
        <w:tc>
          <w:tcPr>
            <w:tcW w:w="1378" w:type="dxa"/>
            <w:noWrap/>
            <w:vAlign w:val="center"/>
            <w:hideMark/>
          </w:tcPr>
          <w:p w14:paraId="2DBCB6C1"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0.03</w:t>
            </w:r>
          </w:p>
        </w:tc>
      </w:tr>
      <w:tr w:rsidR="00FC7868" w:rsidRPr="004B723C" w14:paraId="1737EFFA" w14:textId="77777777" w:rsidTr="00BE5148">
        <w:trPr>
          <w:trHeight w:val="300"/>
          <w:jc w:val="center"/>
        </w:trPr>
        <w:tc>
          <w:tcPr>
            <w:cnfStyle w:val="001000000000" w:firstRow="0" w:lastRow="0" w:firstColumn="1" w:lastColumn="0" w:oddVBand="0" w:evenVBand="0" w:oddHBand="0" w:evenHBand="0" w:firstRowFirstColumn="0" w:firstRowLastColumn="0" w:lastRowFirstColumn="0" w:lastRowLastColumn="0"/>
            <w:tcW w:w="2542" w:type="dxa"/>
            <w:noWrap/>
            <w:vAlign w:val="center"/>
            <w:hideMark/>
          </w:tcPr>
          <w:p w14:paraId="2EFD1DA8" w14:textId="77777777" w:rsidR="00FC7868" w:rsidRPr="004B723C" w:rsidRDefault="00FC7868" w:rsidP="00812B6B">
            <w:pPr>
              <w:spacing w:line="360" w:lineRule="auto"/>
              <w:rPr>
                <w:rFonts w:eastAsia="Times New Roman" w:cs="Times New Roman"/>
                <w:color w:val="000000"/>
                <w:sz w:val="18"/>
                <w:szCs w:val="18"/>
                <w:lang w:eastAsia="en-GB"/>
              </w:rPr>
            </w:pPr>
            <w:r w:rsidRPr="004B723C">
              <w:rPr>
                <w:rFonts w:eastAsia="Times New Roman" w:cs="Times New Roman"/>
                <w:color w:val="000000"/>
                <w:sz w:val="18"/>
                <w:szCs w:val="18"/>
                <w:lang w:eastAsia="en-GB"/>
              </w:rPr>
              <w:t>Donor–recipient CMV serostatus</w:t>
            </w:r>
          </w:p>
        </w:tc>
        <w:tc>
          <w:tcPr>
            <w:tcW w:w="850" w:type="dxa"/>
            <w:noWrap/>
            <w:vAlign w:val="center"/>
            <w:hideMark/>
          </w:tcPr>
          <w:p w14:paraId="3F67702D"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D−/R−</w:t>
            </w:r>
          </w:p>
        </w:tc>
        <w:tc>
          <w:tcPr>
            <w:tcW w:w="993" w:type="dxa"/>
            <w:noWrap/>
            <w:vAlign w:val="center"/>
            <w:hideMark/>
          </w:tcPr>
          <w:p w14:paraId="7E474663"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293/2,314</w:t>
            </w:r>
          </w:p>
        </w:tc>
        <w:tc>
          <w:tcPr>
            <w:tcW w:w="1417" w:type="dxa"/>
            <w:noWrap/>
            <w:vAlign w:val="center"/>
            <w:hideMark/>
          </w:tcPr>
          <w:p w14:paraId="0F642E37"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55/612</w:t>
            </w:r>
          </w:p>
        </w:tc>
        <w:tc>
          <w:tcPr>
            <w:tcW w:w="1418" w:type="dxa"/>
            <w:noWrap/>
            <w:vAlign w:val="center"/>
            <w:hideMark/>
          </w:tcPr>
          <w:p w14:paraId="114DBD57"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1417" w:type="dxa"/>
            <w:noWrap/>
            <w:vAlign w:val="center"/>
            <w:hideMark/>
          </w:tcPr>
          <w:p w14:paraId="6E655F69"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1134" w:type="dxa"/>
            <w:noWrap/>
            <w:vAlign w:val="center"/>
            <w:hideMark/>
          </w:tcPr>
          <w:p w14:paraId="420A30D0"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293/2,313</w:t>
            </w:r>
          </w:p>
        </w:tc>
        <w:tc>
          <w:tcPr>
            <w:tcW w:w="1276" w:type="dxa"/>
            <w:noWrap/>
            <w:vAlign w:val="center"/>
            <w:hideMark/>
          </w:tcPr>
          <w:p w14:paraId="1BFF642C"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55/612</w:t>
            </w:r>
          </w:p>
        </w:tc>
        <w:tc>
          <w:tcPr>
            <w:tcW w:w="1559" w:type="dxa"/>
            <w:noWrap/>
            <w:vAlign w:val="center"/>
            <w:hideMark/>
          </w:tcPr>
          <w:p w14:paraId="2FB29FD6"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1378" w:type="dxa"/>
            <w:noWrap/>
            <w:vAlign w:val="center"/>
            <w:hideMark/>
          </w:tcPr>
          <w:p w14:paraId="72AAA2E4"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r>
      <w:tr w:rsidR="00FC7868" w:rsidRPr="004B723C" w14:paraId="1164D55F" w14:textId="77777777" w:rsidTr="00BE5148">
        <w:trPr>
          <w:trHeight w:val="300"/>
          <w:jc w:val="center"/>
        </w:trPr>
        <w:tc>
          <w:tcPr>
            <w:cnfStyle w:val="001000000000" w:firstRow="0" w:lastRow="0" w:firstColumn="1" w:lastColumn="0" w:oddVBand="0" w:evenVBand="0" w:oddHBand="0" w:evenHBand="0" w:firstRowFirstColumn="0" w:firstRowLastColumn="0" w:lastRowFirstColumn="0" w:lastRowLastColumn="0"/>
            <w:tcW w:w="2542" w:type="dxa"/>
            <w:noWrap/>
            <w:vAlign w:val="center"/>
          </w:tcPr>
          <w:p w14:paraId="57FE1A11" w14:textId="77777777" w:rsidR="00FC7868" w:rsidRPr="004B723C" w:rsidRDefault="00FC7868" w:rsidP="00812B6B">
            <w:pPr>
              <w:spacing w:line="360" w:lineRule="auto"/>
              <w:rPr>
                <w:rFonts w:eastAsia="Times New Roman" w:cs="Times New Roman"/>
                <w:color w:val="000000"/>
                <w:sz w:val="18"/>
                <w:szCs w:val="18"/>
                <w:lang w:eastAsia="en-GB"/>
              </w:rPr>
            </w:pPr>
          </w:p>
        </w:tc>
        <w:tc>
          <w:tcPr>
            <w:tcW w:w="850" w:type="dxa"/>
            <w:noWrap/>
            <w:vAlign w:val="center"/>
            <w:hideMark/>
          </w:tcPr>
          <w:p w14:paraId="4A3AEC9F"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D+/R+</w:t>
            </w:r>
          </w:p>
        </w:tc>
        <w:tc>
          <w:tcPr>
            <w:tcW w:w="993" w:type="dxa"/>
            <w:noWrap/>
            <w:vAlign w:val="center"/>
          </w:tcPr>
          <w:p w14:paraId="51945F8F"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417" w:type="dxa"/>
            <w:noWrap/>
            <w:vAlign w:val="center"/>
            <w:hideMark/>
          </w:tcPr>
          <w:p w14:paraId="4422DBF2"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85/632</w:t>
            </w:r>
          </w:p>
        </w:tc>
        <w:tc>
          <w:tcPr>
            <w:tcW w:w="1418" w:type="dxa"/>
            <w:noWrap/>
            <w:vAlign w:val="center"/>
            <w:hideMark/>
          </w:tcPr>
          <w:p w14:paraId="085CBB71"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1.70 (1.21–2.39)</w:t>
            </w:r>
          </w:p>
        </w:tc>
        <w:tc>
          <w:tcPr>
            <w:tcW w:w="1417" w:type="dxa"/>
            <w:noWrap/>
            <w:vAlign w:val="center"/>
            <w:hideMark/>
          </w:tcPr>
          <w:p w14:paraId="688FA06F"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0.0022</w:t>
            </w:r>
          </w:p>
        </w:tc>
        <w:tc>
          <w:tcPr>
            <w:tcW w:w="1134" w:type="dxa"/>
            <w:noWrap/>
            <w:vAlign w:val="center"/>
          </w:tcPr>
          <w:p w14:paraId="690ABFFA"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276" w:type="dxa"/>
            <w:noWrap/>
            <w:vAlign w:val="center"/>
            <w:hideMark/>
          </w:tcPr>
          <w:p w14:paraId="5C73CB1C"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85/632</w:t>
            </w:r>
          </w:p>
        </w:tc>
        <w:tc>
          <w:tcPr>
            <w:tcW w:w="1559" w:type="dxa"/>
            <w:noWrap/>
            <w:vAlign w:val="center"/>
            <w:hideMark/>
          </w:tcPr>
          <w:p w14:paraId="6143E396"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1.49 (1.05–2.11)</w:t>
            </w:r>
          </w:p>
        </w:tc>
        <w:tc>
          <w:tcPr>
            <w:tcW w:w="1378" w:type="dxa"/>
            <w:noWrap/>
            <w:vAlign w:val="center"/>
            <w:hideMark/>
          </w:tcPr>
          <w:p w14:paraId="047ED959"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0.024</w:t>
            </w:r>
          </w:p>
        </w:tc>
      </w:tr>
      <w:tr w:rsidR="00FC7868" w:rsidRPr="004B723C" w14:paraId="78AB4823" w14:textId="77777777" w:rsidTr="00BE5148">
        <w:trPr>
          <w:trHeight w:val="300"/>
          <w:jc w:val="center"/>
        </w:trPr>
        <w:tc>
          <w:tcPr>
            <w:cnfStyle w:val="001000000000" w:firstRow="0" w:lastRow="0" w:firstColumn="1" w:lastColumn="0" w:oddVBand="0" w:evenVBand="0" w:oddHBand="0" w:evenHBand="0" w:firstRowFirstColumn="0" w:firstRowLastColumn="0" w:lastRowFirstColumn="0" w:lastRowLastColumn="0"/>
            <w:tcW w:w="2542" w:type="dxa"/>
            <w:noWrap/>
            <w:vAlign w:val="center"/>
          </w:tcPr>
          <w:p w14:paraId="645A4D2A" w14:textId="77777777" w:rsidR="00FC7868" w:rsidRPr="004B723C" w:rsidRDefault="00FC7868" w:rsidP="00812B6B">
            <w:pPr>
              <w:spacing w:line="360" w:lineRule="auto"/>
              <w:rPr>
                <w:rFonts w:eastAsia="Times New Roman" w:cs="Times New Roman"/>
                <w:color w:val="000000"/>
                <w:sz w:val="18"/>
                <w:szCs w:val="18"/>
                <w:lang w:eastAsia="en-GB"/>
              </w:rPr>
            </w:pPr>
          </w:p>
        </w:tc>
        <w:tc>
          <w:tcPr>
            <w:tcW w:w="850" w:type="dxa"/>
            <w:noWrap/>
            <w:vAlign w:val="center"/>
            <w:hideMark/>
          </w:tcPr>
          <w:p w14:paraId="774F322D"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D+/R−</w:t>
            </w:r>
          </w:p>
        </w:tc>
        <w:tc>
          <w:tcPr>
            <w:tcW w:w="993" w:type="dxa"/>
            <w:noWrap/>
            <w:vAlign w:val="center"/>
          </w:tcPr>
          <w:p w14:paraId="3444D418"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417" w:type="dxa"/>
            <w:noWrap/>
            <w:vAlign w:val="center"/>
            <w:hideMark/>
          </w:tcPr>
          <w:p w14:paraId="4F897E5A"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66/460</w:t>
            </w:r>
          </w:p>
        </w:tc>
        <w:tc>
          <w:tcPr>
            <w:tcW w:w="1418" w:type="dxa"/>
            <w:noWrap/>
            <w:vAlign w:val="center"/>
            <w:hideMark/>
          </w:tcPr>
          <w:p w14:paraId="68C1102B"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1.74 (1.22–2.49)</w:t>
            </w:r>
          </w:p>
        </w:tc>
        <w:tc>
          <w:tcPr>
            <w:tcW w:w="1417" w:type="dxa"/>
            <w:noWrap/>
            <w:vAlign w:val="center"/>
            <w:hideMark/>
          </w:tcPr>
          <w:p w14:paraId="51963AC8"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0.0024</w:t>
            </w:r>
          </w:p>
        </w:tc>
        <w:tc>
          <w:tcPr>
            <w:tcW w:w="1134" w:type="dxa"/>
            <w:noWrap/>
            <w:vAlign w:val="center"/>
          </w:tcPr>
          <w:p w14:paraId="0B59D97C"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276" w:type="dxa"/>
            <w:noWrap/>
            <w:vAlign w:val="center"/>
            <w:hideMark/>
          </w:tcPr>
          <w:p w14:paraId="10F920D3"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66/459</w:t>
            </w:r>
          </w:p>
        </w:tc>
        <w:tc>
          <w:tcPr>
            <w:tcW w:w="1559" w:type="dxa"/>
            <w:noWrap/>
            <w:vAlign w:val="center"/>
            <w:hideMark/>
          </w:tcPr>
          <w:p w14:paraId="406CE9A9"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1.39 (0.94–2.05)</w:t>
            </w:r>
          </w:p>
        </w:tc>
        <w:tc>
          <w:tcPr>
            <w:tcW w:w="1378" w:type="dxa"/>
            <w:noWrap/>
            <w:vAlign w:val="center"/>
            <w:hideMark/>
          </w:tcPr>
          <w:p w14:paraId="2D4CDC47"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0.1</w:t>
            </w:r>
          </w:p>
        </w:tc>
      </w:tr>
      <w:tr w:rsidR="00FC7868" w:rsidRPr="004B723C" w14:paraId="4E03D84E" w14:textId="77777777" w:rsidTr="00BE5148">
        <w:trPr>
          <w:trHeight w:val="300"/>
          <w:jc w:val="center"/>
        </w:trPr>
        <w:tc>
          <w:tcPr>
            <w:cnfStyle w:val="001000000000" w:firstRow="0" w:lastRow="0" w:firstColumn="1" w:lastColumn="0" w:oddVBand="0" w:evenVBand="0" w:oddHBand="0" w:evenHBand="0" w:firstRowFirstColumn="0" w:firstRowLastColumn="0" w:lastRowFirstColumn="0" w:lastRowLastColumn="0"/>
            <w:tcW w:w="2542" w:type="dxa"/>
            <w:noWrap/>
            <w:vAlign w:val="center"/>
          </w:tcPr>
          <w:p w14:paraId="5DFB5755" w14:textId="77777777" w:rsidR="00FC7868" w:rsidRPr="004B723C" w:rsidRDefault="00FC7868" w:rsidP="00812B6B">
            <w:pPr>
              <w:spacing w:line="360" w:lineRule="auto"/>
              <w:rPr>
                <w:rFonts w:eastAsia="Times New Roman" w:cs="Times New Roman"/>
                <w:color w:val="000000"/>
                <w:sz w:val="18"/>
                <w:szCs w:val="18"/>
                <w:lang w:eastAsia="en-GB"/>
              </w:rPr>
            </w:pPr>
          </w:p>
        </w:tc>
        <w:tc>
          <w:tcPr>
            <w:tcW w:w="850" w:type="dxa"/>
            <w:noWrap/>
            <w:vAlign w:val="center"/>
            <w:hideMark/>
          </w:tcPr>
          <w:p w14:paraId="0E523205"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D−/R+</w:t>
            </w:r>
          </w:p>
        </w:tc>
        <w:tc>
          <w:tcPr>
            <w:tcW w:w="993" w:type="dxa"/>
            <w:noWrap/>
            <w:vAlign w:val="center"/>
          </w:tcPr>
          <w:p w14:paraId="0255B101"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417" w:type="dxa"/>
            <w:noWrap/>
            <w:vAlign w:val="center"/>
            <w:hideMark/>
          </w:tcPr>
          <w:p w14:paraId="2C7415E8"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87/610</w:t>
            </w:r>
          </w:p>
        </w:tc>
        <w:tc>
          <w:tcPr>
            <w:tcW w:w="1418" w:type="dxa"/>
            <w:noWrap/>
            <w:vAlign w:val="center"/>
            <w:hideMark/>
          </w:tcPr>
          <w:p w14:paraId="7C793501"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1.71 (1.22–2.40)</w:t>
            </w:r>
          </w:p>
        </w:tc>
        <w:tc>
          <w:tcPr>
            <w:tcW w:w="1417" w:type="dxa"/>
            <w:noWrap/>
            <w:vAlign w:val="center"/>
            <w:hideMark/>
          </w:tcPr>
          <w:p w14:paraId="50F36265"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0.0018</w:t>
            </w:r>
          </w:p>
        </w:tc>
        <w:tc>
          <w:tcPr>
            <w:tcW w:w="1134" w:type="dxa"/>
            <w:noWrap/>
            <w:vAlign w:val="center"/>
          </w:tcPr>
          <w:p w14:paraId="2412A06C"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276" w:type="dxa"/>
            <w:noWrap/>
            <w:vAlign w:val="center"/>
            <w:hideMark/>
          </w:tcPr>
          <w:p w14:paraId="79A12001"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87/610</w:t>
            </w:r>
          </w:p>
        </w:tc>
        <w:tc>
          <w:tcPr>
            <w:tcW w:w="1559" w:type="dxa"/>
            <w:noWrap/>
            <w:vAlign w:val="center"/>
            <w:hideMark/>
          </w:tcPr>
          <w:p w14:paraId="3555BF39"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1.50 (1.06–2.11)</w:t>
            </w:r>
          </w:p>
        </w:tc>
        <w:tc>
          <w:tcPr>
            <w:tcW w:w="1378" w:type="dxa"/>
            <w:noWrap/>
            <w:vAlign w:val="center"/>
            <w:hideMark/>
          </w:tcPr>
          <w:p w14:paraId="3595C719"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0.021</w:t>
            </w:r>
          </w:p>
        </w:tc>
      </w:tr>
      <w:tr w:rsidR="00FC7868" w:rsidRPr="004B723C" w14:paraId="68AEA68F" w14:textId="77777777" w:rsidTr="00BE5148">
        <w:trPr>
          <w:trHeight w:val="300"/>
          <w:jc w:val="center"/>
        </w:trPr>
        <w:tc>
          <w:tcPr>
            <w:cnfStyle w:val="001000000000" w:firstRow="0" w:lastRow="0" w:firstColumn="1" w:lastColumn="0" w:oddVBand="0" w:evenVBand="0" w:oddHBand="0" w:evenHBand="0" w:firstRowFirstColumn="0" w:firstRowLastColumn="0" w:lastRowFirstColumn="0" w:lastRowLastColumn="0"/>
            <w:tcW w:w="2542" w:type="dxa"/>
            <w:noWrap/>
            <w:vAlign w:val="center"/>
            <w:hideMark/>
          </w:tcPr>
          <w:p w14:paraId="048E1A75" w14:textId="77777777" w:rsidR="00FC7868" w:rsidRPr="004B723C" w:rsidRDefault="00FC7868" w:rsidP="00812B6B">
            <w:pPr>
              <w:spacing w:line="360" w:lineRule="auto"/>
              <w:rPr>
                <w:rFonts w:eastAsia="Times New Roman" w:cs="Times New Roman"/>
                <w:color w:val="000000"/>
                <w:sz w:val="18"/>
                <w:szCs w:val="18"/>
                <w:lang w:eastAsia="en-GB"/>
              </w:rPr>
            </w:pPr>
            <w:r w:rsidRPr="004B723C">
              <w:rPr>
                <w:rFonts w:eastAsia="Times New Roman" w:cs="Times New Roman"/>
                <w:color w:val="000000"/>
                <w:sz w:val="18"/>
                <w:szCs w:val="18"/>
                <w:lang w:eastAsia="en-GB"/>
              </w:rPr>
              <w:t>Cold ischemia time (per 5 hours)</w:t>
            </w:r>
          </w:p>
        </w:tc>
        <w:tc>
          <w:tcPr>
            <w:tcW w:w="850" w:type="dxa"/>
            <w:noWrap/>
            <w:vAlign w:val="center"/>
            <w:hideMark/>
          </w:tcPr>
          <w:p w14:paraId="5A99A01E"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w:t>
            </w:r>
          </w:p>
        </w:tc>
        <w:tc>
          <w:tcPr>
            <w:tcW w:w="993" w:type="dxa"/>
            <w:noWrap/>
            <w:vAlign w:val="center"/>
            <w:hideMark/>
          </w:tcPr>
          <w:p w14:paraId="52A07FC8"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293/2,313</w:t>
            </w:r>
          </w:p>
        </w:tc>
        <w:tc>
          <w:tcPr>
            <w:tcW w:w="1417" w:type="dxa"/>
            <w:noWrap/>
            <w:vAlign w:val="center"/>
            <w:hideMark/>
          </w:tcPr>
          <w:p w14:paraId="7252F02C"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w:t>
            </w:r>
          </w:p>
        </w:tc>
        <w:tc>
          <w:tcPr>
            <w:tcW w:w="1418" w:type="dxa"/>
            <w:noWrap/>
            <w:vAlign w:val="center"/>
            <w:hideMark/>
          </w:tcPr>
          <w:p w14:paraId="72D4C3FD"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1.15 (1.05–1.27)</w:t>
            </w:r>
          </w:p>
        </w:tc>
        <w:tc>
          <w:tcPr>
            <w:tcW w:w="1417" w:type="dxa"/>
            <w:noWrap/>
            <w:vAlign w:val="center"/>
            <w:hideMark/>
          </w:tcPr>
          <w:p w14:paraId="676FB26D"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0.0035</w:t>
            </w:r>
          </w:p>
        </w:tc>
        <w:tc>
          <w:tcPr>
            <w:tcW w:w="1134" w:type="dxa"/>
            <w:noWrap/>
            <w:vAlign w:val="center"/>
            <w:hideMark/>
          </w:tcPr>
          <w:p w14:paraId="431CE0A1"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293/2,313</w:t>
            </w:r>
          </w:p>
        </w:tc>
        <w:tc>
          <w:tcPr>
            <w:tcW w:w="1276" w:type="dxa"/>
            <w:noWrap/>
            <w:vAlign w:val="center"/>
            <w:hideMark/>
          </w:tcPr>
          <w:p w14:paraId="45E262F2"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w:t>
            </w:r>
          </w:p>
        </w:tc>
        <w:tc>
          <w:tcPr>
            <w:tcW w:w="1559" w:type="dxa"/>
            <w:noWrap/>
            <w:vAlign w:val="center"/>
            <w:hideMark/>
          </w:tcPr>
          <w:p w14:paraId="18FAAB51"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1.09 (0.96–1.24)</w:t>
            </w:r>
          </w:p>
        </w:tc>
        <w:tc>
          <w:tcPr>
            <w:tcW w:w="1378" w:type="dxa"/>
            <w:noWrap/>
            <w:vAlign w:val="center"/>
            <w:hideMark/>
          </w:tcPr>
          <w:p w14:paraId="638B0E40"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0.17</w:t>
            </w:r>
          </w:p>
        </w:tc>
      </w:tr>
      <w:tr w:rsidR="00FC7868" w:rsidRPr="004B723C" w14:paraId="1FCA0801" w14:textId="77777777" w:rsidTr="00BE5148">
        <w:trPr>
          <w:trHeight w:val="300"/>
          <w:jc w:val="center"/>
        </w:trPr>
        <w:tc>
          <w:tcPr>
            <w:cnfStyle w:val="001000000000" w:firstRow="0" w:lastRow="0" w:firstColumn="1" w:lastColumn="0" w:oddVBand="0" w:evenVBand="0" w:oddHBand="0" w:evenHBand="0" w:firstRowFirstColumn="0" w:firstRowLastColumn="0" w:lastRowFirstColumn="0" w:lastRowLastColumn="0"/>
            <w:tcW w:w="2542" w:type="dxa"/>
            <w:noWrap/>
            <w:vAlign w:val="center"/>
            <w:hideMark/>
          </w:tcPr>
          <w:p w14:paraId="0F3898B7" w14:textId="77777777" w:rsidR="00FC7868" w:rsidRPr="004B723C" w:rsidRDefault="00FC7868" w:rsidP="00812B6B">
            <w:pPr>
              <w:spacing w:line="360" w:lineRule="auto"/>
              <w:rPr>
                <w:rFonts w:eastAsia="Times New Roman" w:cs="Times New Roman"/>
                <w:color w:val="000000"/>
                <w:sz w:val="18"/>
                <w:szCs w:val="18"/>
                <w:lang w:eastAsia="en-GB"/>
              </w:rPr>
            </w:pPr>
            <w:r w:rsidRPr="004B723C">
              <w:rPr>
                <w:rFonts w:eastAsia="Times New Roman" w:cs="Times New Roman"/>
                <w:color w:val="000000"/>
                <w:sz w:val="18"/>
                <w:szCs w:val="18"/>
                <w:lang w:eastAsia="en-GB"/>
              </w:rPr>
              <w:t>Calendar year of transplantation (per year)</w:t>
            </w:r>
          </w:p>
        </w:tc>
        <w:tc>
          <w:tcPr>
            <w:tcW w:w="850" w:type="dxa"/>
            <w:noWrap/>
            <w:vAlign w:val="center"/>
            <w:hideMark/>
          </w:tcPr>
          <w:p w14:paraId="09475304"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w:t>
            </w:r>
          </w:p>
        </w:tc>
        <w:tc>
          <w:tcPr>
            <w:tcW w:w="993" w:type="dxa"/>
            <w:noWrap/>
            <w:vAlign w:val="center"/>
            <w:hideMark/>
          </w:tcPr>
          <w:p w14:paraId="10486C37"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293/2,314</w:t>
            </w:r>
          </w:p>
        </w:tc>
        <w:tc>
          <w:tcPr>
            <w:tcW w:w="1417" w:type="dxa"/>
            <w:noWrap/>
            <w:vAlign w:val="center"/>
            <w:hideMark/>
          </w:tcPr>
          <w:p w14:paraId="456C3074"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w:t>
            </w:r>
          </w:p>
        </w:tc>
        <w:tc>
          <w:tcPr>
            <w:tcW w:w="1418" w:type="dxa"/>
            <w:noWrap/>
            <w:vAlign w:val="center"/>
            <w:hideMark/>
          </w:tcPr>
          <w:p w14:paraId="628BAE00"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0.98 (0.96–1.01)</w:t>
            </w:r>
          </w:p>
        </w:tc>
        <w:tc>
          <w:tcPr>
            <w:tcW w:w="1417" w:type="dxa"/>
            <w:noWrap/>
            <w:vAlign w:val="center"/>
            <w:hideMark/>
          </w:tcPr>
          <w:p w14:paraId="239F2A5E"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0.2</w:t>
            </w:r>
          </w:p>
        </w:tc>
        <w:tc>
          <w:tcPr>
            <w:tcW w:w="1134" w:type="dxa"/>
            <w:noWrap/>
            <w:vAlign w:val="center"/>
            <w:hideMark/>
          </w:tcPr>
          <w:p w14:paraId="2C290EFF"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293/2,313</w:t>
            </w:r>
          </w:p>
        </w:tc>
        <w:tc>
          <w:tcPr>
            <w:tcW w:w="1276" w:type="dxa"/>
            <w:noWrap/>
            <w:vAlign w:val="center"/>
            <w:hideMark/>
          </w:tcPr>
          <w:p w14:paraId="3E3124FA"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w:t>
            </w:r>
          </w:p>
        </w:tc>
        <w:tc>
          <w:tcPr>
            <w:tcW w:w="1559" w:type="dxa"/>
            <w:noWrap/>
            <w:vAlign w:val="center"/>
            <w:hideMark/>
          </w:tcPr>
          <w:p w14:paraId="7E646A93"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0.99 (0.96–1.02)</w:t>
            </w:r>
          </w:p>
        </w:tc>
        <w:tc>
          <w:tcPr>
            <w:tcW w:w="1378" w:type="dxa"/>
            <w:noWrap/>
            <w:vAlign w:val="center"/>
            <w:hideMark/>
          </w:tcPr>
          <w:p w14:paraId="6D598ED9"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0.53</w:t>
            </w:r>
          </w:p>
        </w:tc>
      </w:tr>
      <w:tr w:rsidR="00FC7868" w:rsidRPr="004B723C" w14:paraId="26B0AE12" w14:textId="77777777" w:rsidTr="00BE5148">
        <w:trPr>
          <w:trHeight w:val="300"/>
          <w:jc w:val="center"/>
        </w:trPr>
        <w:tc>
          <w:tcPr>
            <w:cnfStyle w:val="001000000000" w:firstRow="0" w:lastRow="0" w:firstColumn="1" w:lastColumn="0" w:oddVBand="0" w:evenVBand="0" w:oddHBand="0" w:evenHBand="0" w:firstRowFirstColumn="0" w:firstRowLastColumn="0" w:lastRowFirstColumn="0" w:lastRowLastColumn="0"/>
            <w:tcW w:w="2542" w:type="dxa"/>
            <w:noWrap/>
            <w:vAlign w:val="center"/>
            <w:hideMark/>
          </w:tcPr>
          <w:p w14:paraId="24A1DADE" w14:textId="77777777" w:rsidR="00FC7868" w:rsidRPr="004B723C" w:rsidRDefault="00FC7868" w:rsidP="00812B6B">
            <w:pPr>
              <w:spacing w:line="360" w:lineRule="auto"/>
              <w:rPr>
                <w:rFonts w:eastAsia="Times New Roman" w:cs="Times New Roman"/>
                <w:color w:val="000000"/>
                <w:sz w:val="18"/>
                <w:szCs w:val="18"/>
                <w:lang w:eastAsia="en-GB"/>
              </w:rPr>
            </w:pPr>
            <w:r w:rsidRPr="004B723C">
              <w:rPr>
                <w:rFonts w:eastAsia="Times New Roman" w:cs="Times New Roman"/>
                <w:color w:val="000000"/>
                <w:sz w:val="18"/>
                <w:szCs w:val="18"/>
                <w:lang w:eastAsia="en-GB"/>
              </w:rPr>
              <w:t>Centre</w:t>
            </w:r>
          </w:p>
        </w:tc>
        <w:tc>
          <w:tcPr>
            <w:tcW w:w="850" w:type="dxa"/>
            <w:noWrap/>
            <w:vAlign w:val="center"/>
            <w:hideMark/>
          </w:tcPr>
          <w:p w14:paraId="70563B94"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Basel</w:t>
            </w:r>
          </w:p>
        </w:tc>
        <w:tc>
          <w:tcPr>
            <w:tcW w:w="993" w:type="dxa"/>
            <w:noWrap/>
            <w:vAlign w:val="center"/>
            <w:hideMark/>
          </w:tcPr>
          <w:p w14:paraId="3738A12A"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293/2,314</w:t>
            </w:r>
          </w:p>
        </w:tc>
        <w:tc>
          <w:tcPr>
            <w:tcW w:w="1417" w:type="dxa"/>
            <w:noWrap/>
            <w:vAlign w:val="center"/>
            <w:hideMark/>
          </w:tcPr>
          <w:p w14:paraId="128BA09A"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25/423</w:t>
            </w:r>
          </w:p>
        </w:tc>
        <w:tc>
          <w:tcPr>
            <w:tcW w:w="1418" w:type="dxa"/>
            <w:noWrap/>
            <w:vAlign w:val="center"/>
            <w:hideMark/>
          </w:tcPr>
          <w:p w14:paraId="119CED58"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1417" w:type="dxa"/>
            <w:noWrap/>
            <w:vAlign w:val="center"/>
            <w:hideMark/>
          </w:tcPr>
          <w:p w14:paraId="4C4A01B0"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1134" w:type="dxa"/>
            <w:noWrap/>
            <w:vAlign w:val="center"/>
            <w:hideMark/>
          </w:tcPr>
          <w:p w14:paraId="4E2FAA08"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293/2,313</w:t>
            </w:r>
          </w:p>
        </w:tc>
        <w:tc>
          <w:tcPr>
            <w:tcW w:w="1276" w:type="dxa"/>
            <w:noWrap/>
            <w:vAlign w:val="center"/>
            <w:hideMark/>
          </w:tcPr>
          <w:p w14:paraId="159AE0BB"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25/423</w:t>
            </w:r>
          </w:p>
        </w:tc>
        <w:tc>
          <w:tcPr>
            <w:tcW w:w="1559" w:type="dxa"/>
            <w:noWrap/>
            <w:vAlign w:val="center"/>
            <w:hideMark/>
          </w:tcPr>
          <w:p w14:paraId="71AC2805"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1378" w:type="dxa"/>
            <w:noWrap/>
            <w:vAlign w:val="center"/>
            <w:hideMark/>
          </w:tcPr>
          <w:p w14:paraId="74882998"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r>
      <w:tr w:rsidR="00FC7868" w:rsidRPr="004B723C" w14:paraId="7DE2FF63" w14:textId="77777777" w:rsidTr="00BE5148">
        <w:trPr>
          <w:trHeight w:val="300"/>
          <w:jc w:val="center"/>
        </w:trPr>
        <w:tc>
          <w:tcPr>
            <w:cnfStyle w:val="001000000000" w:firstRow="0" w:lastRow="0" w:firstColumn="1" w:lastColumn="0" w:oddVBand="0" w:evenVBand="0" w:oddHBand="0" w:evenHBand="0" w:firstRowFirstColumn="0" w:firstRowLastColumn="0" w:lastRowFirstColumn="0" w:lastRowLastColumn="0"/>
            <w:tcW w:w="2542" w:type="dxa"/>
            <w:noWrap/>
            <w:vAlign w:val="center"/>
          </w:tcPr>
          <w:p w14:paraId="6312BA22" w14:textId="77777777" w:rsidR="00FC7868" w:rsidRPr="004B723C" w:rsidRDefault="00FC7868" w:rsidP="00812B6B">
            <w:pPr>
              <w:spacing w:line="360" w:lineRule="auto"/>
              <w:rPr>
                <w:rFonts w:eastAsia="Times New Roman" w:cs="Times New Roman"/>
                <w:color w:val="000000"/>
                <w:sz w:val="18"/>
                <w:szCs w:val="18"/>
                <w:lang w:eastAsia="en-GB"/>
              </w:rPr>
            </w:pPr>
          </w:p>
        </w:tc>
        <w:tc>
          <w:tcPr>
            <w:tcW w:w="850" w:type="dxa"/>
            <w:noWrap/>
            <w:vAlign w:val="center"/>
            <w:hideMark/>
          </w:tcPr>
          <w:p w14:paraId="607BA322"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Leuven</w:t>
            </w:r>
          </w:p>
        </w:tc>
        <w:tc>
          <w:tcPr>
            <w:tcW w:w="993" w:type="dxa"/>
            <w:noWrap/>
            <w:vAlign w:val="center"/>
          </w:tcPr>
          <w:p w14:paraId="022E4811"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417" w:type="dxa"/>
            <w:noWrap/>
            <w:vAlign w:val="center"/>
            <w:hideMark/>
          </w:tcPr>
          <w:p w14:paraId="448F5931"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268/1,891</w:t>
            </w:r>
          </w:p>
        </w:tc>
        <w:tc>
          <w:tcPr>
            <w:tcW w:w="1418" w:type="dxa"/>
            <w:noWrap/>
            <w:vAlign w:val="center"/>
            <w:hideMark/>
          </w:tcPr>
          <w:p w14:paraId="4A5D7C4D"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1.29 (0.85–1.96)</w:t>
            </w:r>
          </w:p>
        </w:tc>
        <w:tc>
          <w:tcPr>
            <w:tcW w:w="1417" w:type="dxa"/>
            <w:noWrap/>
            <w:vAlign w:val="center"/>
            <w:hideMark/>
          </w:tcPr>
          <w:p w14:paraId="7F767C19"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0.24</w:t>
            </w:r>
          </w:p>
        </w:tc>
        <w:tc>
          <w:tcPr>
            <w:tcW w:w="1134" w:type="dxa"/>
            <w:noWrap/>
            <w:vAlign w:val="center"/>
          </w:tcPr>
          <w:p w14:paraId="7F83BB05"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276" w:type="dxa"/>
            <w:noWrap/>
            <w:vAlign w:val="center"/>
            <w:hideMark/>
          </w:tcPr>
          <w:p w14:paraId="7BAABD67"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268/1,890</w:t>
            </w:r>
          </w:p>
        </w:tc>
        <w:tc>
          <w:tcPr>
            <w:tcW w:w="1559" w:type="dxa"/>
            <w:noWrap/>
            <w:vAlign w:val="center"/>
            <w:hideMark/>
          </w:tcPr>
          <w:p w14:paraId="60310BBB"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1.51 (0.93–2.45)</w:t>
            </w:r>
          </w:p>
        </w:tc>
        <w:tc>
          <w:tcPr>
            <w:tcW w:w="1378" w:type="dxa"/>
            <w:noWrap/>
            <w:vAlign w:val="center"/>
            <w:hideMark/>
          </w:tcPr>
          <w:p w14:paraId="549BF3C0"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0.096</w:t>
            </w:r>
          </w:p>
        </w:tc>
      </w:tr>
      <w:tr w:rsidR="00FC7868" w:rsidRPr="004B723C" w14:paraId="4112E97D" w14:textId="77777777" w:rsidTr="00BE5148">
        <w:trPr>
          <w:trHeight w:val="300"/>
          <w:jc w:val="center"/>
        </w:trPr>
        <w:tc>
          <w:tcPr>
            <w:cnfStyle w:val="001000000000" w:firstRow="0" w:lastRow="0" w:firstColumn="1" w:lastColumn="0" w:oddVBand="0" w:evenVBand="0" w:oddHBand="0" w:evenHBand="0" w:firstRowFirstColumn="0" w:firstRowLastColumn="0" w:lastRowFirstColumn="0" w:lastRowLastColumn="0"/>
            <w:tcW w:w="2542" w:type="dxa"/>
            <w:noWrap/>
            <w:vAlign w:val="center"/>
            <w:hideMark/>
          </w:tcPr>
          <w:p w14:paraId="086C75B9" w14:textId="77777777" w:rsidR="00FC7868" w:rsidRPr="004B723C" w:rsidRDefault="00FC7868" w:rsidP="00812B6B">
            <w:pPr>
              <w:spacing w:line="360" w:lineRule="auto"/>
              <w:rPr>
                <w:rFonts w:eastAsia="Times New Roman" w:cs="Times New Roman"/>
                <w:color w:val="000000"/>
                <w:sz w:val="18"/>
                <w:szCs w:val="18"/>
                <w:lang w:eastAsia="en-GB"/>
              </w:rPr>
            </w:pPr>
            <w:r w:rsidRPr="004B723C">
              <w:rPr>
                <w:rFonts w:eastAsia="Times New Roman" w:cs="Times New Roman"/>
                <w:color w:val="000000"/>
                <w:sz w:val="18"/>
                <w:szCs w:val="18"/>
                <w:lang w:eastAsia="en-GB"/>
              </w:rPr>
              <w:t>Donor age (per 10 years)</w:t>
            </w:r>
          </w:p>
        </w:tc>
        <w:tc>
          <w:tcPr>
            <w:tcW w:w="850" w:type="dxa"/>
            <w:noWrap/>
            <w:vAlign w:val="center"/>
            <w:hideMark/>
          </w:tcPr>
          <w:p w14:paraId="43ECFE51"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w:t>
            </w:r>
          </w:p>
        </w:tc>
        <w:tc>
          <w:tcPr>
            <w:tcW w:w="993" w:type="dxa"/>
            <w:noWrap/>
            <w:vAlign w:val="center"/>
            <w:hideMark/>
          </w:tcPr>
          <w:p w14:paraId="75E54788"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293/2,314</w:t>
            </w:r>
          </w:p>
        </w:tc>
        <w:tc>
          <w:tcPr>
            <w:tcW w:w="1417" w:type="dxa"/>
            <w:noWrap/>
            <w:vAlign w:val="center"/>
            <w:hideMark/>
          </w:tcPr>
          <w:p w14:paraId="77F63200"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w:t>
            </w:r>
          </w:p>
        </w:tc>
        <w:tc>
          <w:tcPr>
            <w:tcW w:w="1418" w:type="dxa"/>
            <w:noWrap/>
            <w:vAlign w:val="center"/>
            <w:hideMark/>
          </w:tcPr>
          <w:p w14:paraId="3AE9251C"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1.21 (1.11–1.31)</w:t>
            </w:r>
          </w:p>
        </w:tc>
        <w:tc>
          <w:tcPr>
            <w:tcW w:w="1417" w:type="dxa"/>
            <w:noWrap/>
            <w:vAlign w:val="center"/>
            <w:hideMark/>
          </w:tcPr>
          <w:p w14:paraId="1D41676F"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1.74 × 10</w:t>
            </w:r>
            <w:r w:rsidRPr="004B723C">
              <w:rPr>
                <w:rFonts w:cs="Times New Roman"/>
                <w:color w:val="000000"/>
                <w:sz w:val="18"/>
                <w:szCs w:val="18"/>
                <w:vertAlign w:val="superscript"/>
              </w:rPr>
              <w:t>-5</w:t>
            </w:r>
          </w:p>
        </w:tc>
        <w:tc>
          <w:tcPr>
            <w:tcW w:w="1134" w:type="dxa"/>
            <w:noWrap/>
            <w:vAlign w:val="center"/>
            <w:hideMark/>
          </w:tcPr>
          <w:p w14:paraId="7129D301"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293/2,313</w:t>
            </w:r>
          </w:p>
        </w:tc>
        <w:tc>
          <w:tcPr>
            <w:tcW w:w="1276" w:type="dxa"/>
            <w:noWrap/>
            <w:vAlign w:val="center"/>
            <w:hideMark/>
          </w:tcPr>
          <w:p w14:paraId="6C90CAB7"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w:t>
            </w:r>
          </w:p>
        </w:tc>
        <w:tc>
          <w:tcPr>
            <w:tcW w:w="1559" w:type="dxa"/>
            <w:noWrap/>
            <w:vAlign w:val="center"/>
            <w:hideMark/>
          </w:tcPr>
          <w:p w14:paraId="09BDCA57"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1.23 (1.12–1.35)</w:t>
            </w:r>
          </w:p>
        </w:tc>
        <w:tc>
          <w:tcPr>
            <w:tcW w:w="1378" w:type="dxa"/>
            <w:noWrap/>
            <w:vAlign w:val="center"/>
            <w:hideMark/>
          </w:tcPr>
          <w:p w14:paraId="510828D2"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1.20 × 10</w:t>
            </w:r>
            <w:r w:rsidRPr="004B723C">
              <w:rPr>
                <w:rFonts w:cs="Times New Roman"/>
                <w:color w:val="000000"/>
                <w:sz w:val="18"/>
                <w:szCs w:val="18"/>
                <w:vertAlign w:val="superscript"/>
              </w:rPr>
              <w:t>-5</w:t>
            </w:r>
          </w:p>
        </w:tc>
      </w:tr>
      <w:tr w:rsidR="00FC7868" w:rsidRPr="004B723C" w14:paraId="4E221B29" w14:textId="77777777" w:rsidTr="00BE5148">
        <w:trPr>
          <w:trHeight w:val="300"/>
          <w:jc w:val="center"/>
        </w:trPr>
        <w:tc>
          <w:tcPr>
            <w:cnfStyle w:val="001000000000" w:firstRow="0" w:lastRow="0" w:firstColumn="1" w:lastColumn="0" w:oddVBand="0" w:evenVBand="0" w:oddHBand="0" w:evenHBand="0" w:firstRowFirstColumn="0" w:firstRowLastColumn="0" w:lastRowFirstColumn="0" w:lastRowLastColumn="0"/>
            <w:tcW w:w="2542" w:type="dxa"/>
            <w:noWrap/>
            <w:vAlign w:val="center"/>
            <w:hideMark/>
          </w:tcPr>
          <w:p w14:paraId="0D943B27" w14:textId="77777777" w:rsidR="00FC7868" w:rsidRPr="004B723C" w:rsidRDefault="00FC7868" w:rsidP="00812B6B">
            <w:pPr>
              <w:spacing w:line="360" w:lineRule="auto"/>
              <w:rPr>
                <w:rFonts w:eastAsia="Times New Roman" w:cs="Times New Roman"/>
                <w:color w:val="000000"/>
                <w:sz w:val="18"/>
                <w:szCs w:val="18"/>
                <w:lang w:eastAsia="en-GB"/>
              </w:rPr>
            </w:pPr>
            <w:r w:rsidRPr="004B723C">
              <w:rPr>
                <w:rFonts w:eastAsia="Times New Roman" w:cs="Times New Roman"/>
                <w:color w:val="000000"/>
                <w:sz w:val="18"/>
                <w:szCs w:val="18"/>
                <w:lang w:eastAsia="en-GB"/>
              </w:rPr>
              <w:t>Donor type</w:t>
            </w:r>
          </w:p>
        </w:tc>
        <w:tc>
          <w:tcPr>
            <w:tcW w:w="850" w:type="dxa"/>
            <w:noWrap/>
            <w:vAlign w:val="center"/>
            <w:hideMark/>
          </w:tcPr>
          <w:p w14:paraId="0AADF960"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Living</w:t>
            </w:r>
          </w:p>
        </w:tc>
        <w:tc>
          <w:tcPr>
            <w:tcW w:w="993" w:type="dxa"/>
            <w:noWrap/>
            <w:vAlign w:val="center"/>
            <w:hideMark/>
          </w:tcPr>
          <w:p w14:paraId="4F447FD0"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293/2,314</w:t>
            </w:r>
          </w:p>
        </w:tc>
        <w:tc>
          <w:tcPr>
            <w:tcW w:w="1417" w:type="dxa"/>
            <w:noWrap/>
            <w:vAlign w:val="center"/>
            <w:hideMark/>
          </w:tcPr>
          <w:p w14:paraId="11E82149"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18/300</w:t>
            </w:r>
          </w:p>
        </w:tc>
        <w:tc>
          <w:tcPr>
            <w:tcW w:w="1418" w:type="dxa"/>
            <w:noWrap/>
            <w:vAlign w:val="center"/>
            <w:hideMark/>
          </w:tcPr>
          <w:p w14:paraId="1151B561"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1417" w:type="dxa"/>
            <w:noWrap/>
            <w:vAlign w:val="center"/>
            <w:hideMark/>
          </w:tcPr>
          <w:p w14:paraId="06A80523"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1134" w:type="dxa"/>
            <w:noWrap/>
            <w:vAlign w:val="center"/>
            <w:hideMark/>
          </w:tcPr>
          <w:p w14:paraId="76D9BA59"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293/2,313</w:t>
            </w:r>
          </w:p>
        </w:tc>
        <w:tc>
          <w:tcPr>
            <w:tcW w:w="1276" w:type="dxa"/>
            <w:noWrap/>
            <w:vAlign w:val="center"/>
            <w:hideMark/>
          </w:tcPr>
          <w:p w14:paraId="19CECFBC"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18/300</w:t>
            </w:r>
          </w:p>
        </w:tc>
        <w:tc>
          <w:tcPr>
            <w:tcW w:w="1559" w:type="dxa"/>
            <w:noWrap/>
            <w:vAlign w:val="center"/>
            <w:hideMark/>
          </w:tcPr>
          <w:p w14:paraId="2E042C40"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1378" w:type="dxa"/>
            <w:noWrap/>
            <w:vAlign w:val="center"/>
            <w:hideMark/>
          </w:tcPr>
          <w:p w14:paraId="71225BA1"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r>
      <w:tr w:rsidR="00FC7868" w:rsidRPr="004B723C" w14:paraId="7DF6CDBD" w14:textId="77777777" w:rsidTr="00BE5148">
        <w:trPr>
          <w:trHeight w:val="300"/>
          <w:jc w:val="center"/>
        </w:trPr>
        <w:tc>
          <w:tcPr>
            <w:cnfStyle w:val="001000000000" w:firstRow="0" w:lastRow="0" w:firstColumn="1" w:lastColumn="0" w:oddVBand="0" w:evenVBand="0" w:oddHBand="0" w:evenHBand="0" w:firstRowFirstColumn="0" w:firstRowLastColumn="0" w:lastRowFirstColumn="0" w:lastRowLastColumn="0"/>
            <w:tcW w:w="2542" w:type="dxa"/>
            <w:noWrap/>
            <w:vAlign w:val="center"/>
          </w:tcPr>
          <w:p w14:paraId="0D78CE7C" w14:textId="77777777" w:rsidR="00FC7868" w:rsidRPr="004B723C" w:rsidRDefault="00FC7868" w:rsidP="00812B6B">
            <w:pPr>
              <w:spacing w:line="360" w:lineRule="auto"/>
              <w:rPr>
                <w:rFonts w:eastAsia="Times New Roman" w:cs="Times New Roman"/>
                <w:color w:val="000000"/>
                <w:sz w:val="18"/>
                <w:szCs w:val="18"/>
                <w:lang w:eastAsia="en-GB"/>
              </w:rPr>
            </w:pPr>
          </w:p>
        </w:tc>
        <w:tc>
          <w:tcPr>
            <w:tcW w:w="850" w:type="dxa"/>
            <w:noWrap/>
            <w:vAlign w:val="center"/>
            <w:hideMark/>
          </w:tcPr>
          <w:p w14:paraId="6E9635AC"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DBD</w:t>
            </w:r>
          </w:p>
        </w:tc>
        <w:tc>
          <w:tcPr>
            <w:tcW w:w="993" w:type="dxa"/>
            <w:noWrap/>
            <w:vAlign w:val="center"/>
          </w:tcPr>
          <w:p w14:paraId="13960465"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417" w:type="dxa"/>
            <w:noWrap/>
            <w:vAlign w:val="center"/>
            <w:hideMark/>
          </w:tcPr>
          <w:p w14:paraId="7D33425F"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232/1,581</w:t>
            </w:r>
          </w:p>
        </w:tc>
        <w:tc>
          <w:tcPr>
            <w:tcW w:w="1418" w:type="dxa"/>
            <w:noWrap/>
            <w:vAlign w:val="center"/>
            <w:hideMark/>
          </w:tcPr>
          <w:p w14:paraId="328632BE"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1.97 (1.22–3.19)</w:t>
            </w:r>
          </w:p>
        </w:tc>
        <w:tc>
          <w:tcPr>
            <w:tcW w:w="1417" w:type="dxa"/>
            <w:noWrap/>
            <w:vAlign w:val="center"/>
            <w:hideMark/>
          </w:tcPr>
          <w:p w14:paraId="61558328"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0.0055</w:t>
            </w:r>
          </w:p>
        </w:tc>
        <w:tc>
          <w:tcPr>
            <w:tcW w:w="1134" w:type="dxa"/>
            <w:noWrap/>
            <w:vAlign w:val="center"/>
          </w:tcPr>
          <w:p w14:paraId="28957118"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276" w:type="dxa"/>
            <w:noWrap/>
            <w:vAlign w:val="center"/>
            <w:hideMark/>
          </w:tcPr>
          <w:p w14:paraId="08207E36"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232/1,580</w:t>
            </w:r>
          </w:p>
        </w:tc>
        <w:tc>
          <w:tcPr>
            <w:tcW w:w="1559" w:type="dxa"/>
            <w:noWrap/>
            <w:vAlign w:val="center"/>
            <w:hideMark/>
          </w:tcPr>
          <w:p w14:paraId="6196A4F2"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1.70 (0.94–3.09)</w:t>
            </w:r>
          </w:p>
        </w:tc>
        <w:tc>
          <w:tcPr>
            <w:tcW w:w="1378" w:type="dxa"/>
            <w:noWrap/>
            <w:vAlign w:val="center"/>
            <w:hideMark/>
          </w:tcPr>
          <w:p w14:paraId="6B42D51E"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0.081</w:t>
            </w:r>
          </w:p>
        </w:tc>
      </w:tr>
      <w:tr w:rsidR="00FC7868" w:rsidRPr="004B723C" w14:paraId="08034D41" w14:textId="77777777" w:rsidTr="00BE5148">
        <w:trPr>
          <w:trHeight w:val="300"/>
          <w:jc w:val="center"/>
        </w:trPr>
        <w:tc>
          <w:tcPr>
            <w:cnfStyle w:val="001000000000" w:firstRow="0" w:lastRow="0" w:firstColumn="1" w:lastColumn="0" w:oddVBand="0" w:evenVBand="0" w:oddHBand="0" w:evenHBand="0" w:firstRowFirstColumn="0" w:firstRowLastColumn="0" w:lastRowFirstColumn="0" w:lastRowLastColumn="0"/>
            <w:tcW w:w="2542" w:type="dxa"/>
            <w:noWrap/>
            <w:vAlign w:val="center"/>
          </w:tcPr>
          <w:p w14:paraId="003FD6F5" w14:textId="77777777" w:rsidR="00FC7868" w:rsidRPr="004B723C" w:rsidRDefault="00FC7868" w:rsidP="00812B6B">
            <w:pPr>
              <w:spacing w:line="360" w:lineRule="auto"/>
              <w:rPr>
                <w:rFonts w:eastAsia="Times New Roman" w:cs="Times New Roman"/>
                <w:color w:val="000000"/>
                <w:sz w:val="18"/>
                <w:szCs w:val="18"/>
                <w:lang w:eastAsia="en-GB"/>
              </w:rPr>
            </w:pPr>
          </w:p>
        </w:tc>
        <w:tc>
          <w:tcPr>
            <w:tcW w:w="850" w:type="dxa"/>
            <w:noWrap/>
            <w:vAlign w:val="center"/>
            <w:hideMark/>
          </w:tcPr>
          <w:p w14:paraId="2C261BE5"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DCD</w:t>
            </w:r>
          </w:p>
        </w:tc>
        <w:tc>
          <w:tcPr>
            <w:tcW w:w="993" w:type="dxa"/>
            <w:noWrap/>
            <w:vAlign w:val="center"/>
          </w:tcPr>
          <w:p w14:paraId="4D08DE15"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417" w:type="dxa"/>
            <w:noWrap/>
            <w:vAlign w:val="center"/>
            <w:hideMark/>
          </w:tcPr>
          <w:p w14:paraId="683CB533"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43/433</w:t>
            </w:r>
          </w:p>
        </w:tc>
        <w:tc>
          <w:tcPr>
            <w:tcW w:w="1418" w:type="dxa"/>
            <w:noWrap/>
            <w:vAlign w:val="center"/>
            <w:hideMark/>
          </w:tcPr>
          <w:p w14:paraId="7C00631B"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1.45 (0.84–2.52)</w:t>
            </w:r>
          </w:p>
        </w:tc>
        <w:tc>
          <w:tcPr>
            <w:tcW w:w="1417" w:type="dxa"/>
            <w:noWrap/>
            <w:vAlign w:val="center"/>
            <w:hideMark/>
          </w:tcPr>
          <w:p w14:paraId="35E6ED22"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0.19</w:t>
            </w:r>
          </w:p>
        </w:tc>
        <w:tc>
          <w:tcPr>
            <w:tcW w:w="1134" w:type="dxa"/>
            <w:noWrap/>
            <w:vAlign w:val="center"/>
          </w:tcPr>
          <w:p w14:paraId="77240199"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276" w:type="dxa"/>
            <w:noWrap/>
            <w:vAlign w:val="center"/>
            <w:hideMark/>
          </w:tcPr>
          <w:p w14:paraId="3B5E3907"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43/433</w:t>
            </w:r>
          </w:p>
        </w:tc>
        <w:tc>
          <w:tcPr>
            <w:tcW w:w="1559" w:type="dxa"/>
            <w:noWrap/>
            <w:vAlign w:val="center"/>
            <w:hideMark/>
          </w:tcPr>
          <w:p w14:paraId="28BE917E"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1.38 (0.72–2.66)</w:t>
            </w:r>
          </w:p>
        </w:tc>
        <w:tc>
          <w:tcPr>
            <w:tcW w:w="1378" w:type="dxa"/>
            <w:noWrap/>
            <w:vAlign w:val="center"/>
            <w:hideMark/>
          </w:tcPr>
          <w:p w14:paraId="31E06158"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0.33</w:t>
            </w:r>
          </w:p>
        </w:tc>
      </w:tr>
      <w:tr w:rsidR="00FC7868" w:rsidRPr="004B723C" w14:paraId="690159F1" w14:textId="77777777" w:rsidTr="00BE5148">
        <w:trPr>
          <w:trHeight w:val="300"/>
          <w:jc w:val="center"/>
        </w:trPr>
        <w:tc>
          <w:tcPr>
            <w:cnfStyle w:val="001000000000" w:firstRow="0" w:lastRow="0" w:firstColumn="1" w:lastColumn="0" w:oddVBand="0" w:evenVBand="0" w:oddHBand="0" w:evenHBand="0" w:firstRowFirstColumn="0" w:firstRowLastColumn="0" w:lastRowFirstColumn="0" w:lastRowLastColumn="0"/>
            <w:tcW w:w="2542" w:type="dxa"/>
            <w:noWrap/>
            <w:vAlign w:val="center"/>
            <w:hideMark/>
          </w:tcPr>
          <w:p w14:paraId="01B779C1" w14:textId="77777777" w:rsidR="00FC7868" w:rsidRPr="004B723C" w:rsidRDefault="00FC7868" w:rsidP="00812B6B">
            <w:pPr>
              <w:spacing w:line="360" w:lineRule="auto"/>
              <w:rPr>
                <w:rFonts w:eastAsia="Times New Roman" w:cs="Times New Roman"/>
                <w:color w:val="000000"/>
                <w:sz w:val="18"/>
                <w:szCs w:val="18"/>
                <w:lang w:eastAsia="en-GB"/>
              </w:rPr>
            </w:pPr>
            <w:r w:rsidRPr="004B723C">
              <w:rPr>
                <w:rFonts w:eastAsia="Times New Roman" w:cs="Times New Roman"/>
                <w:color w:val="000000"/>
                <w:sz w:val="18"/>
                <w:szCs w:val="18"/>
                <w:lang w:eastAsia="en-GB"/>
              </w:rPr>
              <w:t>HLA mismatch (per mismatch)</w:t>
            </w:r>
          </w:p>
        </w:tc>
        <w:tc>
          <w:tcPr>
            <w:tcW w:w="850" w:type="dxa"/>
            <w:noWrap/>
            <w:vAlign w:val="center"/>
            <w:hideMark/>
          </w:tcPr>
          <w:p w14:paraId="76C68AFF"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w:t>
            </w:r>
          </w:p>
        </w:tc>
        <w:tc>
          <w:tcPr>
            <w:tcW w:w="993" w:type="dxa"/>
            <w:noWrap/>
            <w:vAlign w:val="center"/>
            <w:hideMark/>
          </w:tcPr>
          <w:p w14:paraId="39CF4716"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293/2,314</w:t>
            </w:r>
          </w:p>
        </w:tc>
        <w:tc>
          <w:tcPr>
            <w:tcW w:w="1417" w:type="dxa"/>
            <w:noWrap/>
            <w:vAlign w:val="center"/>
            <w:hideMark/>
          </w:tcPr>
          <w:p w14:paraId="5FE6D781"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w:t>
            </w:r>
          </w:p>
        </w:tc>
        <w:tc>
          <w:tcPr>
            <w:tcW w:w="1418" w:type="dxa"/>
            <w:noWrap/>
            <w:vAlign w:val="center"/>
            <w:hideMark/>
          </w:tcPr>
          <w:p w14:paraId="35E658C4"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1.12 (1.03–1.21)</w:t>
            </w:r>
          </w:p>
        </w:tc>
        <w:tc>
          <w:tcPr>
            <w:tcW w:w="1417" w:type="dxa"/>
            <w:noWrap/>
            <w:vAlign w:val="center"/>
            <w:hideMark/>
          </w:tcPr>
          <w:p w14:paraId="60E81611"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0.011</w:t>
            </w:r>
          </w:p>
        </w:tc>
        <w:tc>
          <w:tcPr>
            <w:tcW w:w="1134" w:type="dxa"/>
            <w:noWrap/>
            <w:vAlign w:val="center"/>
            <w:hideMark/>
          </w:tcPr>
          <w:p w14:paraId="42A3733A"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293/2,313</w:t>
            </w:r>
          </w:p>
        </w:tc>
        <w:tc>
          <w:tcPr>
            <w:tcW w:w="1276" w:type="dxa"/>
            <w:noWrap/>
            <w:vAlign w:val="center"/>
            <w:hideMark/>
          </w:tcPr>
          <w:p w14:paraId="138844E0"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w:t>
            </w:r>
          </w:p>
        </w:tc>
        <w:tc>
          <w:tcPr>
            <w:tcW w:w="1559" w:type="dxa"/>
            <w:noWrap/>
            <w:vAlign w:val="center"/>
            <w:hideMark/>
          </w:tcPr>
          <w:p w14:paraId="6DC6FFD1"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1.17 (1.06–1.30)</w:t>
            </w:r>
          </w:p>
        </w:tc>
        <w:tc>
          <w:tcPr>
            <w:tcW w:w="1378" w:type="dxa"/>
            <w:noWrap/>
            <w:vAlign w:val="center"/>
            <w:hideMark/>
          </w:tcPr>
          <w:p w14:paraId="0650E8D8"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0.0015</w:t>
            </w:r>
          </w:p>
        </w:tc>
      </w:tr>
      <w:tr w:rsidR="00FC7868" w:rsidRPr="004B723C" w14:paraId="3F5E6F12" w14:textId="77777777" w:rsidTr="00BE5148">
        <w:trPr>
          <w:trHeight w:val="300"/>
          <w:jc w:val="center"/>
        </w:trPr>
        <w:tc>
          <w:tcPr>
            <w:cnfStyle w:val="001000000000" w:firstRow="0" w:lastRow="0" w:firstColumn="1" w:lastColumn="0" w:oddVBand="0" w:evenVBand="0" w:oddHBand="0" w:evenHBand="0" w:firstRowFirstColumn="0" w:firstRowLastColumn="0" w:lastRowFirstColumn="0" w:lastRowLastColumn="0"/>
            <w:tcW w:w="2542" w:type="dxa"/>
            <w:noWrap/>
            <w:vAlign w:val="center"/>
            <w:hideMark/>
          </w:tcPr>
          <w:p w14:paraId="73E46A95" w14:textId="77777777" w:rsidR="00FC7868" w:rsidRPr="004B723C" w:rsidRDefault="00FC7868" w:rsidP="00812B6B">
            <w:pPr>
              <w:spacing w:line="360" w:lineRule="auto"/>
              <w:rPr>
                <w:rFonts w:eastAsia="Times New Roman" w:cs="Times New Roman"/>
                <w:color w:val="000000"/>
                <w:sz w:val="18"/>
                <w:szCs w:val="18"/>
                <w:lang w:eastAsia="en-GB"/>
              </w:rPr>
            </w:pPr>
            <w:r w:rsidRPr="004B723C">
              <w:rPr>
                <w:rFonts w:eastAsia="Times New Roman" w:cs="Times New Roman"/>
                <w:color w:val="000000"/>
                <w:sz w:val="18"/>
                <w:szCs w:val="18"/>
                <w:lang w:eastAsia="en-GB"/>
              </w:rPr>
              <w:t>HLA–DSA status</w:t>
            </w:r>
          </w:p>
        </w:tc>
        <w:tc>
          <w:tcPr>
            <w:tcW w:w="850" w:type="dxa"/>
            <w:noWrap/>
            <w:vAlign w:val="center"/>
            <w:hideMark/>
          </w:tcPr>
          <w:p w14:paraId="1CD9D5E2"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Negative</w:t>
            </w:r>
          </w:p>
        </w:tc>
        <w:tc>
          <w:tcPr>
            <w:tcW w:w="993" w:type="dxa"/>
            <w:noWrap/>
            <w:vAlign w:val="center"/>
            <w:hideMark/>
          </w:tcPr>
          <w:p w14:paraId="6BEF0D66"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293/2,314</w:t>
            </w:r>
          </w:p>
        </w:tc>
        <w:tc>
          <w:tcPr>
            <w:tcW w:w="1417" w:type="dxa"/>
            <w:noWrap/>
            <w:vAlign w:val="center"/>
            <w:hideMark/>
          </w:tcPr>
          <w:p w14:paraId="4CE1FB23"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239/2,108</w:t>
            </w:r>
          </w:p>
        </w:tc>
        <w:tc>
          <w:tcPr>
            <w:tcW w:w="1418" w:type="dxa"/>
            <w:noWrap/>
            <w:vAlign w:val="center"/>
            <w:hideMark/>
          </w:tcPr>
          <w:p w14:paraId="146C5BF0"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1417" w:type="dxa"/>
            <w:noWrap/>
            <w:vAlign w:val="center"/>
            <w:hideMark/>
          </w:tcPr>
          <w:p w14:paraId="1C0FC115"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1134" w:type="dxa"/>
            <w:noWrap/>
            <w:vAlign w:val="center"/>
            <w:hideMark/>
          </w:tcPr>
          <w:p w14:paraId="236F13A1"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293/2,313</w:t>
            </w:r>
          </w:p>
        </w:tc>
        <w:tc>
          <w:tcPr>
            <w:tcW w:w="1276" w:type="dxa"/>
            <w:noWrap/>
            <w:vAlign w:val="center"/>
            <w:hideMark/>
          </w:tcPr>
          <w:p w14:paraId="7750C886"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239/2,107</w:t>
            </w:r>
          </w:p>
        </w:tc>
        <w:tc>
          <w:tcPr>
            <w:tcW w:w="1559" w:type="dxa"/>
            <w:noWrap/>
            <w:vAlign w:val="center"/>
            <w:hideMark/>
          </w:tcPr>
          <w:p w14:paraId="7129AFFE"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1378" w:type="dxa"/>
            <w:noWrap/>
            <w:vAlign w:val="center"/>
            <w:hideMark/>
          </w:tcPr>
          <w:p w14:paraId="67519217"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r>
      <w:tr w:rsidR="00FC7868" w:rsidRPr="004B723C" w14:paraId="575B0E36" w14:textId="77777777" w:rsidTr="00BE5148">
        <w:trPr>
          <w:trHeight w:val="300"/>
          <w:jc w:val="center"/>
        </w:trPr>
        <w:tc>
          <w:tcPr>
            <w:cnfStyle w:val="001000000000" w:firstRow="0" w:lastRow="0" w:firstColumn="1" w:lastColumn="0" w:oddVBand="0" w:evenVBand="0" w:oddHBand="0" w:evenHBand="0" w:firstRowFirstColumn="0" w:firstRowLastColumn="0" w:lastRowFirstColumn="0" w:lastRowLastColumn="0"/>
            <w:tcW w:w="2542" w:type="dxa"/>
            <w:noWrap/>
            <w:vAlign w:val="center"/>
          </w:tcPr>
          <w:p w14:paraId="24D7E2E7" w14:textId="77777777" w:rsidR="00FC7868" w:rsidRPr="004B723C" w:rsidRDefault="00FC7868" w:rsidP="00812B6B">
            <w:pPr>
              <w:spacing w:line="360" w:lineRule="auto"/>
              <w:rPr>
                <w:rFonts w:eastAsia="Times New Roman" w:cs="Times New Roman"/>
                <w:color w:val="000000"/>
                <w:sz w:val="18"/>
                <w:szCs w:val="18"/>
                <w:lang w:eastAsia="en-GB"/>
              </w:rPr>
            </w:pPr>
          </w:p>
        </w:tc>
        <w:tc>
          <w:tcPr>
            <w:tcW w:w="850" w:type="dxa"/>
            <w:noWrap/>
            <w:vAlign w:val="center"/>
            <w:hideMark/>
          </w:tcPr>
          <w:p w14:paraId="092877D6"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Positive</w:t>
            </w:r>
          </w:p>
        </w:tc>
        <w:tc>
          <w:tcPr>
            <w:tcW w:w="993" w:type="dxa"/>
            <w:noWrap/>
            <w:vAlign w:val="center"/>
          </w:tcPr>
          <w:p w14:paraId="7089FDE4"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417" w:type="dxa"/>
            <w:noWrap/>
            <w:vAlign w:val="center"/>
            <w:hideMark/>
          </w:tcPr>
          <w:p w14:paraId="78DE1A06"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54/206</w:t>
            </w:r>
          </w:p>
        </w:tc>
        <w:tc>
          <w:tcPr>
            <w:tcW w:w="1418" w:type="dxa"/>
            <w:noWrap/>
            <w:vAlign w:val="center"/>
            <w:hideMark/>
          </w:tcPr>
          <w:p w14:paraId="7B993E4E"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2.58 (1.92–3.46)</w:t>
            </w:r>
          </w:p>
        </w:tc>
        <w:tc>
          <w:tcPr>
            <w:tcW w:w="1417" w:type="dxa"/>
            <w:noWrap/>
            <w:vAlign w:val="center"/>
            <w:hideMark/>
          </w:tcPr>
          <w:p w14:paraId="40F8265B"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3.51 × 10</w:t>
            </w:r>
            <w:r w:rsidRPr="004B723C">
              <w:rPr>
                <w:rFonts w:cs="Times New Roman"/>
                <w:color w:val="000000"/>
                <w:sz w:val="18"/>
                <w:szCs w:val="18"/>
                <w:vertAlign w:val="superscript"/>
              </w:rPr>
              <w:t>-10</w:t>
            </w:r>
          </w:p>
        </w:tc>
        <w:tc>
          <w:tcPr>
            <w:tcW w:w="1134" w:type="dxa"/>
            <w:noWrap/>
            <w:vAlign w:val="center"/>
          </w:tcPr>
          <w:p w14:paraId="0AE439D1"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276" w:type="dxa"/>
            <w:noWrap/>
            <w:vAlign w:val="center"/>
            <w:hideMark/>
          </w:tcPr>
          <w:p w14:paraId="708AC8B6"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54/206</w:t>
            </w:r>
          </w:p>
        </w:tc>
        <w:tc>
          <w:tcPr>
            <w:tcW w:w="1559" w:type="dxa"/>
            <w:noWrap/>
            <w:vAlign w:val="center"/>
            <w:hideMark/>
          </w:tcPr>
          <w:p w14:paraId="1742DA64"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2.05 (1.47–2.86)</w:t>
            </w:r>
          </w:p>
        </w:tc>
        <w:tc>
          <w:tcPr>
            <w:tcW w:w="1378" w:type="dxa"/>
            <w:noWrap/>
            <w:vAlign w:val="center"/>
            <w:hideMark/>
          </w:tcPr>
          <w:p w14:paraId="7AC0F3EF"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2.22 × 10</w:t>
            </w:r>
            <w:r w:rsidRPr="004B723C">
              <w:rPr>
                <w:rFonts w:cs="Times New Roman"/>
                <w:color w:val="000000"/>
                <w:sz w:val="18"/>
                <w:szCs w:val="18"/>
                <w:vertAlign w:val="superscript"/>
              </w:rPr>
              <w:t>-5</w:t>
            </w:r>
          </w:p>
        </w:tc>
      </w:tr>
      <w:tr w:rsidR="00FC7868" w:rsidRPr="004B723C" w14:paraId="2A6CE4AC" w14:textId="77777777" w:rsidTr="00BE5148">
        <w:trPr>
          <w:trHeight w:val="300"/>
          <w:jc w:val="center"/>
        </w:trPr>
        <w:tc>
          <w:tcPr>
            <w:cnfStyle w:val="001000000000" w:firstRow="0" w:lastRow="0" w:firstColumn="1" w:lastColumn="0" w:oddVBand="0" w:evenVBand="0" w:oddHBand="0" w:evenHBand="0" w:firstRowFirstColumn="0" w:firstRowLastColumn="0" w:lastRowFirstColumn="0" w:lastRowLastColumn="0"/>
            <w:tcW w:w="2542" w:type="dxa"/>
            <w:noWrap/>
            <w:vAlign w:val="center"/>
            <w:hideMark/>
          </w:tcPr>
          <w:p w14:paraId="5B3D0728" w14:textId="77777777" w:rsidR="00FC7868" w:rsidRPr="004B723C" w:rsidRDefault="00FC7868" w:rsidP="00812B6B">
            <w:pPr>
              <w:spacing w:line="360" w:lineRule="auto"/>
              <w:rPr>
                <w:rFonts w:eastAsia="Times New Roman" w:cs="Times New Roman"/>
                <w:color w:val="000000"/>
                <w:sz w:val="18"/>
                <w:szCs w:val="18"/>
                <w:lang w:eastAsia="en-GB"/>
              </w:rPr>
            </w:pPr>
            <w:r w:rsidRPr="004B723C">
              <w:rPr>
                <w:rFonts w:eastAsia="Times New Roman" w:cs="Times New Roman"/>
                <w:color w:val="000000"/>
                <w:sz w:val="18"/>
                <w:szCs w:val="18"/>
                <w:lang w:eastAsia="en-GB"/>
              </w:rPr>
              <w:lastRenderedPageBreak/>
              <w:t>Recipient age (per 10 years)</w:t>
            </w:r>
          </w:p>
        </w:tc>
        <w:tc>
          <w:tcPr>
            <w:tcW w:w="850" w:type="dxa"/>
            <w:noWrap/>
            <w:vAlign w:val="center"/>
            <w:hideMark/>
          </w:tcPr>
          <w:p w14:paraId="4F4865B1"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w:t>
            </w:r>
          </w:p>
        </w:tc>
        <w:tc>
          <w:tcPr>
            <w:tcW w:w="993" w:type="dxa"/>
            <w:noWrap/>
            <w:vAlign w:val="center"/>
            <w:hideMark/>
          </w:tcPr>
          <w:p w14:paraId="2772212D"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293/2,314</w:t>
            </w:r>
          </w:p>
        </w:tc>
        <w:tc>
          <w:tcPr>
            <w:tcW w:w="1417" w:type="dxa"/>
            <w:noWrap/>
            <w:vAlign w:val="center"/>
            <w:hideMark/>
          </w:tcPr>
          <w:p w14:paraId="606F8813"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w:t>
            </w:r>
          </w:p>
        </w:tc>
        <w:tc>
          <w:tcPr>
            <w:tcW w:w="1418" w:type="dxa"/>
            <w:noWrap/>
            <w:vAlign w:val="center"/>
            <w:hideMark/>
          </w:tcPr>
          <w:p w14:paraId="31C41ABE"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1.03 (0.94–1.13)</w:t>
            </w:r>
          </w:p>
        </w:tc>
        <w:tc>
          <w:tcPr>
            <w:tcW w:w="1417" w:type="dxa"/>
            <w:noWrap/>
            <w:vAlign w:val="center"/>
            <w:hideMark/>
          </w:tcPr>
          <w:p w14:paraId="4B42BCB2"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0.53</w:t>
            </w:r>
          </w:p>
        </w:tc>
        <w:tc>
          <w:tcPr>
            <w:tcW w:w="1134" w:type="dxa"/>
            <w:noWrap/>
            <w:vAlign w:val="center"/>
            <w:hideMark/>
          </w:tcPr>
          <w:p w14:paraId="5A4DD20D"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293/2,313</w:t>
            </w:r>
          </w:p>
        </w:tc>
        <w:tc>
          <w:tcPr>
            <w:tcW w:w="1276" w:type="dxa"/>
            <w:noWrap/>
            <w:vAlign w:val="center"/>
            <w:hideMark/>
          </w:tcPr>
          <w:p w14:paraId="7680314F"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w:t>
            </w:r>
          </w:p>
        </w:tc>
        <w:tc>
          <w:tcPr>
            <w:tcW w:w="1559" w:type="dxa"/>
            <w:noWrap/>
            <w:vAlign w:val="center"/>
            <w:hideMark/>
          </w:tcPr>
          <w:p w14:paraId="2EF095D1"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0.91 (0.82–1.00)</w:t>
            </w:r>
          </w:p>
        </w:tc>
        <w:tc>
          <w:tcPr>
            <w:tcW w:w="1378" w:type="dxa"/>
            <w:noWrap/>
            <w:vAlign w:val="center"/>
            <w:hideMark/>
          </w:tcPr>
          <w:p w14:paraId="5EB03EFA"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0.057</w:t>
            </w:r>
          </w:p>
        </w:tc>
      </w:tr>
      <w:tr w:rsidR="00FC7868" w:rsidRPr="004B723C" w14:paraId="6A0C2AAD" w14:textId="77777777" w:rsidTr="00BE5148">
        <w:trPr>
          <w:trHeight w:val="300"/>
          <w:jc w:val="center"/>
        </w:trPr>
        <w:tc>
          <w:tcPr>
            <w:cnfStyle w:val="001000000000" w:firstRow="0" w:lastRow="0" w:firstColumn="1" w:lastColumn="0" w:oddVBand="0" w:evenVBand="0" w:oddHBand="0" w:evenHBand="0" w:firstRowFirstColumn="0" w:firstRowLastColumn="0" w:lastRowFirstColumn="0" w:lastRowLastColumn="0"/>
            <w:tcW w:w="2542" w:type="dxa"/>
            <w:noWrap/>
            <w:vAlign w:val="center"/>
            <w:hideMark/>
          </w:tcPr>
          <w:p w14:paraId="2E8D6AE2" w14:textId="77777777" w:rsidR="00FC7868" w:rsidRPr="004B723C" w:rsidRDefault="00FC7868" w:rsidP="00812B6B">
            <w:pPr>
              <w:spacing w:line="360" w:lineRule="auto"/>
              <w:rPr>
                <w:rFonts w:eastAsia="Times New Roman" w:cs="Times New Roman"/>
                <w:color w:val="000000"/>
                <w:sz w:val="18"/>
                <w:szCs w:val="18"/>
                <w:lang w:eastAsia="en-GB"/>
              </w:rPr>
            </w:pPr>
            <w:r w:rsidRPr="004B723C">
              <w:rPr>
                <w:rFonts w:eastAsia="Times New Roman" w:cs="Times New Roman"/>
                <w:color w:val="000000"/>
                <w:sz w:val="18"/>
                <w:szCs w:val="18"/>
                <w:lang w:eastAsia="en-GB"/>
              </w:rPr>
              <w:t>Recipient sex</w:t>
            </w:r>
          </w:p>
        </w:tc>
        <w:tc>
          <w:tcPr>
            <w:tcW w:w="850" w:type="dxa"/>
            <w:noWrap/>
            <w:vAlign w:val="center"/>
            <w:hideMark/>
          </w:tcPr>
          <w:p w14:paraId="024A3620"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Male</w:t>
            </w:r>
          </w:p>
        </w:tc>
        <w:tc>
          <w:tcPr>
            <w:tcW w:w="993" w:type="dxa"/>
            <w:noWrap/>
            <w:vAlign w:val="center"/>
            <w:hideMark/>
          </w:tcPr>
          <w:p w14:paraId="740B0AD1"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293/2,314</w:t>
            </w:r>
          </w:p>
        </w:tc>
        <w:tc>
          <w:tcPr>
            <w:tcW w:w="1417" w:type="dxa"/>
            <w:noWrap/>
            <w:vAlign w:val="center"/>
            <w:hideMark/>
          </w:tcPr>
          <w:p w14:paraId="66AADFAC"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166/1,454</w:t>
            </w:r>
          </w:p>
        </w:tc>
        <w:tc>
          <w:tcPr>
            <w:tcW w:w="1418" w:type="dxa"/>
            <w:noWrap/>
            <w:vAlign w:val="center"/>
            <w:hideMark/>
          </w:tcPr>
          <w:p w14:paraId="4453C20B"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1417" w:type="dxa"/>
            <w:noWrap/>
            <w:vAlign w:val="center"/>
            <w:hideMark/>
          </w:tcPr>
          <w:p w14:paraId="5C4803CD"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1134" w:type="dxa"/>
            <w:noWrap/>
            <w:vAlign w:val="center"/>
            <w:hideMark/>
          </w:tcPr>
          <w:p w14:paraId="51C6A737"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293/2,313</w:t>
            </w:r>
          </w:p>
        </w:tc>
        <w:tc>
          <w:tcPr>
            <w:tcW w:w="1276" w:type="dxa"/>
            <w:noWrap/>
            <w:vAlign w:val="center"/>
            <w:hideMark/>
          </w:tcPr>
          <w:p w14:paraId="4D09B75B"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166/1,453</w:t>
            </w:r>
          </w:p>
        </w:tc>
        <w:tc>
          <w:tcPr>
            <w:tcW w:w="1559" w:type="dxa"/>
            <w:noWrap/>
            <w:vAlign w:val="center"/>
            <w:hideMark/>
          </w:tcPr>
          <w:p w14:paraId="08CBF7C0"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1378" w:type="dxa"/>
            <w:noWrap/>
            <w:vAlign w:val="center"/>
            <w:hideMark/>
          </w:tcPr>
          <w:p w14:paraId="13EC447D"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r>
      <w:tr w:rsidR="00FC7868" w:rsidRPr="004B723C" w14:paraId="0126C63C" w14:textId="77777777" w:rsidTr="00BE5148">
        <w:trPr>
          <w:trHeight w:val="300"/>
          <w:jc w:val="center"/>
        </w:trPr>
        <w:tc>
          <w:tcPr>
            <w:cnfStyle w:val="001000000000" w:firstRow="0" w:lastRow="0" w:firstColumn="1" w:lastColumn="0" w:oddVBand="0" w:evenVBand="0" w:oddHBand="0" w:evenHBand="0" w:firstRowFirstColumn="0" w:firstRowLastColumn="0" w:lastRowFirstColumn="0" w:lastRowLastColumn="0"/>
            <w:tcW w:w="2542" w:type="dxa"/>
            <w:noWrap/>
            <w:vAlign w:val="center"/>
          </w:tcPr>
          <w:p w14:paraId="6FCE22AF" w14:textId="77777777" w:rsidR="00FC7868" w:rsidRPr="004B723C" w:rsidRDefault="00FC7868" w:rsidP="00812B6B">
            <w:pPr>
              <w:spacing w:line="360" w:lineRule="auto"/>
              <w:rPr>
                <w:rFonts w:eastAsia="Times New Roman" w:cs="Times New Roman"/>
                <w:color w:val="000000"/>
                <w:sz w:val="18"/>
                <w:szCs w:val="18"/>
                <w:lang w:eastAsia="en-GB"/>
              </w:rPr>
            </w:pPr>
          </w:p>
        </w:tc>
        <w:tc>
          <w:tcPr>
            <w:tcW w:w="850" w:type="dxa"/>
            <w:noWrap/>
            <w:vAlign w:val="center"/>
            <w:hideMark/>
          </w:tcPr>
          <w:p w14:paraId="52158CBC"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Female</w:t>
            </w:r>
          </w:p>
        </w:tc>
        <w:tc>
          <w:tcPr>
            <w:tcW w:w="993" w:type="dxa"/>
            <w:noWrap/>
            <w:vAlign w:val="center"/>
          </w:tcPr>
          <w:p w14:paraId="1FC4D733"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417" w:type="dxa"/>
            <w:noWrap/>
            <w:vAlign w:val="center"/>
            <w:hideMark/>
          </w:tcPr>
          <w:p w14:paraId="5D807D44"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127/860</w:t>
            </w:r>
          </w:p>
        </w:tc>
        <w:tc>
          <w:tcPr>
            <w:tcW w:w="1418" w:type="dxa"/>
            <w:noWrap/>
            <w:vAlign w:val="center"/>
            <w:hideMark/>
          </w:tcPr>
          <w:p w14:paraId="25528D52"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1.26 (1.00–1.59)</w:t>
            </w:r>
          </w:p>
        </w:tc>
        <w:tc>
          <w:tcPr>
            <w:tcW w:w="1417" w:type="dxa"/>
            <w:noWrap/>
            <w:vAlign w:val="center"/>
            <w:hideMark/>
          </w:tcPr>
          <w:p w14:paraId="6B0440AD"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0.046</w:t>
            </w:r>
          </w:p>
        </w:tc>
        <w:tc>
          <w:tcPr>
            <w:tcW w:w="1134" w:type="dxa"/>
            <w:noWrap/>
            <w:vAlign w:val="center"/>
          </w:tcPr>
          <w:p w14:paraId="1D322E67"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276" w:type="dxa"/>
            <w:noWrap/>
            <w:vAlign w:val="center"/>
            <w:hideMark/>
          </w:tcPr>
          <w:p w14:paraId="292ADB25"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127/860</w:t>
            </w:r>
          </w:p>
        </w:tc>
        <w:tc>
          <w:tcPr>
            <w:tcW w:w="1559" w:type="dxa"/>
            <w:noWrap/>
            <w:vAlign w:val="center"/>
            <w:hideMark/>
          </w:tcPr>
          <w:p w14:paraId="6C25D6FB"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1.17 (0.92–1.48)</w:t>
            </w:r>
          </w:p>
        </w:tc>
        <w:tc>
          <w:tcPr>
            <w:tcW w:w="1378" w:type="dxa"/>
            <w:noWrap/>
            <w:vAlign w:val="center"/>
            <w:hideMark/>
          </w:tcPr>
          <w:p w14:paraId="02B55266"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0.2</w:t>
            </w:r>
          </w:p>
        </w:tc>
      </w:tr>
      <w:tr w:rsidR="00FC7868" w:rsidRPr="004B723C" w14:paraId="67C48EC1" w14:textId="77777777" w:rsidTr="00BE5148">
        <w:trPr>
          <w:trHeight w:val="300"/>
          <w:jc w:val="center"/>
        </w:trPr>
        <w:tc>
          <w:tcPr>
            <w:cnfStyle w:val="001000000000" w:firstRow="0" w:lastRow="0" w:firstColumn="1" w:lastColumn="0" w:oddVBand="0" w:evenVBand="0" w:oddHBand="0" w:evenHBand="0" w:firstRowFirstColumn="0" w:firstRowLastColumn="0" w:lastRowFirstColumn="0" w:lastRowLastColumn="0"/>
            <w:tcW w:w="2542" w:type="dxa"/>
            <w:noWrap/>
            <w:vAlign w:val="center"/>
            <w:hideMark/>
          </w:tcPr>
          <w:p w14:paraId="478FA199" w14:textId="77777777" w:rsidR="00FC7868" w:rsidRPr="004B723C" w:rsidRDefault="00FC7868" w:rsidP="00812B6B">
            <w:pPr>
              <w:spacing w:line="360" w:lineRule="auto"/>
              <w:rPr>
                <w:rFonts w:eastAsia="Times New Roman" w:cs="Times New Roman"/>
                <w:color w:val="000000"/>
                <w:sz w:val="18"/>
                <w:szCs w:val="18"/>
                <w:lang w:eastAsia="en-GB"/>
              </w:rPr>
            </w:pPr>
            <w:r w:rsidRPr="004B723C">
              <w:rPr>
                <w:rFonts w:eastAsia="Times New Roman" w:cs="Times New Roman"/>
                <w:color w:val="000000"/>
                <w:sz w:val="18"/>
                <w:szCs w:val="18"/>
                <w:lang w:eastAsia="en-GB"/>
              </w:rPr>
              <w:t>Repeat transplantation</w:t>
            </w:r>
          </w:p>
        </w:tc>
        <w:tc>
          <w:tcPr>
            <w:tcW w:w="850" w:type="dxa"/>
            <w:noWrap/>
            <w:vAlign w:val="center"/>
            <w:hideMark/>
          </w:tcPr>
          <w:p w14:paraId="6C374516"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No</w:t>
            </w:r>
          </w:p>
        </w:tc>
        <w:tc>
          <w:tcPr>
            <w:tcW w:w="993" w:type="dxa"/>
            <w:noWrap/>
            <w:vAlign w:val="center"/>
            <w:hideMark/>
          </w:tcPr>
          <w:p w14:paraId="1F625A46"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293/2,314</w:t>
            </w:r>
          </w:p>
        </w:tc>
        <w:tc>
          <w:tcPr>
            <w:tcW w:w="1417" w:type="dxa"/>
            <w:noWrap/>
            <w:vAlign w:val="center"/>
            <w:hideMark/>
          </w:tcPr>
          <w:p w14:paraId="1B2DFDE2"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227/1,977</w:t>
            </w:r>
          </w:p>
        </w:tc>
        <w:tc>
          <w:tcPr>
            <w:tcW w:w="1418" w:type="dxa"/>
            <w:noWrap/>
            <w:vAlign w:val="center"/>
            <w:hideMark/>
          </w:tcPr>
          <w:p w14:paraId="4E718165"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1417" w:type="dxa"/>
            <w:noWrap/>
            <w:vAlign w:val="center"/>
            <w:hideMark/>
          </w:tcPr>
          <w:p w14:paraId="737DE5AA"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1134" w:type="dxa"/>
            <w:noWrap/>
            <w:vAlign w:val="center"/>
            <w:hideMark/>
          </w:tcPr>
          <w:p w14:paraId="3FE0B321"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293/2,313</w:t>
            </w:r>
          </w:p>
        </w:tc>
        <w:tc>
          <w:tcPr>
            <w:tcW w:w="1276" w:type="dxa"/>
            <w:noWrap/>
            <w:vAlign w:val="center"/>
            <w:hideMark/>
          </w:tcPr>
          <w:p w14:paraId="2A44C2F2"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227/1,976</w:t>
            </w:r>
          </w:p>
        </w:tc>
        <w:tc>
          <w:tcPr>
            <w:tcW w:w="1559" w:type="dxa"/>
            <w:noWrap/>
            <w:vAlign w:val="center"/>
            <w:hideMark/>
          </w:tcPr>
          <w:p w14:paraId="2AF77C1B"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c>
          <w:tcPr>
            <w:tcW w:w="1378" w:type="dxa"/>
            <w:noWrap/>
            <w:vAlign w:val="center"/>
            <w:hideMark/>
          </w:tcPr>
          <w:p w14:paraId="7360E881"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Ref.</w:t>
            </w:r>
          </w:p>
        </w:tc>
      </w:tr>
      <w:tr w:rsidR="00FC7868" w:rsidRPr="004B723C" w14:paraId="2FF919CE" w14:textId="77777777" w:rsidTr="00BE5148">
        <w:trPr>
          <w:trHeight w:val="300"/>
          <w:jc w:val="center"/>
        </w:trPr>
        <w:tc>
          <w:tcPr>
            <w:cnfStyle w:val="001000000000" w:firstRow="0" w:lastRow="0" w:firstColumn="1" w:lastColumn="0" w:oddVBand="0" w:evenVBand="0" w:oddHBand="0" w:evenHBand="0" w:firstRowFirstColumn="0" w:firstRowLastColumn="0" w:lastRowFirstColumn="0" w:lastRowLastColumn="0"/>
            <w:tcW w:w="2542" w:type="dxa"/>
            <w:noWrap/>
            <w:vAlign w:val="center"/>
          </w:tcPr>
          <w:p w14:paraId="7AA55F8C" w14:textId="77777777" w:rsidR="00FC7868" w:rsidRPr="004B723C" w:rsidRDefault="00FC7868" w:rsidP="00812B6B">
            <w:pPr>
              <w:spacing w:line="360" w:lineRule="auto"/>
              <w:rPr>
                <w:rFonts w:eastAsia="Times New Roman" w:cs="Times New Roman"/>
                <w:color w:val="000000"/>
                <w:sz w:val="18"/>
                <w:szCs w:val="18"/>
                <w:lang w:eastAsia="en-GB"/>
              </w:rPr>
            </w:pPr>
          </w:p>
        </w:tc>
        <w:tc>
          <w:tcPr>
            <w:tcW w:w="850" w:type="dxa"/>
            <w:noWrap/>
            <w:vAlign w:val="center"/>
            <w:hideMark/>
          </w:tcPr>
          <w:p w14:paraId="354F6B1B"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eastAsia="Times New Roman" w:cs="Times New Roman"/>
                <w:color w:val="000000"/>
                <w:sz w:val="18"/>
                <w:szCs w:val="18"/>
                <w:lang w:eastAsia="en-GB"/>
              </w:rPr>
              <w:t>Yes</w:t>
            </w:r>
          </w:p>
        </w:tc>
        <w:tc>
          <w:tcPr>
            <w:tcW w:w="993" w:type="dxa"/>
            <w:noWrap/>
            <w:vAlign w:val="center"/>
          </w:tcPr>
          <w:p w14:paraId="42CCBE5B"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417" w:type="dxa"/>
            <w:noWrap/>
            <w:vAlign w:val="center"/>
            <w:hideMark/>
          </w:tcPr>
          <w:p w14:paraId="43AF70D7"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66/337</w:t>
            </w:r>
          </w:p>
        </w:tc>
        <w:tc>
          <w:tcPr>
            <w:tcW w:w="1418" w:type="dxa"/>
            <w:noWrap/>
            <w:vAlign w:val="center"/>
            <w:hideMark/>
          </w:tcPr>
          <w:p w14:paraId="3C88C265"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1.83 (1.39–2.41)</w:t>
            </w:r>
          </w:p>
        </w:tc>
        <w:tc>
          <w:tcPr>
            <w:tcW w:w="1417" w:type="dxa"/>
            <w:noWrap/>
            <w:vAlign w:val="center"/>
            <w:hideMark/>
          </w:tcPr>
          <w:p w14:paraId="659671CF"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1.44 × 10</w:t>
            </w:r>
            <w:r w:rsidRPr="004B723C">
              <w:rPr>
                <w:rFonts w:cs="Times New Roman"/>
                <w:color w:val="000000"/>
                <w:sz w:val="18"/>
                <w:szCs w:val="18"/>
                <w:vertAlign w:val="superscript"/>
              </w:rPr>
              <w:t>-5</w:t>
            </w:r>
          </w:p>
        </w:tc>
        <w:tc>
          <w:tcPr>
            <w:tcW w:w="1134" w:type="dxa"/>
            <w:noWrap/>
            <w:vAlign w:val="center"/>
          </w:tcPr>
          <w:p w14:paraId="5798F939"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276" w:type="dxa"/>
            <w:noWrap/>
            <w:vAlign w:val="center"/>
            <w:hideMark/>
          </w:tcPr>
          <w:p w14:paraId="229DF68C"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66/337</w:t>
            </w:r>
          </w:p>
        </w:tc>
        <w:tc>
          <w:tcPr>
            <w:tcW w:w="1559" w:type="dxa"/>
            <w:noWrap/>
            <w:vAlign w:val="center"/>
            <w:hideMark/>
          </w:tcPr>
          <w:p w14:paraId="21080F7C"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1.54 (1.13–2.10)</w:t>
            </w:r>
          </w:p>
        </w:tc>
        <w:tc>
          <w:tcPr>
            <w:tcW w:w="1378" w:type="dxa"/>
            <w:noWrap/>
            <w:vAlign w:val="center"/>
            <w:hideMark/>
          </w:tcPr>
          <w:p w14:paraId="4D46CB7B" w14:textId="77777777" w:rsidR="00FC7868" w:rsidRPr="004B723C" w:rsidRDefault="00FC7868" w:rsidP="00812B6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4B723C">
              <w:rPr>
                <w:rFonts w:cs="Times New Roman"/>
                <w:color w:val="000000"/>
                <w:sz w:val="18"/>
                <w:szCs w:val="18"/>
              </w:rPr>
              <w:t>0.0068</w:t>
            </w:r>
          </w:p>
        </w:tc>
      </w:tr>
    </w:tbl>
    <w:p w14:paraId="025FD1CD" w14:textId="77777777" w:rsidR="00FC7868" w:rsidRPr="004B723C" w:rsidRDefault="00FC7868" w:rsidP="00FC7868">
      <w:pPr>
        <w:spacing w:before="240" w:line="360" w:lineRule="auto"/>
      </w:pPr>
      <w:r w:rsidRPr="004B723C">
        <w:t>Values are hazard ratios (HRs) with 95% confidence intervals (CIs) from univariable and multivariable time-dependent Cox proportional-hazards models. Total events and events per subgroup are presented as n/N, where n denotes the number of events and N the number of participants with non-missing data for the respective covariate. Multivariable models were adjusted for CMV serostatus, recipient age and sex, donor age and type (living, donation after circulatory death, donation after brain death), repeat transplantation, calendar year of transplantation, HLA mismatch, HLA-DSA status at transplantation, cold ischemia time, and transplant center.</w:t>
      </w:r>
    </w:p>
    <w:p w14:paraId="31005068" w14:textId="77777777" w:rsidR="00FC7868" w:rsidRPr="004B723C" w:rsidRDefault="00FC7868" w:rsidP="00FC7868">
      <w:pPr>
        <w:spacing w:before="240" w:line="360" w:lineRule="auto"/>
      </w:pPr>
      <w:r w:rsidRPr="004B723C">
        <w:t>Abbreviations: CMV, cytomegalovirus; D, donor; DSA, donor-specific antibody; HLA, human leukocyte antigen; R, recipient; Ref., reference.</w:t>
      </w:r>
    </w:p>
    <w:p w14:paraId="037D26D4" w14:textId="77777777" w:rsidR="004D0737" w:rsidRPr="004B723C" w:rsidRDefault="004D0737">
      <w:pPr>
        <w:spacing w:before="240" w:line="360" w:lineRule="auto"/>
        <w:rPr>
          <w:rFonts w:cs="Times New Roman"/>
        </w:rPr>
      </w:pPr>
    </w:p>
    <w:p w14:paraId="16ABA702" w14:textId="77777777" w:rsidR="004D0737" w:rsidRPr="007F3A2D" w:rsidRDefault="004D0737" w:rsidP="007F3A2D">
      <w:pPr>
        <w:spacing w:before="240" w:line="360" w:lineRule="auto"/>
        <w:rPr>
          <w:rFonts w:cs="Times New Roman"/>
        </w:rPr>
      </w:pPr>
    </w:p>
    <w:sectPr w:rsidR="004D0737" w:rsidRPr="007F3A2D" w:rsidSect="0038050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D433A" w14:textId="77777777" w:rsidR="001200D8" w:rsidRPr="004B723C" w:rsidRDefault="001200D8" w:rsidP="00875298">
      <w:pPr>
        <w:spacing w:after="0" w:line="240" w:lineRule="auto"/>
      </w:pPr>
      <w:r w:rsidRPr="004B723C">
        <w:separator/>
      </w:r>
    </w:p>
  </w:endnote>
  <w:endnote w:type="continuationSeparator" w:id="0">
    <w:p w14:paraId="233212B9" w14:textId="77777777" w:rsidR="001200D8" w:rsidRPr="004B723C" w:rsidRDefault="001200D8" w:rsidP="00875298">
      <w:pPr>
        <w:spacing w:after="0" w:line="240" w:lineRule="auto"/>
      </w:pPr>
      <w:r w:rsidRPr="004B72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3545551"/>
      <w:docPartObj>
        <w:docPartGallery w:val="Page Numbers (Bottom of Page)"/>
        <w:docPartUnique/>
      </w:docPartObj>
    </w:sdtPr>
    <w:sdtEndPr/>
    <w:sdtContent>
      <w:p w14:paraId="4A4438EA" w14:textId="12E57982" w:rsidR="00971C6B" w:rsidRPr="004B723C" w:rsidRDefault="00971C6B">
        <w:pPr>
          <w:pStyle w:val="Footer"/>
          <w:jc w:val="right"/>
        </w:pPr>
        <w:r w:rsidRPr="004B723C">
          <w:fldChar w:fldCharType="begin"/>
        </w:r>
        <w:r w:rsidRPr="004B723C">
          <w:instrText>PAGE   \* MERGEFORMAT</w:instrText>
        </w:r>
        <w:r w:rsidRPr="004B723C">
          <w:fldChar w:fldCharType="separate"/>
        </w:r>
        <w:r w:rsidRPr="004B723C">
          <w:t>2</w:t>
        </w:r>
        <w:r w:rsidRPr="004B723C">
          <w:fldChar w:fldCharType="end"/>
        </w:r>
      </w:p>
    </w:sdtContent>
  </w:sdt>
  <w:p w14:paraId="2AB4172B" w14:textId="77777777" w:rsidR="00971C6B" w:rsidRPr="004B723C" w:rsidRDefault="00971C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DDBB4" w14:textId="77777777" w:rsidR="001200D8" w:rsidRPr="004B723C" w:rsidRDefault="001200D8" w:rsidP="00875298">
      <w:pPr>
        <w:spacing w:after="0" w:line="240" w:lineRule="auto"/>
      </w:pPr>
      <w:r w:rsidRPr="004B723C">
        <w:separator/>
      </w:r>
    </w:p>
  </w:footnote>
  <w:footnote w:type="continuationSeparator" w:id="0">
    <w:p w14:paraId="1068FDAF" w14:textId="77777777" w:rsidR="001200D8" w:rsidRPr="004B723C" w:rsidRDefault="001200D8" w:rsidP="00875298">
      <w:pPr>
        <w:spacing w:after="0" w:line="240" w:lineRule="auto"/>
      </w:pPr>
      <w:r w:rsidRPr="004B723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CDC6FC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4963E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1E0C29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7EA913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87A79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1855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8E4D3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4862A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B3A833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12052F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095FAD"/>
    <w:multiLevelType w:val="hybridMultilevel"/>
    <w:tmpl w:val="31585E08"/>
    <w:lvl w:ilvl="0" w:tplc="E2D45C02">
      <w:start w:val="3"/>
      <w:numFmt w:val="bullet"/>
      <w:lvlText w:val="-"/>
      <w:lvlJc w:val="left"/>
      <w:pPr>
        <w:ind w:left="720" w:hanging="360"/>
      </w:pPr>
      <w:rPr>
        <w:rFonts w:ascii="Calibri" w:eastAsia="Aptos"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11291030">
    <w:abstractNumId w:val="10"/>
  </w:num>
  <w:num w:numId="2" w16cid:durableId="297075077">
    <w:abstractNumId w:val="9"/>
  </w:num>
  <w:num w:numId="3" w16cid:durableId="1748187371">
    <w:abstractNumId w:val="7"/>
  </w:num>
  <w:num w:numId="4" w16cid:durableId="186021449">
    <w:abstractNumId w:val="6"/>
  </w:num>
  <w:num w:numId="5" w16cid:durableId="1768966996">
    <w:abstractNumId w:val="5"/>
  </w:num>
  <w:num w:numId="6" w16cid:durableId="1149056831">
    <w:abstractNumId w:val="4"/>
  </w:num>
  <w:num w:numId="7" w16cid:durableId="1093207043">
    <w:abstractNumId w:val="8"/>
  </w:num>
  <w:num w:numId="8" w16cid:durableId="473255353">
    <w:abstractNumId w:val="3"/>
  </w:num>
  <w:num w:numId="9" w16cid:durableId="828322949">
    <w:abstractNumId w:val="2"/>
  </w:num>
  <w:num w:numId="10" w16cid:durableId="235288608">
    <w:abstractNumId w:val="1"/>
  </w:num>
  <w:num w:numId="11" w16cid:durableId="1204832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83A"/>
    <w:rsid w:val="00000108"/>
    <w:rsid w:val="000003E0"/>
    <w:rsid w:val="000003E2"/>
    <w:rsid w:val="00000F7E"/>
    <w:rsid w:val="0000101D"/>
    <w:rsid w:val="000020C6"/>
    <w:rsid w:val="00004996"/>
    <w:rsid w:val="0000550B"/>
    <w:rsid w:val="0001087D"/>
    <w:rsid w:val="00011442"/>
    <w:rsid w:val="00011774"/>
    <w:rsid w:val="00011E07"/>
    <w:rsid w:val="00012643"/>
    <w:rsid w:val="000131AB"/>
    <w:rsid w:val="00013EB2"/>
    <w:rsid w:val="0001632A"/>
    <w:rsid w:val="00017D25"/>
    <w:rsid w:val="00020C3B"/>
    <w:rsid w:val="00022740"/>
    <w:rsid w:val="00023349"/>
    <w:rsid w:val="00023BAD"/>
    <w:rsid w:val="00024C46"/>
    <w:rsid w:val="000258D1"/>
    <w:rsid w:val="000263E7"/>
    <w:rsid w:val="0002698A"/>
    <w:rsid w:val="00027BEE"/>
    <w:rsid w:val="0003042E"/>
    <w:rsid w:val="00030C31"/>
    <w:rsid w:val="000331C6"/>
    <w:rsid w:val="000332E0"/>
    <w:rsid w:val="00033F84"/>
    <w:rsid w:val="000352AC"/>
    <w:rsid w:val="00035C05"/>
    <w:rsid w:val="00036423"/>
    <w:rsid w:val="000370E6"/>
    <w:rsid w:val="00037CD0"/>
    <w:rsid w:val="00042048"/>
    <w:rsid w:val="00044788"/>
    <w:rsid w:val="0004484F"/>
    <w:rsid w:val="00046427"/>
    <w:rsid w:val="00047A36"/>
    <w:rsid w:val="000502D0"/>
    <w:rsid w:val="00051B64"/>
    <w:rsid w:val="0005298F"/>
    <w:rsid w:val="00053E4A"/>
    <w:rsid w:val="0006015C"/>
    <w:rsid w:val="00062DED"/>
    <w:rsid w:val="00062EA0"/>
    <w:rsid w:val="00064172"/>
    <w:rsid w:val="00070113"/>
    <w:rsid w:val="0007098B"/>
    <w:rsid w:val="000721B3"/>
    <w:rsid w:val="000726AC"/>
    <w:rsid w:val="000804FD"/>
    <w:rsid w:val="0008212C"/>
    <w:rsid w:val="00083A9F"/>
    <w:rsid w:val="000842A0"/>
    <w:rsid w:val="000855CD"/>
    <w:rsid w:val="00091413"/>
    <w:rsid w:val="00091708"/>
    <w:rsid w:val="00091F99"/>
    <w:rsid w:val="000A03E9"/>
    <w:rsid w:val="000A0F7E"/>
    <w:rsid w:val="000A427E"/>
    <w:rsid w:val="000A4648"/>
    <w:rsid w:val="000A51B2"/>
    <w:rsid w:val="000A577E"/>
    <w:rsid w:val="000A78F2"/>
    <w:rsid w:val="000A7A6B"/>
    <w:rsid w:val="000B009C"/>
    <w:rsid w:val="000B24E7"/>
    <w:rsid w:val="000B502A"/>
    <w:rsid w:val="000C0BE7"/>
    <w:rsid w:val="000C2573"/>
    <w:rsid w:val="000C4379"/>
    <w:rsid w:val="000C4DE8"/>
    <w:rsid w:val="000C5A16"/>
    <w:rsid w:val="000C6EBC"/>
    <w:rsid w:val="000C7193"/>
    <w:rsid w:val="000D6E37"/>
    <w:rsid w:val="000E003C"/>
    <w:rsid w:val="000E0B28"/>
    <w:rsid w:val="000E26CC"/>
    <w:rsid w:val="000E341E"/>
    <w:rsid w:val="000E3464"/>
    <w:rsid w:val="000E6423"/>
    <w:rsid w:val="000E6DE1"/>
    <w:rsid w:val="000F165B"/>
    <w:rsid w:val="000F16FB"/>
    <w:rsid w:val="000F183D"/>
    <w:rsid w:val="000F2A54"/>
    <w:rsid w:val="000F3442"/>
    <w:rsid w:val="000F3992"/>
    <w:rsid w:val="000F4D8B"/>
    <w:rsid w:val="000F76E4"/>
    <w:rsid w:val="0010032A"/>
    <w:rsid w:val="0010181D"/>
    <w:rsid w:val="00101C18"/>
    <w:rsid w:val="00102689"/>
    <w:rsid w:val="00106094"/>
    <w:rsid w:val="00106CD3"/>
    <w:rsid w:val="001079C3"/>
    <w:rsid w:val="00107F55"/>
    <w:rsid w:val="00110E56"/>
    <w:rsid w:val="00113CCF"/>
    <w:rsid w:val="00113EF5"/>
    <w:rsid w:val="00113FB3"/>
    <w:rsid w:val="001140B0"/>
    <w:rsid w:val="00115128"/>
    <w:rsid w:val="0011684A"/>
    <w:rsid w:val="001200D8"/>
    <w:rsid w:val="001203E7"/>
    <w:rsid w:val="00121429"/>
    <w:rsid w:val="0012298E"/>
    <w:rsid w:val="00122D56"/>
    <w:rsid w:val="00124097"/>
    <w:rsid w:val="00127163"/>
    <w:rsid w:val="00130695"/>
    <w:rsid w:val="00130EA8"/>
    <w:rsid w:val="0013150E"/>
    <w:rsid w:val="00132C0D"/>
    <w:rsid w:val="00133CA4"/>
    <w:rsid w:val="0013578E"/>
    <w:rsid w:val="001366C5"/>
    <w:rsid w:val="00136CF8"/>
    <w:rsid w:val="0013752F"/>
    <w:rsid w:val="0014052D"/>
    <w:rsid w:val="0014160B"/>
    <w:rsid w:val="001443E3"/>
    <w:rsid w:val="00150450"/>
    <w:rsid w:val="0015107B"/>
    <w:rsid w:val="0015165A"/>
    <w:rsid w:val="00154449"/>
    <w:rsid w:val="001554C8"/>
    <w:rsid w:val="0016084A"/>
    <w:rsid w:val="00160D40"/>
    <w:rsid w:val="00162C1D"/>
    <w:rsid w:val="00164E64"/>
    <w:rsid w:val="00165DB3"/>
    <w:rsid w:val="001670D7"/>
    <w:rsid w:val="001679F8"/>
    <w:rsid w:val="0017158E"/>
    <w:rsid w:val="00172970"/>
    <w:rsid w:val="0017481A"/>
    <w:rsid w:val="00174E5A"/>
    <w:rsid w:val="00175D95"/>
    <w:rsid w:val="001761AF"/>
    <w:rsid w:val="0017697E"/>
    <w:rsid w:val="0017776A"/>
    <w:rsid w:val="00177EE5"/>
    <w:rsid w:val="001801F2"/>
    <w:rsid w:val="00180BBE"/>
    <w:rsid w:val="001811E1"/>
    <w:rsid w:val="00181210"/>
    <w:rsid w:val="001827E3"/>
    <w:rsid w:val="00182C9F"/>
    <w:rsid w:val="001830DD"/>
    <w:rsid w:val="00184F7C"/>
    <w:rsid w:val="00185492"/>
    <w:rsid w:val="00190351"/>
    <w:rsid w:val="0019078E"/>
    <w:rsid w:val="00191FD3"/>
    <w:rsid w:val="001930BA"/>
    <w:rsid w:val="00194C7B"/>
    <w:rsid w:val="00194D8B"/>
    <w:rsid w:val="0019622B"/>
    <w:rsid w:val="00196A32"/>
    <w:rsid w:val="001A38A9"/>
    <w:rsid w:val="001A3DD8"/>
    <w:rsid w:val="001A4F71"/>
    <w:rsid w:val="001B0382"/>
    <w:rsid w:val="001B047A"/>
    <w:rsid w:val="001B0860"/>
    <w:rsid w:val="001B156B"/>
    <w:rsid w:val="001B321C"/>
    <w:rsid w:val="001B3D40"/>
    <w:rsid w:val="001B669D"/>
    <w:rsid w:val="001B6ADB"/>
    <w:rsid w:val="001B6D99"/>
    <w:rsid w:val="001B7D05"/>
    <w:rsid w:val="001C0A30"/>
    <w:rsid w:val="001C10C8"/>
    <w:rsid w:val="001C221A"/>
    <w:rsid w:val="001C2B88"/>
    <w:rsid w:val="001C2F60"/>
    <w:rsid w:val="001C3CC8"/>
    <w:rsid w:val="001C41FB"/>
    <w:rsid w:val="001C466B"/>
    <w:rsid w:val="001C4CFF"/>
    <w:rsid w:val="001C4D45"/>
    <w:rsid w:val="001C6741"/>
    <w:rsid w:val="001C6C16"/>
    <w:rsid w:val="001D1A3C"/>
    <w:rsid w:val="001D2B76"/>
    <w:rsid w:val="001D384E"/>
    <w:rsid w:val="001D412A"/>
    <w:rsid w:val="001D72AC"/>
    <w:rsid w:val="001D7DEC"/>
    <w:rsid w:val="001D7F2A"/>
    <w:rsid w:val="001E0F73"/>
    <w:rsid w:val="001E1B1C"/>
    <w:rsid w:val="001E34ED"/>
    <w:rsid w:val="001F19FE"/>
    <w:rsid w:val="001F43C6"/>
    <w:rsid w:val="001F5C0F"/>
    <w:rsid w:val="001F5CCD"/>
    <w:rsid w:val="00200316"/>
    <w:rsid w:val="00200B12"/>
    <w:rsid w:val="002012F0"/>
    <w:rsid w:val="00203D76"/>
    <w:rsid w:val="00203F6C"/>
    <w:rsid w:val="0020565E"/>
    <w:rsid w:val="002056F5"/>
    <w:rsid w:val="00205D12"/>
    <w:rsid w:val="002067D3"/>
    <w:rsid w:val="002075CE"/>
    <w:rsid w:val="0021176D"/>
    <w:rsid w:val="002124B1"/>
    <w:rsid w:val="002126C8"/>
    <w:rsid w:val="00213242"/>
    <w:rsid w:val="002154C5"/>
    <w:rsid w:val="002170B0"/>
    <w:rsid w:val="00217C1D"/>
    <w:rsid w:val="00222161"/>
    <w:rsid w:val="002224C4"/>
    <w:rsid w:val="00222A2C"/>
    <w:rsid w:val="002245F7"/>
    <w:rsid w:val="00226BED"/>
    <w:rsid w:val="00232642"/>
    <w:rsid w:val="0023333E"/>
    <w:rsid w:val="00233AE4"/>
    <w:rsid w:val="00234179"/>
    <w:rsid w:val="00236E97"/>
    <w:rsid w:val="00237637"/>
    <w:rsid w:val="002376C1"/>
    <w:rsid w:val="0023783A"/>
    <w:rsid w:val="00237BA4"/>
    <w:rsid w:val="00240CF1"/>
    <w:rsid w:val="00241C8A"/>
    <w:rsid w:val="002451C9"/>
    <w:rsid w:val="00245C75"/>
    <w:rsid w:val="00247AEF"/>
    <w:rsid w:val="00247BEF"/>
    <w:rsid w:val="00250369"/>
    <w:rsid w:val="002531E1"/>
    <w:rsid w:val="0025695A"/>
    <w:rsid w:val="00257E00"/>
    <w:rsid w:val="00261552"/>
    <w:rsid w:val="00262972"/>
    <w:rsid w:val="00263050"/>
    <w:rsid w:val="00264394"/>
    <w:rsid w:val="00264ABE"/>
    <w:rsid w:val="00264E2A"/>
    <w:rsid w:val="00264F12"/>
    <w:rsid w:val="00265962"/>
    <w:rsid w:val="00265B7B"/>
    <w:rsid w:val="002669B7"/>
    <w:rsid w:val="0026772F"/>
    <w:rsid w:val="00267FED"/>
    <w:rsid w:val="00270D4E"/>
    <w:rsid w:val="002715E0"/>
    <w:rsid w:val="00272468"/>
    <w:rsid w:val="00274125"/>
    <w:rsid w:val="002751CF"/>
    <w:rsid w:val="00275AF5"/>
    <w:rsid w:val="00276507"/>
    <w:rsid w:val="002766BF"/>
    <w:rsid w:val="0027761D"/>
    <w:rsid w:val="00282442"/>
    <w:rsid w:val="00284BD5"/>
    <w:rsid w:val="002855C7"/>
    <w:rsid w:val="00285719"/>
    <w:rsid w:val="00285E1A"/>
    <w:rsid w:val="00286BC8"/>
    <w:rsid w:val="002902BF"/>
    <w:rsid w:val="0029246D"/>
    <w:rsid w:val="00292629"/>
    <w:rsid w:val="00293D25"/>
    <w:rsid w:val="0029483A"/>
    <w:rsid w:val="0029551C"/>
    <w:rsid w:val="00295790"/>
    <w:rsid w:val="00296E0A"/>
    <w:rsid w:val="00296E3D"/>
    <w:rsid w:val="00297859"/>
    <w:rsid w:val="002A023B"/>
    <w:rsid w:val="002A2F54"/>
    <w:rsid w:val="002A3E6F"/>
    <w:rsid w:val="002A486B"/>
    <w:rsid w:val="002A4CEE"/>
    <w:rsid w:val="002A5356"/>
    <w:rsid w:val="002A6056"/>
    <w:rsid w:val="002A6B94"/>
    <w:rsid w:val="002A703E"/>
    <w:rsid w:val="002B3836"/>
    <w:rsid w:val="002B49F5"/>
    <w:rsid w:val="002B5245"/>
    <w:rsid w:val="002B6367"/>
    <w:rsid w:val="002B7547"/>
    <w:rsid w:val="002B75D4"/>
    <w:rsid w:val="002C0719"/>
    <w:rsid w:val="002C0E06"/>
    <w:rsid w:val="002C1653"/>
    <w:rsid w:val="002C38E1"/>
    <w:rsid w:val="002C42AA"/>
    <w:rsid w:val="002C4967"/>
    <w:rsid w:val="002C5C21"/>
    <w:rsid w:val="002C6A30"/>
    <w:rsid w:val="002C757E"/>
    <w:rsid w:val="002D0908"/>
    <w:rsid w:val="002D29B0"/>
    <w:rsid w:val="002D4DA0"/>
    <w:rsid w:val="002D580A"/>
    <w:rsid w:val="002E20EE"/>
    <w:rsid w:val="002E4203"/>
    <w:rsid w:val="002E434C"/>
    <w:rsid w:val="002E7071"/>
    <w:rsid w:val="002F04F7"/>
    <w:rsid w:val="002F087B"/>
    <w:rsid w:val="002F0F29"/>
    <w:rsid w:val="002F18AF"/>
    <w:rsid w:val="002F2984"/>
    <w:rsid w:val="002F2BD1"/>
    <w:rsid w:val="002F3F95"/>
    <w:rsid w:val="002F4870"/>
    <w:rsid w:val="002F7F2B"/>
    <w:rsid w:val="00300F54"/>
    <w:rsid w:val="00301347"/>
    <w:rsid w:val="0030146C"/>
    <w:rsid w:val="00301BE1"/>
    <w:rsid w:val="00302229"/>
    <w:rsid w:val="003030F1"/>
    <w:rsid w:val="0030321F"/>
    <w:rsid w:val="00303661"/>
    <w:rsid w:val="003041A3"/>
    <w:rsid w:val="003058B8"/>
    <w:rsid w:val="00306076"/>
    <w:rsid w:val="00306C3C"/>
    <w:rsid w:val="00307743"/>
    <w:rsid w:val="003100D4"/>
    <w:rsid w:val="0031090B"/>
    <w:rsid w:val="003127D6"/>
    <w:rsid w:val="00312EC1"/>
    <w:rsid w:val="00313DA2"/>
    <w:rsid w:val="00315030"/>
    <w:rsid w:val="003150EE"/>
    <w:rsid w:val="003172DE"/>
    <w:rsid w:val="0031733F"/>
    <w:rsid w:val="003232D6"/>
    <w:rsid w:val="00324CCE"/>
    <w:rsid w:val="003269E9"/>
    <w:rsid w:val="0032702A"/>
    <w:rsid w:val="00327B45"/>
    <w:rsid w:val="003300FE"/>
    <w:rsid w:val="00330492"/>
    <w:rsid w:val="00330DCE"/>
    <w:rsid w:val="003312E4"/>
    <w:rsid w:val="003320E1"/>
    <w:rsid w:val="003321E4"/>
    <w:rsid w:val="00332FF5"/>
    <w:rsid w:val="0034036C"/>
    <w:rsid w:val="00344E5C"/>
    <w:rsid w:val="003478C2"/>
    <w:rsid w:val="00350362"/>
    <w:rsid w:val="00352117"/>
    <w:rsid w:val="0035251F"/>
    <w:rsid w:val="00353214"/>
    <w:rsid w:val="00355117"/>
    <w:rsid w:val="00357A8B"/>
    <w:rsid w:val="00361663"/>
    <w:rsid w:val="00361724"/>
    <w:rsid w:val="003627A2"/>
    <w:rsid w:val="0036502E"/>
    <w:rsid w:val="00365038"/>
    <w:rsid w:val="00365255"/>
    <w:rsid w:val="003666A8"/>
    <w:rsid w:val="003675B0"/>
    <w:rsid w:val="00367CB5"/>
    <w:rsid w:val="003702BD"/>
    <w:rsid w:val="00370997"/>
    <w:rsid w:val="00370E45"/>
    <w:rsid w:val="00370EA8"/>
    <w:rsid w:val="00372283"/>
    <w:rsid w:val="0037255C"/>
    <w:rsid w:val="00372857"/>
    <w:rsid w:val="00372C1C"/>
    <w:rsid w:val="00373D2C"/>
    <w:rsid w:val="00375700"/>
    <w:rsid w:val="00375E4E"/>
    <w:rsid w:val="0037760D"/>
    <w:rsid w:val="00380509"/>
    <w:rsid w:val="00380B76"/>
    <w:rsid w:val="0038185E"/>
    <w:rsid w:val="00381AD0"/>
    <w:rsid w:val="003822A1"/>
    <w:rsid w:val="0038327E"/>
    <w:rsid w:val="00383434"/>
    <w:rsid w:val="00384983"/>
    <w:rsid w:val="00386642"/>
    <w:rsid w:val="0038759D"/>
    <w:rsid w:val="00387B2C"/>
    <w:rsid w:val="00390794"/>
    <w:rsid w:val="00390C42"/>
    <w:rsid w:val="00391549"/>
    <w:rsid w:val="00391733"/>
    <w:rsid w:val="00391C62"/>
    <w:rsid w:val="00391CAA"/>
    <w:rsid w:val="00392793"/>
    <w:rsid w:val="00393CDE"/>
    <w:rsid w:val="00394CFE"/>
    <w:rsid w:val="003965F9"/>
    <w:rsid w:val="00397496"/>
    <w:rsid w:val="003A0E0A"/>
    <w:rsid w:val="003A1762"/>
    <w:rsid w:val="003A3F28"/>
    <w:rsid w:val="003A52FD"/>
    <w:rsid w:val="003A5BAB"/>
    <w:rsid w:val="003A6C04"/>
    <w:rsid w:val="003B01EE"/>
    <w:rsid w:val="003B2682"/>
    <w:rsid w:val="003B2C4D"/>
    <w:rsid w:val="003B3118"/>
    <w:rsid w:val="003B347A"/>
    <w:rsid w:val="003B3536"/>
    <w:rsid w:val="003B35B7"/>
    <w:rsid w:val="003B6222"/>
    <w:rsid w:val="003C01B3"/>
    <w:rsid w:val="003C3409"/>
    <w:rsid w:val="003C36C7"/>
    <w:rsid w:val="003C5B37"/>
    <w:rsid w:val="003C6F09"/>
    <w:rsid w:val="003D085B"/>
    <w:rsid w:val="003D0B86"/>
    <w:rsid w:val="003D19FD"/>
    <w:rsid w:val="003D1BE6"/>
    <w:rsid w:val="003D396E"/>
    <w:rsid w:val="003D459C"/>
    <w:rsid w:val="003D4BC3"/>
    <w:rsid w:val="003D5582"/>
    <w:rsid w:val="003D6979"/>
    <w:rsid w:val="003D721B"/>
    <w:rsid w:val="003D73AB"/>
    <w:rsid w:val="003E13B7"/>
    <w:rsid w:val="003E37BB"/>
    <w:rsid w:val="003E69C3"/>
    <w:rsid w:val="003E76EC"/>
    <w:rsid w:val="003F10D3"/>
    <w:rsid w:val="003F184C"/>
    <w:rsid w:val="003F1B1D"/>
    <w:rsid w:val="003F4509"/>
    <w:rsid w:val="003F54C5"/>
    <w:rsid w:val="003F6076"/>
    <w:rsid w:val="003F61A1"/>
    <w:rsid w:val="003F77C1"/>
    <w:rsid w:val="003F7BFE"/>
    <w:rsid w:val="00403341"/>
    <w:rsid w:val="0040345A"/>
    <w:rsid w:val="00404079"/>
    <w:rsid w:val="00405BAF"/>
    <w:rsid w:val="00407252"/>
    <w:rsid w:val="00407410"/>
    <w:rsid w:val="004110F4"/>
    <w:rsid w:val="004115E4"/>
    <w:rsid w:val="00412147"/>
    <w:rsid w:val="004121FB"/>
    <w:rsid w:val="00412516"/>
    <w:rsid w:val="0041305F"/>
    <w:rsid w:val="0041529E"/>
    <w:rsid w:val="0041686D"/>
    <w:rsid w:val="0041737D"/>
    <w:rsid w:val="00417903"/>
    <w:rsid w:val="00423DAA"/>
    <w:rsid w:val="004270C0"/>
    <w:rsid w:val="00430107"/>
    <w:rsid w:val="00430138"/>
    <w:rsid w:val="00430305"/>
    <w:rsid w:val="00431D06"/>
    <w:rsid w:val="0043600C"/>
    <w:rsid w:val="00436EAA"/>
    <w:rsid w:val="00441E8E"/>
    <w:rsid w:val="00444528"/>
    <w:rsid w:val="0044626B"/>
    <w:rsid w:val="004463E7"/>
    <w:rsid w:val="00446D4F"/>
    <w:rsid w:val="00450169"/>
    <w:rsid w:val="004538D8"/>
    <w:rsid w:val="0045599F"/>
    <w:rsid w:val="0045662D"/>
    <w:rsid w:val="00460207"/>
    <w:rsid w:val="00460255"/>
    <w:rsid w:val="0046077B"/>
    <w:rsid w:val="00460940"/>
    <w:rsid w:val="00460DED"/>
    <w:rsid w:val="00461BFB"/>
    <w:rsid w:val="00463B12"/>
    <w:rsid w:val="004643AC"/>
    <w:rsid w:val="00464A06"/>
    <w:rsid w:val="00465153"/>
    <w:rsid w:val="0046648C"/>
    <w:rsid w:val="00467139"/>
    <w:rsid w:val="0047029D"/>
    <w:rsid w:val="004709E0"/>
    <w:rsid w:val="00471829"/>
    <w:rsid w:val="0047348D"/>
    <w:rsid w:val="004742F8"/>
    <w:rsid w:val="00474A30"/>
    <w:rsid w:val="00475CC9"/>
    <w:rsid w:val="00476621"/>
    <w:rsid w:val="004767D4"/>
    <w:rsid w:val="00477827"/>
    <w:rsid w:val="00477C5D"/>
    <w:rsid w:val="004802ED"/>
    <w:rsid w:val="00480E48"/>
    <w:rsid w:val="004837A1"/>
    <w:rsid w:val="00483A3F"/>
    <w:rsid w:val="00483CD1"/>
    <w:rsid w:val="004842B6"/>
    <w:rsid w:val="00485ACD"/>
    <w:rsid w:val="00485C56"/>
    <w:rsid w:val="00485CB7"/>
    <w:rsid w:val="00486FD1"/>
    <w:rsid w:val="004873E7"/>
    <w:rsid w:val="00487FBD"/>
    <w:rsid w:val="00490112"/>
    <w:rsid w:val="00490152"/>
    <w:rsid w:val="004906C9"/>
    <w:rsid w:val="00490AEA"/>
    <w:rsid w:val="00490EC3"/>
    <w:rsid w:val="00490FC6"/>
    <w:rsid w:val="004915B8"/>
    <w:rsid w:val="0049275A"/>
    <w:rsid w:val="00492FBC"/>
    <w:rsid w:val="00494B2E"/>
    <w:rsid w:val="004956B9"/>
    <w:rsid w:val="004961F7"/>
    <w:rsid w:val="00497AA6"/>
    <w:rsid w:val="00497BA9"/>
    <w:rsid w:val="00497D10"/>
    <w:rsid w:val="004A1161"/>
    <w:rsid w:val="004A4D10"/>
    <w:rsid w:val="004A4D56"/>
    <w:rsid w:val="004A5272"/>
    <w:rsid w:val="004A55D1"/>
    <w:rsid w:val="004A5A16"/>
    <w:rsid w:val="004A7408"/>
    <w:rsid w:val="004B0D17"/>
    <w:rsid w:val="004B2345"/>
    <w:rsid w:val="004B4D7F"/>
    <w:rsid w:val="004B5585"/>
    <w:rsid w:val="004B6778"/>
    <w:rsid w:val="004B723C"/>
    <w:rsid w:val="004C0E33"/>
    <w:rsid w:val="004C1EC6"/>
    <w:rsid w:val="004C26EB"/>
    <w:rsid w:val="004C609A"/>
    <w:rsid w:val="004C6AE0"/>
    <w:rsid w:val="004C72D6"/>
    <w:rsid w:val="004C76C0"/>
    <w:rsid w:val="004C76D9"/>
    <w:rsid w:val="004D0737"/>
    <w:rsid w:val="004D093F"/>
    <w:rsid w:val="004D1586"/>
    <w:rsid w:val="004D5004"/>
    <w:rsid w:val="004E0D7E"/>
    <w:rsid w:val="004E1D9A"/>
    <w:rsid w:val="004E2710"/>
    <w:rsid w:val="004E2EB5"/>
    <w:rsid w:val="004E4174"/>
    <w:rsid w:val="004E783B"/>
    <w:rsid w:val="004F11FF"/>
    <w:rsid w:val="004F284C"/>
    <w:rsid w:val="004F527F"/>
    <w:rsid w:val="004F690F"/>
    <w:rsid w:val="00502AEB"/>
    <w:rsid w:val="00503B56"/>
    <w:rsid w:val="00505B61"/>
    <w:rsid w:val="005115A7"/>
    <w:rsid w:val="0051284A"/>
    <w:rsid w:val="00515216"/>
    <w:rsid w:val="00520F62"/>
    <w:rsid w:val="005210D6"/>
    <w:rsid w:val="00521D6F"/>
    <w:rsid w:val="00523453"/>
    <w:rsid w:val="005272E0"/>
    <w:rsid w:val="00531665"/>
    <w:rsid w:val="005325F7"/>
    <w:rsid w:val="00532860"/>
    <w:rsid w:val="00532B68"/>
    <w:rsid w:val="005336C7"/>
    <w:rsid w:val="00533765"/>
    <w:rsid w:val="00535803"/>
    <w:rsid w:val="00536635"/>
    <w:rsid w:val="00536DFB"/>
    <w:rsid w:val="00540487"/>
    <w:rsid w:val="0054098E"/>
    <w:rsid w:val="0054121F"/>
    <w:rsid w:val="005437A1"/>
    <w:rsid w:val="005440D8"/>
    <w:rsid w:val="0054572F"/>
    <w:rsid w:val="00545EAB"/>
    <w:rsid w:val="00546B65"/>
    <w:rsid w:val="00547AA3"/>
    <w:rsid w:val="00550FFD"/>
    <w:rsid w:val="00552703"/>
    <w:rsid w:val="0055418E"/>
    <w:rsid w:val="005563C2"/>
    <w:rsid w:val="005572EE"/>
    <w:rsid w:val="00557409"/>
    <w:rsid w:val="00557E24"/>
    <w:rsid w:val="00557E44"/>
    <w:rsid w:val="005625A1"/>
    <w:rsid w:val="00562F7A"/>
    <w:rsid w:val="00563508"/>
    <w:rsid w:val="005642E5"/>
    <w:rsid w:val="005668BA"/>
    <w:rsid w:val="00566D0D"/>
    <w:rsid w:val="00566DAC"/>
    <w:rsid w:val="00567FCB"/>
    <w:rsid w:val="005707BC"/>
    <w:rsid w:val="00571642"/>
    <w:rsid w:val="00572867"/>
    <w:rsid w:val="00572AD0"/>
    <w:rsid w:val="00574F49"/>
    <w:rsid w:val="00576C43"/>
    <w:rsid w:val="00576D18"/>
    <w:rsid w:val="00577C7B"/>
    <w:rsid w:val="00577F4F"/>
    <w:rsid w:val="00582CCD"/>
    <w:rsid w:val="0058424C"/>
    <w:rsid w:val="005845E8"/>
    <w:rsid w:val="00584642"/>
    <w:rsid w:val="005856D0"/>
    <w:rsid w:val="005863AF"/>
    <w:rsid w:val="005907CE"/>
    <w:rsid w:val="00590F66"/>
    <w:rsid w:val="00591300"/>
    <w:rsid w:val="00592FB0"/>
    <w:rsid w:val="00593915"/>
    <w:rsid w:val="005939B2"/>
    <w:rsid w:val="00593B0F"/>
    <w:rsid w:val="00594830"/>
    <w:rsid w:val="00596FDE"/>
    <w:rsid w:val="00597633"/>
    <w:rsid w:val="005976C9"/>
    <w:rsid w:val="00597AB2"/>
    <w:rsid w:val="00597B46"/>
    <w:rsid w:val="005A19B2"/>
    <w:rsid w:val="005A362A"/>
    <w:rsid w:val="005A3E3D"/>
    <w:rsid w:val="005A47B4"/>
    <w:rsid w:val="005A4E23"/>
    <w:rsid w:val="005A5C1E"/>
    <w:rsid w:val="005A63AA"/>
    <w:rsid w:val="005A66B9"/>
    <w:rsid w:val="005A68CE"/>
    <w:rsid w:val="005B1550"/>
    <w:rsid w:val="005B254B"/>
    <w:rsid w:val="005B2ED8"/>
    <w:rsid w:val="005B313E"/>
    <w:rsid w:val="005B38CB"/>
    <w:rsid w:val="005B51F2"/>
    <w:rsid w:val="005B64D8"/>
    <w:rsid w:val="005B68EF"/>
    <w:rsid w:val="005C0435"/>
    <w:rsid w:val="005C19BE"/>
    <w:rsid w:val="005C1C92"/>
    <w:rsid w:val="005C3727"/>
    <w:rsid w:val="005C375C"/>
    <w:rsid w:val="005C39B0"/>
    <w:rsid w:val="005C4B3E"/>
    <w:rsid w:val="005C6F5F"/>
    <w:rsid w:val="005C7740"/>
    <w:rsid w:val="005C79D8"/>
    <w:rsid w:val="005D131D"/>
    <w:rsid w:val="005D254C"/>
    <w:rsid w:val="005D2F52"/>
    <w:rsid w:val="005D5877"/>
    <w:rsid w:val="005D5CE8"/>
    <w:rsid w:val="005D673B"/>
    <w:rsid w:val="005D6A6D"/>
    <w:rsid w:val="005D75C1"/>
    <w:rsid w:val="005E0084"/>
    <w:rsid w:val="005E077C"/>
    <w:rsid w:val="005E11CB"/>
    <w:rsid w:val="005E1957"/>
    <w:rsid w:val="005E226B"/>
    <w:rsid w:val="005E2417"/>
    <w:rsid w:val="005E383A"/>
    <w:rsid w:val="005E3BDB"/>
    <w:rsid w:val="005E46F2"/>
    <w:rsid w:val="005E51B0"/>
    <w:rsid w:val="005E6126"/>
    <w:rsid w:val="005E7758"/>
    <w:rsid w:val="005F1BC4"/>
    <w:rsid w:val="005F21E8"/>
    <w:rsid w:val="005F5F3C"/>
    <w:rsid w:val="00600EFF"/>
    <w:rsid w:val="00601B37"/>
    <w:rsid w:val="00601D77"/>
    <w:rsid w:val="00601DDD"/>
    <w:rsid w:val="00601FB7"/>
    <w:rsid w:val="006044D9"/>
    <w:rsid w:val="00604A86"/>
    <w:rsid w:val="00606D61"/>
    <w:rsid w:val="00610AAB"/>
    <w:rsid w:val="00610C84"/>
    <w:rsid w:val="00613581"/>
    <w:rsid w:val="006206C6"/>
    <w:rsid w:val="00621BC7"/>
    <w:rsid w:val="006225CC"/>
    <w:rsid w:val="00622E5F"/>
    <w:rsid w:val="00622FEA"/>
    <w:rsid w:val="00623754"/>
    <w:rsid w:val="00624204"/>
    <w:rsid w:val="00624CED"/>
    <w:rsid w:val="00625C33"/>
    <w:rsid w:val="00627041"/>
    <w:rsid w:val="006272B6"/>
    <w:rsid w:val="00631946"/>
    <w:rsid w:val="0063233E"/>
    <w:rsid w:val="00632DB7"/>
    <w:rsid w:val="00633B5C"/>
    <w:rsid w:val="00634A55"/>
    <w:rsid w:val="0063549F"/>
    <w:rsid w:val="00637D58"/>
    <w:rsid w:val="00643055"/>
    <w:rsid w:val="006441B4"/>
    <w:rsid w:val="0064427D"/>
    <w:rsid w:val="006453A6"/>
    <w:rsid w:val="006466E5"/>
    <w:rsid w:val="00646D5F"/>
    <w:rsid w:val="00646F54"/>
    <w:rsid w:val="0064744C"/>
    <w:rsid w:val="00647E22"/>
    <w:rsid w:val="00650ABE"/>
    <w:rsid w:val="00652BCC"/>
    <w:rsid w:val="00652C12"/>
    <w:rsid w:val="00652F0D"/>
    <w:rsid w:val="006534F8"/>
    <w:rsid w:val="00654469"/>
    <w:rsid w:val="00654D6E"/>
    <w:rsid w:val="006558DC"/>
    <w:rsid w:val="00655927"/>
    <w:rsid w:val="006560B2"/>
    <w:rsid w:val="006568C3"/>
    <w:rsid w:val="00656F91"/>
    <w:rsid w:val="006627CF"/>
    <w:rsid w:val="00663206"/>
    <w:rsid w:val="006647CF"/>
    <w:rsid w:val="00665491"/>
    <w:rsid w:val="00665C73"/>
    <w:rsid w:val="00665F58"/>
    <w:rsid w:val="006664A5"/>
    <w:rsid w:val="006665D3"/>
    <w:rsid w:val="00667305"/>
    <w:rsid w:val="00667D1D"/>
    <w:rsid w:val="00670607"/>
    <w:rsid w:val="0067180C"/>
    <w:rsid w:val="0067192F"/>
    <w:rsid w:val="00674914"/>
    <w:rsid w:val="006752DC"/>
    <w:rsid w:val="00675462"/>
    <w:rsid w:val="0067772E"/>
    <w:rsid w:val="00677E11"/>
    <w:rsid w:val="006805D8"/>
    <w:rsid w:val="0068107E"/>
    <w:rsid w:val="00682077"/>
    <w:rsid w:val="006830D9"/>
    <w:rsid w:val="0068330D"/>
    <w:rsid w:val="00683F89"/>
    <w:rsid w:val="006849A8"/>
    <w:rsid w:val="0068512D"/>
    <w:rsid w:val="00685E5E"/>
    <w:rsid w:val="00686477"/>
    <w:rsid w:val="006910E4"/>
    <w:rsid w:val="00691984"/>
    <w:rsid w:val="006919C9"/>
    <w:rsid w:val="006924D1"/>
    <w:rsid w:val="0069364B"/>
    <w:rsid w:val="006945D9"/>
    <w:rsid w:val="0069463B"/>
    <w:rsid w:val="00695754"/>
    <w:rsid w:val="006959BA"/>
    <w:rsid w:val="0069702A"/>
    <w:rsid w:val="006974DB"/>
    <w:rsid w:val="006A05A3"/>
    <w:rsid w:val="006A2798"/>
    <w:rsid w:val="006A2B4F"/>
    <w:rsid w:val="006A3B46"/>
    <w:rsid w:val="006A6021"/>
    <w:rsid w:val="006A681B"/>
    <w:rsid w:val="006A6E75"/>
    <w:rsid w:val="006B135F"/>
    <w:rsid w:val="006B29F7"/>
    <w:rsid w:val="006B3330"/>
    <w:rsid w:val="006B574D"/>
    <w:rsid w:val="006B57AF"/>
    <w:rsid w:val="006B7DDB"/>
    <w:rsid w:val="006B7E70"/>
    <w:rsid w:val="006C0268"/>
    <w:rsid w:val="006C0445"/>
    <w:rsid w:val="006C06DC"/>
    <w:rsid w:val="006C163E"/>
    <w:rsid w:val="006C1BB1"/>
    <w:rsid w:val="006C287F"/>
    <w:rsid w:val="006C452C"/>
    <w:rsid w:val="006C46B0"/>
    <w:rsid w:val="006C56E6"/>
    <w:rsid w:val="006C5845"/>
    <w:rsid w:val="006C5BB6"/>
    <w:rsid w:val="006D0715"/>
    <w:rsid w:val="006D1689"/>
    <w:rsid w:val="006D2112"/>
    <w:rsid w:val="006D2A96"/>
    <w:rsid w:val="006D2B30"/>
    <w:rsid w:val="006D2DCD"/>
    <w:rsid w:val="006D3C2C"/>
    <w:rsid w:val="006D6EF2"/>
    <w:rsid w:val="006E0425"/>
    <w:rsid w:val="006E06AC"/>
    <w:rsid w:val="006E5148"/>
    <w:rsid w:val="006E5B22"/>
    <w:rsid w:val="006E7047"/>
    <w:rsid w:val="006F0D24"/>
    <w:rsid w:val="006F12E7"/>
    <w:rsid w:val="006F17A1"/>
    <w:rsid w:val="006F7B99"/>
    <w:rsid w:val="00700610"/>
    <w:rsid w:val="007016C9"/>
    <w:rsid w:val="00702043"/>
    <w:rsid w:val="00705053"/>
    <w:rsid w:val="00705A1E"/>
    <w:rsid w:val="00705D78"/>
    <w:rsid w:val="00705F3D"/>
    <w:rsid w:val="00707823"/>
    <w:rsid w:val="007154E5"/>
    <w:rsid w:val="00716D6F"/>
    <w:rsid w:val="00717309"/>
    <w:rsid w:val="00717B02"/>
    <w:rsid w:val="00724864"/>
    <w:rsid w:val="00725133"/>
    <w:rsid w:val="00725A94"/>
    <w:rsid w:val="00725F3A"/>
    <w:rsid w:val="007266D3"/>
    <w:rsid w:val="00731619"/>
    <w:rsid w:val="0073529B"/>
    <w:rsid w:val="00735626"/>
    <w:rsid w:val="00735725"/>
    <w:rsid w:val="007418E8"/>
    <w:rsid w:val="00741ECD"/>
    <w:rsid w:val="00742124"/>
    <w:rsid w:val="00743333"/>
    <w:rsid w:val="00743C25"/>
    <w:rsid w:val="00744649"/>
    <w:rsid w:val="00744694"/>
    <w:rsid w:val="0074548B"/>
    <w:rsid w:val="00746AF3"/>
    <w:rsid w:val="00752B4C"/>
    <w:rsid w:val="00754450"/>
    <w:rsid w:val="00755D37"/>
    <w:rsid w:val="007617F5"/>
    <w:rsid w:val="007657D8"/>
    <w:rsid w:val="00770263"/>
    <w:rsid w:val="0077054E"/>
    <w:rsid w:val="00770A4B"/>
    <w:rsid w:val="00770B96"/>
    <w:rsid w:val="007714E3"/>
    <w:rsid w:val="007731EB"/>
    <w:rsid w:val="0077352E"/>
    <w:rsid w:val="00775714"/>
    <w:rsid w:val="007757E2"/>
    <w:rsid w:val="00776628"/>
    <w:rsid w:val="00776A8C"/>
    <w:rsid w:val="00780284"/>
    <w:rsid w:val="00781D8B"/>
    <w:rsid w:val="00781E67"/>
    <w:rsid w:val="00782044"/>
    <w:rsid w:val="007820DB"/>
    <w:rsid w:val="007845C3"/>
    <w:rsid w:val="007846E5"/>
    <w:rsid w:val="00784D3B"/>
    <w:rsid w:val="00784E1C"/>
    <w:rsid w:val="00785146"/>
    <w:rsid w:val="007856DD"/>
    <w:rsid w:val="007869C0"/>
    <w:rsid w:val="0078730F"/>
    <w:rsid w:val="007875AC"/>
    <w:rsid w:val="0079093A"/>
    <w:rsid w:val="00790EFF"/>
    <w:rsid w:val="0079129D"/>
    <w:rsid w:val="00791E50"/>
    <w:rsid w:val="00792283"/>
    <w:rsid w:val="007922F3"/>
    <w:rsid w:val="00792A55"/>
    <w:rsid w:val="0079462C"/>
    <w:rsid w:val="00795329"/>
    <w:rsid w:val="007966B1"/>
    <w:rsid w:val="007966F2"/>
    <w:rsid w:val="00797336"/>
    <w:rsid w:val="007A2A21"/>
    <w:rsid w:val="007A2ECB"/>
    <w:rsid w:val="007A4B84"/>
    <w:rsid w:val="007A4C80"/>
    <w:rsid w:val="007A5A46"/>
    <w:rsid w:val="007A5E1A"/>
    <w:rsid w:val="007A6BB0"/>
    <w:rsid w:val="007A745C"/>
    <w:rsid w:val="007A78B7"/>
    <w:rsid w:val="007B015F"/>
    <w:rsid w:val="007B0330"/>
    <w:rsid w:val="007B11D7"/>
    <w:rsid w:val="007B1287"/>
    <w:rsid w:val="007B1B95"/>
    <w:rsid w:val="007B484D"/>
    <w:rsid w:val="007B566D"/>
    <w:rsid w:val="007B70CA"/>
    <w:rsid w:val="007C190D"/>
    <w:rsid w:val="007C2C33"/>
    <w:rsid w:val="007C548F"/>
    <w:rsid w:val="007C55D3"/>
    <w:rsid w:val="007C6208"/>
    <w:rsid w:val="007C7E6B"/>
    <w:rsid w:val="007D300D"/>
    <w:rsid w:val="007D3061"/>
    <w:rsid w:val="007D34EA"/>
    <w:rsid w:val="007D494D"/>
    <w:rsid w:val="007D6E8C"/>
    <w:rsid w:val="007D76E7"/>
    <w:rsid w:val="007D7949"/>
    <w:rsid w:val="007E0C1F"/>
    <w:rsid w:val="007E0FB4"/>
    <w:rsid w:val="007E2023"/>
    <w:rsid w:val="007E23A4"/>
    <w:rsid w:val="007E2826"/>
    <w:rsid w:val="007E4953"/>
    <w:rsid w:val="007E6288"/>
    <w:rsid w:val="007E62E4"/>
    <w:rsid w:val="007E65C6"/>
    <w:rsid w:val="007F18BA"/>
    <w:rsid w:val="007F276B"/>
    <w:rsid w:val="007F3A2D"/>
    <w:rsid w:val="007F3A47"/>
    <w:rsid w:val="007F6B1E"/>
    <w:rsid w:val="0080027F"/>
    <w:rsid w:val="0080087B"/>
    <w:rsid w:val="00801A4E"/>
    <w:rsid w:val="00803764"/>
    <w:rsid w:val="0080396E"/>
    <w:rsid w:val="00804A68"/>
    <w:rsid w:val="00805238"/>
    <w:rsid w:val="00805E15"/>
    <w:rsid w:val="008060DE"/>
    <w:rsid w:val="0080620E"/>
    <w:rsid w:val="00807A05"/>
    <w:rsid w:val="008104E1"/>
    <w:rsid w:val="0081076B"/>
    <w:rsid w:val="00811C8C"/>
    <w:rsid w:val="008129CD"/>
    <w:rsid w:val="0081444B"/>
    <w:rsid w:val="00814F36"/>
    <w:rsid w:val="0081507C"/>
    <w:rsid w:val="0081734D"/>
    <w:rsid w:val="00820648"/>
    <w:rsid w:val="0082122B"/>
    <w:rsid w:val="00822D0E"/>
    <w:rsid w:val="00823032"/>
    <w:rsid w:val="00823A56"/>
    <w:rsid w:val="00824E07"/>
    <w:rsid w:val="0082728F"/>
    <w:rsid w:val="00827540"/>
    <w:rsid w:val="008278B3"/>
    <w:rsid w:val="00833FA7"/>
    <w:rsid w:val="00834AB5"/>
    <w:rsid w:val="0083678A"/>
    <w:rsid w:val="00837778"/>
    <w:rsid w:val="008407D5"/>
    <w:rsid w:val="008446C9"/>
    <w:rsid w:val="00845DDB"/>
    <w:rsid w:val="0085008C"/>
    <w:rsid w:val="00851299"/>
    <w:rsid w:val="00851435"/>
    <w:rsid w:val="00855DEE"/>
    <w:rsid w:val="00860F45"/>
    <w:rsid w:val="00861617"/>
    <w:rsid w:val="00863AFA"/>
    <w:rsid w:val="0086452A"/>
    <w:rsid w:val="00864C69"/>
    <w:rsid w:val="008653DF"/>
    <w:rsid w:val="00865501"/>
    <w:rsid w:val="0086749E"/>
    <w:rsid w:val="008674CC"/>
    <w:rsid w:val="00867E2D"/>
    <w:rsid w:val="00867EFB"/>
    <w:rsid w:val="00870005"/>
    <w:rsid w:val="00872193"/>
    <w:rsid w:val="00874D09"/>
    <w:rsid w:val="00875298"/>
    <w:rsid w:val="00875A6F"/>
    <w:rsid w:val="00876906"/>
    <w:rsid w:val="0087691B"/>
    <w:rsid w:val="008777A2"/>
    <w:rsid w:val="00877CEC"/>
    <w:rsid w:val="00880155"/>
    <w:rsid w:val="008807CF"/>
    <w:rsid w:val="00880ACA"/>
    <w:rsid w:val="008818FD"/>
    <w:rsid w:val="00882EB7"/>
    <w:rsid w:val="008845D0"/>
    <w:rsid w:val="00884F5B"/>
    <w:rsid w:val="00886370"/>
    <w:rsid w:val="008874F6"/>
    <w:rsid w:val="00887E36"/>
    <w:rsid w:val="008914C9"/>
    <w:rsid w:val="00891C82"/>
    <w:rsid w:val="00894A4C"/>
    <w:rsid w:val="00896F73"/>
    <w:rsid w:val="00897982"/>
    <w:rsid w:val="00897C03"/>
    <w:rsid w:val="008A016D"/>
    <w:rsid w:val="008A1D7F"/>
    <w:rsid w:val="008A2577"/>
    <w:rsid w:val="008A4897"/>
    <w:rsid w:val="008A4AC8"/>
    <w:rsid w:val="008A4D4F"/>
    <w:rsid w:val="008A5966"/>
    <w:rsid w:val="008A5B77"/>
    <w:rsid w:val="008A5CC6"/>
    <w:rsid w:val="008A7BC4"/>
    <w:rsid w:val="008B064D"/>
    <w:rsid w:val="008B1669"/>
    <w:rsid w:val="008B1723"/>
    <w:rsid w:val="008B6CD7"/>
    <w:rsid w:val="008B793A"/>
    <w:rsid w:val="008B7BA2"/>
    <w:rsid w:val="008C1700"/>
    <w:rsid w:val="008C183F"/>
    <w:rsid w:val="008C3674"/>
    <w:rsid w:val="008C48EC"/>
    <w:rsid w:val="008C664F"/>
    <w:rsid w:val="008C7F2C"/>
    <w:rsid w:val="008D1A2B"/>
    <w:rsid w:val="008D2AA6"/>
    <w:rsid w:val="008D3A2B"/>
    <w:rsid w:val="008D401B"/>
    <w:rsid w:val="008D522C"/>
    <w:rsid w:val="008E44A9"/>
    <w:rsid w:val="008E52B7"/>
    <w:rsid w:val="008E60B7"/>
    <w:rsid w:val="008E7FD8"/>
    <w:rsid w:val="008F0237"/>
    <w:rsid w:val="008F0E83"/>
    <w:rsid w:val="008F24BE"/>
    <w:rsid w:val="008F2DD5"/>
    <w:rsid w:val="008F46E4"/>
    <w:rsid w:val="008F4AD0"/>
    <w:rsid w:val="008F576D"/>
    <w:rsid w:val="00900945"/>
    <w:rsid w:val="00900F3A"/>
    <w:rsid w:val="00902E6E"/>
    <w:rsid w:val="00904194"/>
    <w:rsid w:val="0090451F"/>
    <w:rsid w:val="0090585C"/>
    <w:rsid w:val="00905E33"/>
    <w:rsid w:val="00907423"/>
    <w:rsid w:val="00912FB8"/>
    <w:rsid w:val="009161D6"/>
    <w:rsid w:val="00916C08"/>
    <w:rsid w:val="00916DEA"/>
    <w:rsid w:val="00917C73"/>
    <w:rsid w:val="00920423"/>
    <w:rsid w:val="00923061"/>
    <w:rsid w:val="0092405F"/>
    <w:rsid w:val="0092430D"/>
    <w:rsid w:val="009253D5"/>
    <w:rsid w:val="00930289"/>
    <w:rsid w:val="0093052D"/>
    <w:rsid w:val="009309C8"/>
    <w:rsid w:val="00930F2F"/>
    <w:rsid w:val="00931091"/>
    <w:rsid w:val="00931F92"/>
    <w:rsid w:val="009335EE"/>
    <w:rsid w:val="00933B24"/>
    <w:rsid w:val="00934DBC"/>
    <w:rsid w:val="00935D68"/>
    <w:rsid w:val="009364A4"/>
    <w:rsid w:val="00936FE1"/>
    <w:rsid w:val="00937DCF"/>
    <w:rsid w:val="00940B29"/>
    <w:rsid w:val="00941336"/>
    <w:rsid w:val="00945E0A"/>
    <w:rsid w:val="009547D6"/>
    <w:rsid w:val="00954F21"/>
    <w:rsid w:val="00955133"/>
    <w:rsid w:val="009559B0"/>
    <w:rsid w:val="00955D42"/>
    <w:rsid w:val="009578F5"/>
    <w:rsid w:val="00962713"/>
    <w:rsid w:val="00962792"/>
    <w:rsid w:val="00962EEB"/>
    <w:rsid w:val="009634D1"/>
    <w:rsid w:val="00965284"/>
    <w:rsid w:val="00965368"/>
    <w:rsid w:val="00966F8C"/>
    <w:rsid w:val="0096707E"/>
    <w:rsid w:val="00967117"/>
    <w:rsid w:val="009671A6"/>
    <w:rsid w:val="009679AE"/>
    <w:rsid w:val="00970115"/>
    <w:rsid w:val="00970A08"/>
    <w:rsid w:val="0097120A"/>
    <w:rsid w:val="00971A97"/>
    <w:rsid w:val="00971C6B"/>
    <w:rsid w:val="0097329A"/>
    <w:rsid w:val="00973A38"/>
    <w:rsid w:val="00973DB4"/>
    <w:rsid w:val="009743C3"/>
    <w:rsid w:val="00975AA6"/>
    <w:rsid w:val="009773A4"/>
    <w:rsid w:val="00977C73"/>
    <w:rsid w:val="0098176B"/>
    <w:rsid w:val="00983206"/>
    <w:rsid w:val="0098345B"/>
    <w:rsid w:val="00983D8F"/>
    <w:rsid w:val="00984646"/>
    <w:rsid w:val="00985610"/>
    <w:rsid w:val="0098563A"/>
    <w:rsid w:val="0098697B"/>
    <w:rsid w:val="00990EF7"/>
    <w:rsid w:val="00991C7F"/>
    <w:rsid w:val="00991FDD"/>
    <w:rsid w:val="00992C00"/>
    <w:rsid w:val="009958A9"/>
    <w:rsid w:val="0099609E"/>
    <w:rsid w:val="00996E03"/>
    <w:rsid w:val="00997B90"/>
    <w:rsid w:val="009A3C97"/>
    <w:rsid w:val="009A6231"/>
    <w:rsid w:val="009A6FDF"/>
    <w:rsid w:val="009A7B4B"/>
    <w:rsid w:val="009A7B63"/>
    <w:rsid w:val="009B0B95"/>
    <w:rsid w:val="009B19A1"/>
    <w:rsid w:val="009B241F"/>
    <w:rsid w:val="009B4580"/>
    <w:rsid w:val="009B49E1"/>
    <w:rsid w:val="009B54A4"/>
    <w:rsid w:val="009B5C97"/>
    <w:rsid w:val="009B6B28"/>
    <w:rsid w:val="009B6D01"/>
    <w:rsid w:val="009B73F9"/>
    <w:rsid w:val="009B747A"/>
    <w:rsid w:val="009B776C"/>
    <w:rsid w:val="009C196C"/>
    <w:rsid w:val="009C1E12"/>
    <w:rsid w:val="009C2BDB"/>
    <w:rsid w:val="009C366E"/>
    <w:rsid w:val="009C3CFC"/>
    <w:rsid w:val="009C52E9"/>
    <w:rsid w:val="009C5810"/>
    <w:rsid w:val="009C6F19"/>
    <w:rsid w:val="009C7D87"/>
    <w:rsid w:val="009D09C1"/>
    <w:rsid w:val="009D5598"/>
    <w:rsid w:val="009D6106"/>
    <w:rsid w:val="009D6A44"/>
    <w:rsid w:val="009E04EC"/>
    <w:rsid w:val="009E0C3D"/>
    <w:rsid w:val="009E0CA7"/>
    <w:rsid w:val="009E1538"/>
    <w:rsid w:val="009E3C2C"/>
    <w:rsid w:val="009E5920"/>
    <w:rsid w:val="009F0F71"/>
    <w:rsid w:val="009F2420"/>
    <w:rsid w:val="009F2BC1"/>
    <w:rsid w:val="009F309B"/>
    <w:rsid w:val="009F3CBB"/>
    <w:rsid w:val="009F4515"/>
    <w:rsid w:val="009F61E3"/>
    <w:rsid w:val="009F76DB"/>
    <w:rsid w:val="00A0096C"/>
    <w:rsid w:val="00A00FE1"/>
    <w:rsid w:val="00A03FCE"/>
    <w:rsid w:val="00A05288"/>
    <w:rsid w:val="00A05567"/>
    <w:rsid w:val="00A05BB2"/>
    <w:rsid w:val="00A05D16"/>
    <w:rsid w:val="00A114E5"/>
    <w:rsid w:val="00A11A04"/>
    <w:rsid w:val="00A11D2F"/>
    <w:rsid w:val="00A125DF"/>
    <w:rsid w:val="00A12B26"/>
    <w:rsid w:val="00A132E1"/>
    <w:rsid w:val="00A14985"/>
    <w:rsid w:val="00A15E4B"/>
    <w:rsid w:val="00A16782"/>
    <w:rsid w:val="00A20526"/>
    <w:rsid w:val="00A22CD3"/>
    <w:rsid w:val="00A231B7"/>
    <w:rsid w:val="00A2451D"/>
    <w:rsid w:val="00A25D09"/>
    <w:rsid w:val="00A25E4A"/>
    <w:rsid w:val="00A2749E"/>
    <w:rsid w:val="00A3014A"/>
    <w:rsid w:val="00A301AC"/>
    <w:rsid w:val="00A31D9D"/>
    <w:rsid w:val="00A326E9"/>
    <w:rsid w:val="00A34308"/>
    <w:rsid w:val="00A35AEE"/>
    <w:rsid w:val="00A35E83"/>
    <w:rsid w:val="00A43188"/>
    <w:rsid w:val="00A445AC"/>
    <w:rsid w:val="00A45B07"/>
    <w:rsid w:val="00A45EDE"/>
    <w:rsid w:val="00A523C6"/>
    <w:rsid w:val="00A55639"/>
    <w:rsid w:val="00A57CAA"/>
    <w:rsid w:val="00A612A5"/>
    <w:rsid w:val="00A6176E"/>
    <w:rsid w:val="00A626D8"/>
    <w:rsid w:val="00A6373A"/>
    <w:rsid w:val="00A64C90"/>
    <w:rsid w:val="00A679CA"/>
    <w:rsid w:val="00A67E6B"/>
    <w:rsid w:val="00A719FA"/>
    <w:rsid w:val="00A722D3"/>
    <w:rsid w:val="00A7359C"/>
    <w:rsid w:val="00A73795"/>
    <w:rsid w:val="00A7402C"/>
    <w:rsid w:val="00A74293"/>
    <w:rsid w:val="00A75CAC"/>
    <w:rsid w:val="00A80DBF"/>
    <w:rsid w:val="00A81A59"/>
    <w:rsid w:val="00A81B78"/>
    <w:rsid w:val="00A858E0"/>
    <w:rsid w:val="00A85B94"/>
    <w:rsid w:val="00A8630A"/>
    <w:rsid w:val="00A86C12"/>
    <w:rsid w:val="00A9033A"/>
    <w:rsid w:val="00A908DA"/>
    <w:rsid w:val="00A91855"/>
    <w:rsid w:val="00A91A80"/>
    <w:rsid w:val="00A938FE"/>
    <w:rsid w:val="00A94AE8"/>
    <w:rsid w:val="00A951D6"/>
    <w:rsid w:val="00AA10C6"/>
    <w:rsid w:val="00AA2656"/>
    <w:rsid w:val="00AA2CE8"/>
    <w:rsid w:val="00AA3CC1"/>
    <w:rsid w:val="00AA5193"/>
    <w:rsid w:val="00AA52BF"/>
    <w:rsid w:val="00AA699A"/>
    <w:rsid w:val="00AA6EC8"/>
    <w:rsid w:val="00AA797A"/>
    <w:rsid w:val="00AA79E5"/>
    <w:rsid w:val="00AB06DE"/>
    <w:rsid w:val="00AB3D2D"/>
    <w:rsid w:val="00AB4472"/>
    <w:rsid w:val="00AB4F0F"/>
    <w:rsid w:val="00AB6221"/>
    <w:rsid w:val="00AB6232"/>
    <w:rsid w:val="00AB67AD"/>
    <w:rsid w:val="00AB6CA6"/>
    <w:rsid w:val="00AC0022"/>
    <w:rsid w:val="00AC24FE"/>
    <w:rsid w:val="00AC2C64"/>
    <w:rsid w:val="00AC3336"/>
    <w:rsid w:val="00AC36B5"/>
    <w:rsid w:val="00AC4005"/>
    <w:rsid w:val="00AC4FA6"/>
    <w:rsid w:val="00AD0C4D"/>
    <w:rsid w:val="00AD2AEB"/>
    <w:rsid w:val="00AD3B8B"/>
    <w:rsid w:val="00AD3E3B"/>
    <w:rsid w:val="00AD45F5"/>
    <w:rsid w:val="00AD5EF6"/>
    <w:rsid w:val="00AD6AA4"/>
    <w:rsid w:val="00AE06A7"/>
    <w:rsid w:val="00AE25F9"/>
    <w:rsid w:val="00AE302F"/>
    <w:rsid w:val="00AE37FE"/>
    <w:rsid w:val="00AE6BBC"/>
    <w:rsid w:val="00AE78D2"/>
    <w:rsid w:val="00AF0F89"/>
    <w:rsid w:val="00AF15D4"/>
    <w:rsid w:val="00AF1B20"/>
    <w:rsid w:val="00AF1D57"/>
    <w:rsid w:val="00AF4ACD"/>
    <w:rsid w:val="00AF534A"/>
    <w:rsid w:val="00AF707B"/>
    <w:rsid w:val="00B006CC"/>
    <w:rsid w:val="00B00D04"/>
    <w:rsid w:val="00B01EC2"/>
    <w:rsid w:val="00B01F74"/>
    <w:rsid w:val="00B02A7A"/>
    <w:rsid w:val="00B03939"/>
    <w:rsid w:val="00B04F82"/>
    <w:rsid w:val="00B0565C"/>
    <w:rsid w:val="00B06F50"/>
    <w:rsid w:val="00B075E4"/>
    <w:rsid w:val="00B077EB"/>
    <w:rsid w:val="00B07944"/>
    <w:rsid w:val="00B101FA"/>
    <w:rsid w:val="00B10837"/>
    <w:rsid w:val="00B10A04"/>
    <w:rsid w:val="00B1310B"/>
    <w:rsid w:val="00B15109"/>
    <w:rsid w:val="00B15796"/>
    <w:rsid w:val="00B16CFB"/>
    <w:rsid w:val="00B16E98"/>
    <w:rsid w:val="00B172BB"/>
    <w:rsid w:val="00B17F03"/>
    <w:rsid w:val="00B20FEC"/>
    <w:rsid w:val="00B21EDA"/>
    <w:rsid w:val="00B23AD5"/>
    <w:rsid w:val="00B24B57"/>
    <w:rsid w:val="00B254B9"/>
    <w:rsid w:val="00B25A15"/>
    <w:rsid w:val="00B30F9D"/>
    <w:rsid w:val="00B31B42"/>
    <w:rsid w:val="00B330CD"/>
    <w:rsid w:val="00B348CB"/>
    <w:rsid w:val="00B353BD"/>
    <w:rsid w:val="00B36D97"/>
    <w:rsid w:val="00B4093D"/>
    <w:rsid w:val="00B4134A"/>
    <w:rsid w:val="00B413F7"/>
    <w:rsid w:val="00B4198B"/>
    <w:rsid w:val="00B41B9D"/>
    <w:rsid w:val="00B43B86"/>
    <w:rsid w:val="00B44114"/>
    <w:rsid w:val="00B44770"/>
    <w:rsid w:val="00B44B3A"/>
    <w:rsid w:val="00B4531C"/>
    <w:rsid w:val="00B4629B"/>
    <w:rsid w:val="00B46A3E"/>
    <w:rsid w:val="00B5017F"/>
    <w:rsid w:val="00B52C1B"/>
    <w:rsid w:val="00B52D83"/>
    <w:rsid w:val="00B54B78"/>
    <w:rsid w:val="00B558D5"/>
    <w:rsid w:val="00B57CB1"/>
    <w:rsid w:val="00B60406"/>
    <w:rsid w:val="00B61B9C"/>
    <w:rsid w:val="00B63B6A"/>
    <w:rsid w:val="00B64A22"/>
    <w:rsid w:val="00B6789B"/>
    <w:rsid w:val="00B67B22"/>
    <w:rsid w:val="00B7021C"/>
    <w:rsid w:val="00B70468"/>
    <w:rsid w:val="00B704CD"/>
    <w:rsid w:val="00B70DEB"/>
    <w:rsid w:val="00B70E8B"/>
    <w:rsid w:val="00B71DDC"/>
    <w:rsid w:val="00B71E2F"/>
    <w:rsid w:val="00B72077"/>
    <w:rsid w:val="00B72FC1"/>
    <w:rsid w:val="00B76B10"/>
    <w:rsid w:val="00B77FDB"/>
    <w:rsid w:val="00B800F5"/>
    <w:rsid w:val="00B804E8"/>
    <w:rsid w:val="00B80700"/>
    <w:rsid w:val="00B83D79"/>
    <w:rsid w:val="00B84139"/>
    <w:rsid w:val="00B872A1"/>
    <w:rsid w:val="00B877E0"/>
    <w:rsid w:val="00B90B92"/>
    <w:rsid w:val="00B91F11"/>
    <w:rsid w:val="00B92311"/>
    <w:rsid w:val="00B924AC"/>
    <w:rsid w:val="00B934AD"/>
    <w:rsid w:val="00B93524"/>
    <w:rsid w:val="00B93EA3"/>
    <w:rsid w:val="00B947DC"/>
    <w:rsid w:val="00B960F3"/>
    <w:rsid w:val="00B97BC8"/>
    <w:rsid w:val="00BA193B"/>
    <w:rsid w:val="00BA202F"/>
    <w:rsid w:val="00BA2BFF"/>
    <w:rsid w:val="00BA34AC"/>
    <w:rsid w:val="00BA3515"/>
    <w:rsid w:val="00BA3843"/>
    <w:rsid w:val="00BA3B00"/>
    <w:rsid w:val="00BA43D3"/>
    <w:rsid w:val="00BA5DAB"/>
    <w:rsid w:val="00BA6A21"/>
    <w:rsid w:val="00BB0F6C"/>
    <w:rsid w:val="00BB358D"/>
    <w:rsid w:val="00BB40D3"/>
    <w:rsid w:val="00BB4151"/>
    <w:rsid w:val="00BB4CDE"/>
    <w:rsid w:val="00BB4E27"/>
    <w:rsid w:val="00BB7A23"/>
    <w:rsid w:val="00BC2229"/>
    <w:rsid w:val="00BC2341"/>
    <w:rsid w:val="00BC23B7"/>
    <w:rsid w:val="00BC3B59"/>
    <w:rsid w:val="00BC3F6F"/>
    <w:rsid w:val="00BD42E9"/>
    <w:rsid w:val="00BD7254"/>
    <w:rsid w:val="00BE03D1"/>
    <w:rsid w:val="00BE0C33"/>
    <w:rsid w:val="00BE0CD8"/>
    <w:rsid w:val="00BE2DF7"/>
    <w:rsid w:val="00BE34C2"/>
    <w:rsid w:val="00BE4360"/>
    <w:rsid w:val="00BE5148"/>
    <w:rsid w:val="00BE6D25"/>
    <w:rsid w:val="00BF0A42"/>
    <w:rsid w:val="00BF11BB"/>
    <w:rsid w:val="00BF15DF"/>
    <w:rsid w:val="00BF21D2"/>
    <w:rsid w:val="00BF2B40"/>
    <w:rsid w:val="00BF492E"/>
    <w:rsid w:val="00BF5190"/>
    <w:rsid w:val="00C00847"/>
    <w:rsid w:val="00C00859"/>
    <w:rsid w:val="00C01FED"/>
    <w:rsid w:val="00C02969"/>
    <w:rsid w:val="00C03565"/>
    <w:rsid w:val="00C035B6"/>
    <w:rsid w:val="00C03970"/>
    <w:rsid w:val="00C07C11"/>
    <w:rsid w:val="00C10691"/>
    <w:rsid w:val="00C11388"/>
    <w:rsid w:val="00C12D51"/>
    <w:rsid w:val="00C1333F"/>
    <w:rsid w:val="00C13476"/>
    <w:rsid w:val="00C13481"/>
    <w:rsid w:val="00C13D91"/>
    <w:rsid w:val="00C169EB"/>
    <w:rsid w:val="00C176BA"/>
    <w:rsid w:val="00C20CD6"/>
    <w:rsid w:val="00C22EA6"/>
    <w:rsid w:val="00C237BE"/>
    <w:rsid w:val="00C24CC0"/>
    <w:rsid w:val="00C2587E"/>
    <w:rsid w:val="00C31729"/>
    <w:rsid w:val="00C31F79"/>
    <w:rsid w:val="00C35422"/>
    <w:rsid w:val="00C3786A"/>
    <w:rsid w:val="00C40683"/>
    <w:rsid w:val="00C418AA"/>
    <w:rsid w:val="00C42F90"/>
    <w:rsid w:val="00C4342E"/>
    <w:rsid w:val="00C43E55"/>
    <w:rsid w:val="00C45027"/>
    <w:rsid w:val="00C45643"/>
    <w:rsid w:val="00C45FF4"/>
    <w:rsid w:val="00C461D3"/>
    <w:rsid w:val="00C519B9"/>
    <w:rsid w:val="00C527F2"/>
    <w:rsid w:val="00C52970"/>
    <w:rsid w:val="00C53182"/>
    <w:rsid w:val="00C53510"/>
    <w:rsid w:val="00C544AA"/>
    <w:rsid w:val="00C54E76"/>
    <w:rsid w:val="00C54F11"/>
    <w:rsid w:val="00C55372"/>
    <w:rsid w:val="00C564E5"/>
    <w:rsid w:val="00C5667F"/>
    <w:rsid w:val="00C57223"/>
    <w:rsid w:val="00C6016B"/>
    <w:rsid w:val="00C613EE"/>
    <w:rsid w:val="00C62499"/>
    <w:rsid w:val="00C64AED"/>
    <w:rsid w:val="00C651AC"/>
    <w:rsid w:val="00C65946"/>
    <w:rsid w:val="00C66849"/>
    <w:rsid w:val="00C71284"/>
    <w:rsid w:val="00C72120"/>
    <w:rsid w:val="00C72C10"/>
    <w:rsid w:val="00C72ECA"/>
    <w:rsid w:val="00C755CA"/>
    <w:rsid w:val="00C768E2"/>
    <w:rsid w:val="00C81BCC"/>
    <w:rsid w:val="00C81C1E"/>
    <w:rsid w:val="00C83D7F"/>
    <w:rsid w:val="00C863AE"/>
    <w:rsid w:val="00C8795A"/>
    <w:rsid w:val="00C92B5E"/>
    <w:rsid w:val="00C930AA"/>
    <w:rsid w:val="00C962BB"/>
    <w:rsid w:val="00CA08AD"/>
    <w:rsid w:val="00CA1296"/>
    <w:rsid w:val="00CA4186"/>
    <w:rsid w:val="00CA47E9"/>
    <w:rsid w:val="00CB0F8C"/>
    <w:rsid w:val="00CB15C3"/>
    <w:rsid w:val="00CB2891"/>
    <w:rsid w:val="00CB39BD"/>
    <w:rsid w:val="00CB46B4"/>
    <w:rsid w:val="00CB653D"/>
    <w:rsid w:val="00CC0787"/>
    <w:rsid w:val="00CC1993"/>
    <w:rsid w:val="00CC52A0"/>
    <w:rsid w:val="00CC7C9F"/>
    <w:rsid w:val="00CD100A"/>
    <w:rsid w:val="00CD1E3C"/>
    <w:rsid w:val="00CD35CD"/>
    <w:rsid w:val="00CD3F5F"/>
    <w:rsid w:val="00CD4794"/>
    <w:rsid w:val="00CD5322"/>
    <w:rsid w:val="00CD676C"/>
    <w:rsid w:val="00CE0DD5"/>
    <w:rsid w:val="00CE156A"/>
    <w:rsid w:val="00CE16C9"/>
    <w:rsid w:val="00CE491F"/>
    <w:rsid w:val="00CE50C0"/>
    <w:rsid w:val="00CE50D3"/>
    <w:rsid w:val="00CE54C6"/>
    <w:rsid w:val="00CE60A4"/>
    <w:rsid w:val="00CF0A92"/>
    <w:rsid w:val="00CF443B"/>
    <w:rsid w:val="00CF45FF"/>
    <w:rsid w:val="00CF49BA"/>
    <w:rsid w:val="00CF4FBE"/>
    <w:rsid w:val="00CF5028"/>
    <w:rsid w:val="00CF59F0"/>
    <w:rsid w:val="00D00D69"/>
    <w:rsid w:val="00D0211C"/>
    <w:rsid w:val="00D02959"/>
    <w:rsid w:val="00D02A09"/>
    <w:rsid w:val="00D02ADE"/>
    <w:rsid w:val="00D02F3B"/>
    <w:rsid w:val="00D0311D"/>
    <w:rsid w:val="00D072F7"/>
    <w:rsid w:val="00D078EF"/>
    <w:rsid w:val="00D1228F"/>
    <w:rsid w:val="00D1231F"/>
    <w:rsid w:val="00D129C7"/>
    <w:rsid w:val="00D12D58"/>
    <w:rsid w:val="00D1349D"/>
    <w:rsid w:val="00D14A61"/>
    <w:rsid w:val="00D14BFE"/>
    <w:rsid w:val="00D15F90"/>
    <w:rsid w:val="00D16153"/>
    <w:rsid w:val="00D177FC"/>
    <w:rsid w:val="00D2078E"/>
    <w:rsid w:val="00D20B8B"/>
    <w:rsid w:val="00D218B1"/>
    <w:rsid w:val="00D22F61"/>
    <w:rsid w:val="00D237EF"/>
    <w:rsid w:val="00D23A81"/>
    <w:rsid w:val="00D23AF0"/>
    <w:rsid w:val="00D23DA7"/>
    <w:rsid w:val="00D2449F"/>
    <w:rsid w:val="00D2669A"/>
    <w:rsid w:val="00D27C1F"/>
    <w:rsid w:val="00D27D59"/>
    <w:rsid w:val="00D31445"/>
    <w:rsid w:val="00D31897"/>
    <w:rsid w:val="00D3218A"/>
    <w:rsid w:val="00D32896"/>
    <w:rsid w:val="00D33A17"/>
    <w:rsid w:val="00D33F55"/>
    <w:rsid w:val="00D35096"/>
    <w:rsid w:val="00D36217"/>
    <w:rsid w:val="00D36745"/>
    <w:rsid w:val="00D41224"/>
    <w:rsid w:val="00D4146A"/>
    <w:rsid w:val="00D41BA7"/>
    <w:rsid w:val="00D421A9"/>
    <w:rsid w:val="00D45F56"/>
    <w:rsid w:val="00D47E2D"/>
    <w:rsid w:val="00D50979"/>
    <w:rsid w:val="00D513FA"/>
    <w:rsid w:val="00D51401"/>
    <w:rsid w:val="00D52758"/>
    <w:rsid w:val="00D52A69"/>
    <w:rsid w:val="00D53FD9"/>
    <w:rsid w:val="00D54C9E"/>
    <w:rsid w:val="00D55EA2"/>
    <w:rsid w:val="00D561B4"/>
    <w:rsid w:val="00D57E53"/>
    <w:rsid w:val="00D61A6C"/>
    <w:rsid w:val="00D62BDB"/>
    <w:rsid w:val="00D6316D"/>
    <w:rsid w:val="00D64A6C"/>
    <w:rsid w:val="00D653B7"/>
    <w:rsid w:val="00D70477"/>
    <w:rsid w:val="00D71C1C"/>
    <w:rsid w:val="00D71D3F"/>
    <w:rsid w:val="00D720F1"/>
    <w:rsid w:val="00D72AF3"/>
    <w:rsid w:val="00D7382F"/>
    <w:rsid w:val="00D73E5D"/>
    <w:rsid w:val="00D74027"/>
    <w:rsid w:val="00D75563"/>
    <w:rsid w:val="00D75B12"/>
    <w:rsid w:val="00D75D7F"/>
    <w:rsid w:val="00D7659B"/>
    <w:rsid w:val="00D776A5"/>
    <w:rsid w:val="00D777AC"/>
    <w:rsid w:val="00D80415"/>
    <w:rsid w:val="00D81FB5"/>
    <w:rsid w:val="00D8232F"/>
    <w:rsid w:val="00D833FA"/>
    <w:rsid w:val="00D8416C"/>
    <w:rsid w:val="00D85882"/>
    <w:rsid w:val="00D8634F"/>
    <w:rsid w:val="00D87184"/>
    <w:rsid w:val="00D87E0D"/>
    <w:rsid w:val="00D87F7E"/>
    <w:rsid w:val="00D92E28"/>
    <w:rsid w:val="00D92F7B"/>
    <w:rsid w:val="00D93031"/>
    <w:rsid w:val="00D942B5"/>
    <w:rsid w:val="00D94533"/>
    <w:rsid w:val="00D94A21"/>
    <w:rsid w:val="00D95192"/>
    <w:rsid w:val="00D95BBA"/>
    <w:rsid w:val="00D97D44"/>
    <w:rsid w:val="00DA0F5D"/>
    <w:rsid w:val="00DA1143"/>
    <w:rsid w:val="00DA1583"/>
    <w:rsid w:val="00DA2A08"/>
    <w:rsid w:val="00DA2E51"/>
    <w:rsid w:val="00DA4554"/>
    <w:rsid w:val="00DA4AEB"/>
    <w:rsid w:val="00DA4C16"/>
    <w:rsid w:val="00DA70E1"/>
    <w:rsid w:val="00DA7932"/>
    <w:rsid w:val="00DA7AA5"/>
    <w:rsid w:val="00DA7E1C"/>
    <w:rsid w:val="00DB08A5"/>
    <w:rsid w:val="00DB131A"/>
    <w:rsid w:val="00DB180C"/>
    <w:rsid w:val="00DB2BAA"/>
    <w:rsid w:val="00DB3324"/>
    <w:rsid w:val="00DB4CA0"/>
    <w:rsid w:val="00DB4CDC"/>
    <w:rsid w:val="00DB6264"/>
    <w:rsid w:val="00DC20EC"/>
    <w:rsid w:val="00DC3792"/>
    <w:rsid w:val="00DC493D"/>
    <w:rsid w:val="00DC49EC"/>
    <w:rsid w:val="00DC7194"/>
    <w:rsid w:val="00DC7972"/>
    <w:rsid w:val="00DC79EC"/>
    <w:rsid w:val="00DD165D"/>
    <w:rsid w:val="00DD1BEE"/>
    <w:rsid w:val="00DD24E9"/>
    <w:rsid w:val="00DD2875"/>
    <w:rsid w:val="00DD3544"/>
    <w:rsid w:val="00DD5161"/>
    <w:rsid w:val="00DD53D6"/>
    <w:rsid w:val="00DD547C"/>
    <w:rsid w:val="00DD60FF"/>
    <w:rsid w:val="00DD6327"/>
    <w:rsid w:val="00DE001D"/>
    <w:rsid w:val="00DE0155"/>
    <w:rsid w:val="00DE2C07"/>
    <w:rsid w:val="00DE3155"/>
    <w:rsid w:val="00DE3B30"/>
    <w:rsid w:val="00DE4942"/>
    <w:rsid w:val="00DF076E"/>
    <w:rsid w:val="00DF1019"/>
    <w:rsid w:val="00DF10B8"/>
    <w:rsid w:val="00DF2449"/>
    <w:rsid w:val="00DF5196"/>
    <w:rsid w:val="00DF54C2"/>
    <w:rsid w:val="00DF5E1A"/>
    <w:rsid w:val="00DF7C07"/>
    <w:rsid w:val="00E00307"/>
    <w:rsid w:val="00E00655"/>
    <w:rsid w:val="00E0358F"/>
    <w:rsid w:val="00E03FF9"/>
    <w:rsid w:val="00E05EFF"/>
    <w:rsid w:val="00E06651"/>
    <w:rsid w:val="00E073EF"/>
    <w:rsid w:val="00E10483"/>
    <w:rsid w:val="00E111A1"/>
    <w:rsid w:val="00E13A90"/>
    <w:rsid w:val="00E13E1E"/>
    <w:rsid w:val="00E140F4"/>
    <w:rsid w:val="00E144F2"/>
    <w:rsid w:val="00E16DE9"/>
    <w:rsid w:val="00E17DC0"/>
    <w:rsid w:val="00E2087D"/>
    <w:rsid w:val="00E215F5"/>
    <w:rsid w:val="00E22D36"/>
    <w:rsid w:val="00E23EE0"/>
    <w:rsid w:val="00E257C4"/>
    <w:rsid w:val="00E2586F"/>
    <w:rsid w:val="00E26D74"/>
    <w:rsid w:val="00E2733F"/>
    <w:rsid w:val="00E2742C"/>
    <w:rsid w:val="00E307AF"/>
    <w:rsid w:val="00E30CFB"/>
    <w:rsid w:val="00E30E7E"/>
    <w:rsid w:val="00E317E9"/>
    <w:rsid w:val="00E32FD2"/>
    <w:rsid w:val="00E337AC"/>
    <w:rsid w:val="00E33F1A"/>
    <w:rsid w:val="00E3601C"/>
    <w:rsid w:val="00E378EF"/>
    <w:rsid w:val="00E42FB4"/>
    <w:rsid w:val="00E43356"/>
    <w:rsid w:val="00E434F5"/>
    <w:rsid w:val="00E43E74"/>
    <w:rsid w:val="00E44FEB"/>
    <w:rsid w:val="00E4504E"/>
    <w:rsid w:val="00E461C5"/>
    <w:rsid w:val="00E46D51"/>
    <w:rsid w:val="00E50BF7"/>
    <w:rsid w:val="00E527B8"/>
    <w:rsid w:val="00E550C2"/>
    <w:rsid w:val="00E55D61"/>
    <w:rsid w:val="00E5631C"/>
    <w:rsid w:val="00E579E7"/>
    <w:rsid w:val="00E57A7A"/>
    <w:rsid w:val="00E57FC7"/>
    <w:rsid w:val="00E60B6B"/>
    <w:rsid w:val="00E61144"/>
    <w:rsid w:val="00E61588"/>
    <w:rsid w:val="00E62AB7"/>
    <w:rsid w:val="00E63108"/>
    <w:rsid w:val="00E65291"/>
    <w:rsid w:val="00E675B0"/>
    <w:rsid w:val="00E703AE"/>
    <w:rsid w:val="00E71D3E"/>
    <w:rsid w:val="00E738B4"/>
    <w:rsid w:val="00E74136"/>
    <w:rsid w:val="00E741CC"/>
    <w:rsid w:val="00E7427D"/>
    <w:rsid w:val="00E81DB1"/>
    <w:rsid w:val="00E84488"/>
    <w:rsid w:val="00E85C77"/>
    <w:rsid w:val="00E872F2"/>
    <w:rsid w:val="00E8791D"/>
    <w:rsid w:val="00E91018"/>
    <w:rsid w:val="00E91582"/>
    <w:rsid w:val="00E928F6"/>
    <w:rsid w:val="00E93C27"/>
    <w:rsid w:val="00E94334"/>
    <w:rsid w:val="00E955C3"/>
    <w:rsid w:val="00E95CD8"/>
    <w:rsid w:val="00E97DF6"/>
    <w:rsid w:val="00EA0103"/>
    <w:rsid w:val="00EA0F06"/>
    <w:rsid w:val="00EA42DC"/>
    <w:rsid w:val="00EA45C8"/>
    <w:rsid w:val="00EA4750"/>
    <w:rsid w:val="00EA57A0"/>
    <w:rsid w:val="00EA727F"/>
    <w:rsid w:val="00EA764C"/>
    <w:rsid w:val="00EA7F38"/>
    <w:rsid w:val="00EB09A4"/>
    <w:rsid w:val="00EB10FB"/>
    <w:rsid w:val="00EB1E14"/>
    <w:rsid w:val="00EB2251"/>
    <w:rsid w:val="00EB3DCD"/>
    <w:rsid w:val="00EB5930"/>
    <w:rsid w:val="00EB7908"/>
    <w:rsid w:val="00EB7DAA"/>
    <w:rsid w:val="00EC0786"/>
    <w:rsid w:val="00EC0B3D"/>
    <w:rsid w:val="00EC0F8C"/>
    <w:rsid w:val="00EC17D6"/>
    <w:rsid w:val="00EC19A0"/>
    <w:rsid w:val="00EC1B99"/>
    <w:rsid w:val="00EC2422"/>
    <w:rsid w:val="00EC280C"/>
    <w:rsid w:val="00EC2E2E"/>
    <w:rsid w:val="00EC2FEB"/>
    <w:rsid w:val="00EC35DA"/>
    <w:rsid w:val="00EC41C1"/>
    <w:rsid w:val="00EC4496"/>
    <w:rsid w:val="00EC495F"/>
    <w:rsid w:val="00EC561E"/>
    <w:rsid w:val="00EC6DBD"/>
    <w:rsid w:val="00EC718B"/>
    <w:rsid w:val="00EC7579"/>
    <w:rsid w:val="00ED0135"/>
    <w:rsid w:val="00ED0F6E"/>
    <w:rsid w:val="00ED45E8"/>
    <w:rsid w:val="00ED52A1"/>
    <w:rsid w:val="00ED6E4F"/>
    <w:rsid w:val="00ED6FD9"/>
    <w:rsid w:val="00ED75D2"/>
    <w:rsid w:val="00EE24D5"/>
    <w:rsid w:val="00EE2608"/>
    <w:rsid w:val="00EE327D"/>
    <w:rsid w:val="00EE4330"/>
    <w:rsid w:val="00EE558B"/>
    <w:rsid w:val="00EE6625"/>
    <w:rsid w:val="00EE70A8"/>
    <w:rsid w:val="00EF068B"/>
    <w:rsid w:val="00EF3989"/>
    <w:rsid w:val="00EF3F18"/>
    <w:rsid w:val="00EF79D4"/>
    <w:rsid w:val="00F003F7"/>
    <w:rsid w:val="00F0174B"/>
    <w:rsid w:val="00F0180D"/>
    <w:rsid w:val="00F01A3F"/>
    <w:rsid w:val="00F020F1"/>
    <w:rsid w:val="00F03CF7"/>
    <w:rsid w:val="00F03D39"/>
    <w:rsid w:val="00F05940"/>
    <w:rsid w:val="00F05A0C"/>
    <w:rsid w:val="00F05A17"/>
    <w:rsid w:val="00F07F88"/>
    <w:rsid w:val="00F1056F"/>
    <w:rsid w:val="00F11098"/>
    <w:rsid w:val="00F12DD9"/>
    <w:rsid w:val="00F150CB"/>
    <w:rsid w:val="00F15B4F"/>
    <w:rsid w:val="00F16E95"/>
    <w:rsid w:val="00F22503"/>
    <w:rsid w:val="00F242CD"/>
    <w:rsid w:val="00F252F5"/>
    <w:rsid w:val="00F3592D"/>
    <w:rsid w:val="00F36AC8"/>
    <w:rsid w:val="00F36CD0"/>
    <w:rsid w:val="00F41240"/>
    <w:rsid w:val="00F41588"/>
    <w:rsid w:val="00F4200C"/>
    <w:rsid w:val="00F42071"/>
    <w:rsid w:val="00F43559"/>
    <w:rsid w:val="00F44A4D"/>
    <w:rsid w:val="00F466E0"/>
    <w:rsid w:val="00F47165"/>
    <w:rsid w:val="00F502D1"/>
    <w:rsid w:val="00F53C03"/>
    <w:rsid w:val="00F54DB7"/>
    <w:rsid w:val="00F552A7"/>
    <w:rsid w:val="00F57B2A"/>
    <w:rsid w:val="00F57C90"/>
    <w:rsid w:val="00F57E3D"/>
    <w:rsid w:val="00F60744"/>
    <w:rsid w:val="00F63E1D"/>
    <w:rsid w:val="00F650A2"/>
    <w:rsid w:val="00F65145"/>
    <w:rsid w:val="00F65610"/>
    <w:rsid w:val="00F65F3B"/>
    <w:rsid w:val="00F66D43"/>
    <w:rsid w:val="00F713EA"/>
    <w:rsid w:val="00F71BF7"/>
    <w:rsid w:val="00F724D0"/>
    <w:rsid w:val="00F72E80"/>
    <w:rsid w:val="00F72FB3"/>
    <w:rsid w:val="00F741E3"/>
    <w:rsid w:val="00F745AF"/>
    <w:rsid w:val="00F7602F"/>
    <w:rsid w:val="00F76534"/>
    <w:rsid w:val="00F80182"/>
    <w:rsid w:val="00F8524A"/>
    <w:rsid w:val="00F85A41"/>
    <w:rsid w:val="00F86AFB"/>
    <w:rsid w:val="00F87324"/>
    <w:rsid w:val="00F87CF8"/>
    <w:rsid w:val="00F90F0A"/>
    <w:rsid w:val="00F91E37"/>
    <w:rsid w:val="00F937EF"/>
    <w:rsid w:val="00F94603"/>
    <w:rsid w:val="00F966E7"/>
    <w:rsid w:val="00F977BB"/>
    <w:rsid w:val="00F97B0B"/>
    <w:rsid w:val="00FA07E1"/>
    <w:rsid w:val="00FA1400"/>
    <w:rsid w:val="00FA3C81"/>
    <w:rsid w:val="00FA58D9"/>
    <w:rsid w:val="00FA7DF4"/>
    <w:rsid w:val="00FB03F7"/>
    <w:rsid w:val="00FB1547"/>
    <w:rsid w:val="00FB1A21"/>
    <w:rsid w:val="00FB1AB3"/>
    <w:rsid w:val="00FB268A"/>
    <w:rsid w:val="00FB2747"/>
    <w:rsid w:val="00FB2EF6"/>
    <w:rsid w:val="00FB30C5"/>
    <w:rsid w:val="00FB4AFE"/>
    <w:rsid w:val="00FB5A5D"/>
    <w:rsid w:val="00FC0689"/>
    <w:rsid w:val="00FC2345"/>
    <w:rsid w:val="00FC2617"/>
    <w:rsid w:val="00FC385F"/>
    <w:rsid w:val="00FC7868"/>
    <w:rsid w:val="00FC7CB6"/>
    <w:rsid w:val="00FD08D4"/>
    <w:rsid w:val="00FD1669"/>
    <w:rsid w:val="00FD19E9"/>
    <w:rsid w:val="00FD2688"/>
    <w:rsid w:val="00FD2F08"/>
    <w:rsid w:val="00FD2FAE"/>
    <w:rsid w:val="00FD63BE"/>
    <w:rsid w:val="00FD6C96"/>
    <w:rsid w:val="00FD79B0"/>
    <w:rsid w:val="00FE0592"/>
    <w:rsid w:val="00FE24F1"/>
    <w:rsid w:val="00FE3B08"/>
    <w:rsid w:val="00FE4A6A"/>
    <w:rsid w:val="00FE4B72"/>
    <w:rsid w:val="00FE68FF"/>
    <w:rsid w:val="00FE7B34"/>
    <w:rsid w:val="00FF20FD"/>
    <w:rsid w:val="00FF21AF"/>
    <w:rsid w:val="00FF2453"/>
    <w:rsid w:val="00FF28C6"/>
    <w:rsid w:val="00FF2934"/>
    <w:rsid w:val="00FF304E"/>
    <w:rsid w:val="00FF3615"/>
    <w:rsid w:val="00FF3621"/>
    <w:rsid w:val="00FF3CC9"/>
    <w:rsid w:val="00FF4B71"/>
    <w:rsid w:val="00FF69F9"/>
    <w:rsid w:val="2A8F2A46"/>
    <w:rsid w:val="317FB819"/>
    <w:rsid w:val="6783CA2F"/>
    <w:rsid w:val="736652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3192EA"/>
  <w15:chartTrackingRefBased/>
  <w15:docId w15:val="{CB5DECC1-73BA-4C54-A39A-DFD1A02ED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5A1"/>
    <w:rPr>
      <w:rFonts w:ascii="Times New Roman" w:hAnsi="Times New Roman"/>
      <w:sz w:val="24"/>
      <w:lang w:val="en-US"/>
    </w:rPr>
  </w:style>
  <w:style w:type="paragraph" w:styleId="Heading1">
    <w:name w:val="heading 1"/>
    <w:basedOn w:val="Normal"/>
    <w:next w:val="Normal"/>
    <w:link w:val="Heading1Char"/>
    <w:uiPriority w:val="9"/>
    <w:qFormat/>
    <w:rsid w:val="00AD3E3B"/>
    <w:pPr>
      <w:keepNext/>
      <w:keepLines/>
      <w:spacing w:before="360" w:after="80"/>
      <w:outlineLvl w:val="0"/>
    </w:pPr>
    <w:rPr>
      <w:rFonts w:eastAsiaTheme="majorEastAsia" w:cstheme="majorBidi"/>
      <w:b/>
      <w:color w:val="000000" w:themeColor="text1"/>
      <w:sz w:val="32"/>
      <w:szCs w:val="40"/>
    </w:rPr>
  </w:style>
  <w:style w:type="paragraph" w:styleId="Heading2">
    <w:name w:val="heading 2"/>
    <w:basedOn w:val="Normal"/>
    <w:next w:val="Normal"/>
    <w:link w:val="Heading2Char"/>
    <w:uiPriority w:val="9"/>
    <w:unhideWhenUsed/>
    <w:qFormat/>
    <w:rsid w:val="006B29F7"/>
    <w:pPr>
      <w:keepNext/>
      <w:keepLines/>
      <w:spacing w:before="280" w:after="200"/>
      <w:outlineLvl w:val="1"/>
    </w:pPr>
    <w:rPr>
      <w:rFonts w:eastAsiaTheme="majorEastAsia" w:cstheme="majorBidi"/>
      <w:b/>
      <w:color w:val="000000" w:themeColor="text1"/>
      <w:szCs w:val="32"/>
    </w:rPr>
  </w:style>
  <w:style w:type="paragraph" w:styleId="Heading3">
    <w:name w:val="heading 3"/>
    <w:basedOn w:val="Normal"/>
    <w:next w:val="Normal"/>
    <w:link w:val="Heading3Char"/>
    <w:uiPriority w:val="9"/>
    <w:semiHidden/>
    <w:unhideWhenUsed/>
    <w:qFormat/>
    <w:rsid w:val="0029483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9483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9483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948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48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48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48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3E3B"/>
    <w:rPr>
      <w:rFonts w:ascii="Times New Roman" w:eastAsiaTheme="majorEastAsia" w:hAnsi="Times New Roman" w:cstheme="majorBidi"/>
      <w:b/>
      <w:color w:val="000000" w:themeColor="text1"/>
      <w:sz w:val="32"/>
      <w:szCs w:val="40"/>
    </w:rPr>
  </w:style>
  <w:style w:type="character" w:customStyle="1" w:styleId="Heading2Char">
    <w:name w:val="Heading 2 Char"/>
    <w:basedOn w:val="DefaultParagraphFont"/>
    <w:link w:val="Heading2"/>
    <w:uiPriority w:val="9"/>
    <w:rsid w:val="006B29F7"/>
    <w:rPr>
      <w:rFonts w:ascii="Times New Roman" w:eastAsiaTheme="majorEastAsia" w:hAnsi="Times New Roman" w:cstheme="majorBidi"/>
      <w:b/>
      <w:color w:val="000000" w:themeColor="text1"/>
      <w:sz w:val="24"/>
      <w:szCs w:val="32"/>
    </w:rPr>
  </w:style>
  <w:style w:type="character" w:customStyle="1" w:styleId="Heading3Char">
    <w:name w:val="Heading 3 Char"/>
    <w:basedOn w:val="DefaultParagraphFont"/>
    <w:link w:val="Heading3"/>
    <w:uiPriority w:val="9"/>
    <w:semiHidden/>
    <w:rsid w:val="0029483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9483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29483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2948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48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48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483A"/>
    <w:rPr>
      <w:rFonts w:eastAsiaTheme="majorEastAsia" w:cstheme="majorBidi"/>
      <w:color w:val="272727" w:themeColor="text1" w:themeTint="D8"/>
    </w:rPr>
  </w:style>
  <w:style w:type="paragraph" w:styleId="Title">
    <w:name w:val="Title"/>
    <w:basedOn w:val="Normal"/>
    <w:next w:val="Normal"/>
    <w:link w:val="TitleChar"/>
    <w:uiPriority w:val="10"/>
    <w:qFormat/>
    <w:rsid w:val="002948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48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48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48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483A"/>
    <w:pPr>
      <w:spacing w:before="160"/>
      <w:jc w:val="center"/>
    </w:pPr>
    <w:rPr>
      <w:i/>
      <w:iCs/>
      <w:color w:val="404040" w:themeColor="text1" w:themeTint="BF"/>
    </w:rPr>
  </w:style>
  <w:style w:type="character" w:customStyle="1" w:styleId="QuoteChar">
    <w:name w:val="Quote Char"/>
    <w:basedOn w:val="DefaultParagraphFont"/>
    <w:link w:val="Quote"/>
    <w:uiPriority w:val="29"/>
    <w:rsid w:val="0029483A"/>
    <w:rPr>
      <w:i/>
      <w:iCs/>
      <w:color w:val="404040" w:themeColor="text1" w:themeTint="BF"/>
    </w:rPr>
  </w:style>
  <w:style w:type="paragraph" w:styleId="ListParagraph">
    <w:name w:val="List Paragraph"/>
    <w:basedOn w:val="Normal"/>
    <w:uiPriority w:val="34"/>
    <w:qFormat/>
    <w:rsid w:val="0029483A"/>
    <w:pPr>
      <w:ind w:left="720"/>
      <w:contextualSpacing/>
    </w:pPr>
  </w:style>
  <w:style w:type="character" w:styleId="IntenseEmphasis">
    <w:name w:val="Intense Emphasis"/>
    <w:basedOn w:val="DefaultParagraphFont"/>
    <w:uiPriority w:val="21"/>
    <w:qFormat/>
    <w:rsid w:val="0029483A"/>
    <w:rPr>
      <w:i/>
      <w:iCs/>
      <w:color w:val="2E74B5" w:themeColor="accent1" w:themeShade="BF"/>
    </w:rPr>
  </w:style>
  <w:style w:type="paragraph" w:styleId="IntenseQuote">
    <w:name w:val="Intense Quote"/>
    <w:basedOn w:val="Normal"/>
    <w:next w:val="Normal"/>
    <w:link w:val="IntenseQuoteChar"/>
    <w:uiPriority w:val="30"/>
    <w:qFormat/>
    <w:rsid w:val="0029483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9483A"/>
    <w:rPr>
      <w:i/>
      <w:iCs/>
      <w:color w:val="2E74B5" w:themeColor="accent1" w:themeShade="BF"/>
    </w:rPr>
  </w:style>
  <w:style w:type="character" w:styleId="IntenseReference">
    <w:name w:val="Intense Reference"/>
    <w:basedOn w:val="DefaultParagraphFont"/>
    <w:uiPriority w:val="32"/>
    <w:qFormat/>
    <w:rsid w:val="0029483A"/>
    <w:rPr>
      <w:b/>
      <w:bCs/>
      <w:smallCaps/>
      <w:color w:val="2E74B5" w:themeColor="accent1" w:themeShade="BF"/>
      <w:spacing w:val="5"/>
    </w:rPr>
  </w:style>
  <w:style w:type="table" w:styleId="TableGrid">
    <w:name w:val="Table Grid"/>
    <w:basedOn w:val="TableNormal"/>
    <w:uiPriority w:val="39"/>
    <w:rsid w:val="000B502A"/>
    <w:pPr>
      <w:spacing w:after="0" w:line="240" w:lineRule="auto"/>
    </w:pPr>
    <w:tblPr/>
  </w:style>
  <w:style w:type="paragraph" w:styleId="Header">
    <w:name w:val="header"/>
    <w:basedOn w:val="Normal"/>
    <w:link w:val="HeaderChar"/>
    <w:uiPriority w:val="99"/>
    <w:unhideWhenUsed/>
    <w:rsid w:val="00875298"/>
    <w:pPr>
      <w:tabs>
        <w:tab w:val="center" w:pos="4536"/>
        <w:tab w:val="right" w:pos="9072"/>
      </w:tabs>
      <w:spacing w:after="0" w:line="240" w:lineRule="auto"/>
    </w:pPr>
  </w:style>
  <w:style w:type="character" w:customStyle="1" w:styleId="HeaderChar">
    <w:name w:val="Header Char"/>
    <w:basedOn w:val="DefaultParagraphFont"/>
    <w:link w:val="Header"/>
    <w:uiPriority w:val="99"/>
    <w:rsid w:val="00875298"/>
    <w:rPr>
      <w:rFonts w:ascii="Times New Roman" w:hAnsi="Times New Roman"/>
      <w:sz w:val="20"/>
    </w:rPr>
  </w:style>
  <w:style w:type="paragraph" w:styleId="Footer">
    <w:name w:val="footer"/>
    <w:basedOn w:val="Normal"/>
    <w:link w:val="FooterChar"/>
    <w:uiPriority w:val="99"/>
    <w:unhideWhenUsed/>
    <w:rsid w:val="00875298"/>
    <w:pPr>
      <w:tabs>
        <w:tab w:val="center" w:pos="4536"/>
        <w:tab w:val="right" w:pos="9072"/>
      </w:tabs>
      <w:spacing w:after="0" w:line="240" w:lineRule="auto"/>
    </w:pPr>
  </w:style>
  <w:style w:type="character" w:customStyle="1" w:styleId="FooterChar">
    <w:name w:val="Footer Char"/>
    <w:basedOn w:val="DefaultParagraphFont"/>
    <w:link w:val="Footer"/>
    <w:uiPriority w:val="99"/>
    <w:rsid w:val="00875298"/>
    <w:rPr>
      <w:rFonts w:ascii="Times New Roman" w:hAnsi="Times New Roman"/>
      <w:sz w:val="20"/>
    </w:rPr>
  </w:style>
  <w:style w:type="table" w:styleId="ListTable1Light">
    <w:name w:val="List Table 1 Light"/>
    <w:basedOn w:val="TableNormal"/>
    <w:uiPriority w:val="46"/>
    <w:rsid w:val="00C12D51"/>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5F5F3C"/>
    <w:pPr>
      <w:spacing w:before="100" w:beforeAutospacing="1" w:after="100" w:afterAutospacing="1" w:line="240" w:lineRule="auto"/>
    </w:pPr>
    <w:rPr>
      <w:rFonts w:eastAsia="Times New Roman" w:cs="Times New Roman"/>
      <w:kern w:val="0"/>
      <w:szCs w:val="24"/>
      <w:lang w:eastAsia="en-GB"/>
      <w14:ligatures w14:val="none"/>
    </w:rPr>
  </w:style>
  <w:style w:type="table" w:styleId="PlainTable1">
    <w:name w:val="Plain Table 1"/>
    <w:basedOn w:val="TableNormal"/>
    <w:uiPriority w:val="41"/>
    <w:rsid w:val="00107F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rFonts w:ascii="Times New Roman" w:hAnsi="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E0425"/>
    <w:pPr>
      <w:spacing w:after="0" w:line="240" w:lineRule="auto"/>
    </w:pPr>
    <w:rPr>
      <w:rFonts w:ascii="Times New Roman" w:hAnsi="Times New Roman"/>
      <w:sz w:val="20"/>
    </w:rPr>
  </w:style>
  <w:style w:type="table" w:styleId="TableGridLight">
    <w:name w:val="Grid Table Light"/>
    <w:basedOn w:val="TableNormal"/>
    <w:uiPriority w:val="40"/>
    <w:rsid w:val="0092042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Nature">
    <w:name w:val="Nature"/>
    <w:basedOn w:val="TableClassic1"/>
    <w:uiPriority w:val="99"/>
    <w:rsid w:val="003B2682"/>
    <w:pPr>
      <w:spacing w:after="0" w:line="240" w:lineRule="auto"/>
    </w:pPr>
    <w:rPr>
      <w:rFonts w:ascii="Times New Roman" w:hAnsi="Times New Roman"/>
      <w:kern w:val="0"/>
      <w:sz w:val="24"/>
      <w:szCs w:val="20"/>
      <w:lang w:val="en-BE" w:eastAsia="en-BE"/>
      <w14:ligatures w14:val="none"/>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23DA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OC1">
    <w:name w:val="toc 1"/>
    <w:basedOn w:val="Normal"/>
    <w:next w:val="Normal"/>
    <w:autoRedefine/>
    <w:uiPriority w:val="39"/>
    <w:unhideWhenUsed/>
    <w:rsid w:val="006206C6"/>
    <w:pPr>
      <w:tabs>
        <w:tab w:val="right" w:leader="dot" w:pos="9062"/>
      </w:tabs>
      <w:spacing w:after="100"/>
    </w:pPr>
    <w:rPr>
      <w:b/>
      <w:bCs/>
      <w:noProof/>
      <w:color w:val="000000" w:themeColor="text1"/>
      <w:sz w:val="22"/>
    </w:rPr>
  </w:style>
  <w:style w:type="paragraph" w:styleId="TOC2">
    <w:name w:val="toc 2"/>
    <w:basedOn w:val="Normal"/>
    <w:next w:val="Normal"/>
    <w:autoRedefine/>
    <w:uiPriority w:val="39"/>
    <w:unhideWhenUsed/>
    <w:rsid w:val="009B0B95"/>
    <w:pPr>
      <w:spacing w:after="100"/>
      <w:ind w:left="200"/>
    </w:pPr>
  </w:style>
  <w:style w:type="character" w:styleId="Hyperlink">
    <w:name w:val="Hyperlink"/>
    <w:basedOn w:val="DefaultParagraphFont"/>
    <w:uiPriority w:val="99"/>
    <w:unhideWhenUsed/>
    <w:rsid w:val="009B0B95"/>
    <w:rPr>
      <w:color w:val="0563C1" w:themeColor="hyperlink"/>
      <w:u w:val="single"/>
    </w:rPr>
  </w:style>
  <w:style w:type="character" w:styleId="UnresolvedMention">
    <w:name w:val="Unresolved Mention"/>
    <w:basedOn w:val="DefaultParagraphFont"/>
    <w:uiPriority w:val="99"/>
    <w:semiHidden/>
    <w:unhideWhenUsed/>
    <w:rsid w:val="000F183D"/>
    <w:rPr>
      <w:color w:val="605E5C"/>
      <w:shd w:val="clear" w:color="auto" w:fill="E1DFDD"/>
    </w:rPr>
  </w:style>
  <w:style w:type="paragraph" w:styleId="Caption">
    <w:name w:val="caption"/>
    <w:basedOn w:val="Normal"/>
    <w:next w:val="Normal"/>
    <w:uiPriority w:val="35"/>
    <w:unhideWhenUsed/>
    <w:qFormat/>
    <w:rsid w:val="007757E2"/>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EC41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41C1"/>
    <w:rPr>
      <w:rFonts w:ascii="Segoe UI" w:hAnsi="Segoe UI" w:cs="Segoe UI"/>
      <w:sz w:val="18"/>
      <w:szCs w:val="18"/>
      <w:lang w:val="en-US"/>
    </w:rPr>
  </w:style>
  <w:style w:type="paragraph" w:styleId="Bibliography">
    <w:name w:val="Bibliography"/>
    <w:basedOn w:val="Normal"/>
    <w:next w:val="Normal"/>
    <w:uiPriority w:val="37"/>
    <w:semiHidden/>
    <w:unhideWhenUsed/>
    <w:rsid w:val="00EC41C1"/>
  </w:style>
  <w:style w:type="paragraph" w:styleId="BlockText">
    <w:name w:val="Block Text"/>
    <w:basedOn w:val="Normal"/>
    <w:uiPriority w:val="99"/>
    <w:semiHidden/>
    <w:unhideWhenUsed/>
    <w:rsid w:val="00EC41C1"/>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i/>
      <w:iCs/>
      <w:color w:val="5B9BD5" w:themeColor="accent1"/>
    </w:rPr>
  </w:style>
  <w:style w:type="paragraph" w:styleId="BodyText">
    <w:name w:val="Body Text"/>
    <w:basedOn w:val="Normal"/>
    <w:link w:val="BodyTextChar"/>
    <w:uiPriority w:val="99"/>
    <w:semiHidden/>
    <w:unhideWhenUsed/>
    <w:rsid w:val="00EC41C1"/>
    <w:pPr>
      <w:spacing w:after="120"/>
    </w:pPr>
  </w:style>
  <w:style w:type="character" w:customStyle="1" w:styleId="BodyTextChar">
    <w:name w:val="Body Text Char"/>
    <w:basedOn w:val="DefaultParagraphFont"/>
    <w:link w:val="BodyText"/>
    <w:uiPriority w:val="99"/>
    <w:semiHidden/>
    <w:rsid w:val="00EC41C1"/>
    <w:rPr>
      <w:rFonts w:ascii="Times New Roman" w:hAnsi="Times New Roman"/>
      <w:sz w:val="24"/>
      <w:lang w:val="en-US"/>
    </w:rPr>
  </w:style>
  <w:style w:type="paragraph" w:styleId="BodyText2">
    <w:name w:val="Body Text 2"/>
    <w:basedOn w:val="Normal"/>
    <w:link w:val="BodyText2Char"/>
    <w:uiPriority w:val="99"/>
    <w:semiHidden/>
    <w:unhideWhenUsed/>
    <w:rsid w:val="00EC41C1"/>
    <w:pPr>
      <w:spacing w:after="120" w:line="480" w:lineRule="auto"/>
    </w:pPr>
  </w:style>
  <w:style w:type="character" w:customStyle="1" w:styleId="BodyText2Char">
    <w:name w:val="Body Text 2 Char"/>
    <w:basedOn w:val="DefaultParagraphFont"/>
    <w:link w:val="BodyText2"/>
    <w:uiPriority w:val="99"/>
    <w:semiHidden/>
    <w:rsid w:val="00EC41C1"/>
    <w:rPr>
      <w:rFonts w:ascii="Times New Roman" w:hAnsi="Times New Roman"/>
      <w:sz w:val="24"/>
      <w:lang w:val="en-US"/>
    </w:rPr>
  </w:style>
  <w:style w:type="paragraph" w:styleId="BodyText3">
    <w:name w:val="Body Text 3"/>
    <w:basedOn w:val="Normal"/>
    <w:link w:val="BodyText3Char"/>
    <w:uiPriority w:val="99"/>
    <w:semiHidden/>
    <w:unhideWhenUsed/>
    <w:rsid w:val="00EC41C1"/>
    <w:pPr>
      <w:spacing w:after="120"/>
    </w:pPr>
    <w:rPr>
      <w:sz w:val="16"/>
      <w:szCs w:val="16"/>
    </w:rPr>
  </w:style>
  <w:style w:type="character" w:customStyle="1" w:styleId="BodyText3Char">
    <w:name w:val="Body Text 3 Char"/>
    <w:basedOn w:val="DefaultParagraphFont"/>
    <w:link w:val="BodyText3"/>
    <w:uiPriority w:val="99"/>
    <w:semiHidden/>
    <w:rsid w:val="00EC41C1"/>
    <w:rPr>
      <w:rFonts w:ascii="Times New Roman" w:hAnsi="Times New Roman"/>
      <w:sz w:val="16"/>
      <w:szCs w:val="16"/>
      <w:lang w:val="en-US"/>
    </w:rPr>
  </w:style>
  <w:style w:type="paragraph" w:styleId="BodyTextFirstIndent">
    <w:name w:val="Body Text First Indent"/>
    <w:basedOn w:val="BodyText"/>
    <w:link w:val="BodyTextFirstIndentChar"/>
    <w:uiPriority w:val="99"/>
    <w:semiHidden/>
    <w:unhideWhenUsed/>
    <w:rsid w:val="00EC41C1"/>
    <w:pPr>
      <w:spacing w:after="160"/>
      <w:ind w:firstLine="360"/>
    </w:pPr>
  </w:style>
  <w:style w:type="character" w:customStyle="1" w:styleId="BodyTextFirstIndentChar">
    <w:name w:val="Body Text First Indent Char"/>
    <w:basedOn w:val="BodyTextChar"/>
    <w:link w:val="BodyTextFirstIndent"/>
    <w:uiPriority w:val="99"/>
    <w:semiHidden/>
    <w:rsid w:val="00EC41C1"/>
    <w:rPr>
      <w:rFonts w:ascii="Times New Roman" w:hAnsi="Times New Roman"/>
      <w:sz w:val="24"/>
      <w:lang w:val="en-US"/>
    </w:rPr>
  </w:style>
  <w:style w:type="paragraph" w:styleId="BodyTextIndent">
    <w:name w:val="Body Text Indent"/>
    <w:basedOn w:val="Normal"/>
    <w:link w:val="BodyTextIndentChar"/>
    <w:uiPriority w:val="99"/>
    <w:semiHidden/>
    <w:unhideWhenUsed/>
    <w:rsid w:val="00EC41C1"/>
    <w:pPr>
      <w:spacing w:after="120"/>
      <w:ind w:left="283"/>
    </w:pPr>
  </w:style>
  <w:style w:type="character" w:customStyle="1" w:styleId="BodyTextIndentChar">
    <w:name w:val="Body Text Indent Char"/>
    <w:basedOn w:val="DefaultParagraphFont"/>
    <w:link w:val="BodyTextIndent"/>
    <w:uiPriority w:val="99"/>
    <w:semiHidden/>
    <w:rsid w:val="00EC41C1"/>
    <w:rPr>
      <w:rFonts w:ascii="Times New Roman" w:hAnsi="Times New Roman"/>
      <w:sz w:val="24"/>
      <w:lang w:val="en-US"/>
    </w:rPr>
  </w:style>
  <w:style w:type="paragraph" w:styleId="BodyTextFirstIndent2">
    <w:name w:val="Body Text First Indent 2"/>
    <w:basedOn w:val="BodyTextIndent"/>
    <w:link w:val="BodyTextFirstIndent2Char"/>
    <w:uiPriority w:val="99"/>
    <w:semiHidden/>
    <w:unhideWhenUsed/>
    <w:rsid w:val="00EC41C1"/>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EC41C1"/>
    <w:rPr>
      <w:rFonts w:ascii="Times New Roman" w:hAnsi="Times New Roman"/>
      <w:sz w:val="24"/>
      <w:lang w:val="en-US"/>
    </w:rPr>
  </w:style>
  <w:style w:type="paragraph" w:styleId="BodyTextIndent2">
    <w:name w:val="Body Text Indent 2"/>
    <w:basedOn w:val="Normal"/>
    <w:link w:val="BodyTextIndent2Char"/>
    <w:uiPriority w:val="99"/>
    <w:semiHidden/>
    <w:unhideWhenUsed/>
    <w:rsid w:val="00EC41C1"/>
    <w:pPr>
      <w:spacing w:after="120" w:line="480" w:lineRule="auto"/>
      <w:ind w:left="283"/>
    </w:pPr>
  </w:style>
  <w:style w:type="character" w:customStyle="1" w:styleId="BodyTextIndent2Char">
    <w:name w:val="Body Text Indent 2 Char"/>
    <w:basedOn w:val="DefaultParagraphFont"/>
    <w:link w:val="BodyTextIndent2"/>
    <w:uiPriority w:val="99"/>
    <w:semiHidden/>
    <w:rsid w:val="00EC41C1"/>
    <w:rPr>
      <w:rFonts w:ascii="Times New Roman" w:hAnsi="Times New Roman"/>
      <w:sz w:val="24"/>
      <w:lang w:val="en-US"/>
    </w:rPr>
  </w:style>
  <w:style w:type="paragraph" w:styleId="BodyTextIndent3">
    <w:name w:val="Body Text Indent 3"/>
    <w:basedOn w:val="Normal"/>
    <w:link w:val="BodyTextIndent3Char"/>
    <w:uiPriority w:val="99"/>
    <w:semiHidden/>
    <w:unhideWhenUsed/>
    <w:rsid w:val="00EC41C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C41C1"/>
    <w:rPr>
      <w:rFonts w:ascii="Times New Roman" w:hAnsi="Times New Roman"/>
      <w:sz w:val="16"/>
      <w:szCs w:val="16"/>
      <w:lang w:val="en-US"/>
    </w:rPr>
  </w:style>
  <w:style w:type="paragraph" w:styleId="Closing">
    <w:name w:val="Closing"/>
    <w:basedOn w:val="Normal"/>
    <w:link w:val="ClosingChar"/>
    <w:uiPriority w:val="99"/>
    <w:semiHidden/>
    <w:unhideWhenUsed/>
    <w:rsid w:val="00EC41C1"/>
    <w:pPr>
      <w:spacing w:after="0" w:line="240" w:lineRule="auto"/>
      <w:ind w:left="4252"/>
    </w:pPr>
  </w:style>
  <w:style w:type="character" w:customStyle="1" w:styleId="ClosingChar">
    <w:name w:val="Closing Char"/>
    <w:basedOn w:val="DefaultParagraphFont"/>
    <w:link w:val="Closing"/>
    <w:uiPriority w:val="99"/>
    <w:semiHidden/>
    <w:rsid w:val="00EC41C1"/>
    <w:rPr>
      <w:rFonts w:ascii="Times New Roman" w:hAnsi="Times New Roman"/>
      <w:sz w:val="24"/>
      <w:lang w:val="en-US"/>
    </w:rPr>
  </w:style>
  <w:style w:type="paragraph" w:styleId="CommentSubject">
    <w:name w:val="annotation subject"/>
    <w:basedOn w:val="CommentText"/>
    <w:next w:val="CommentText"/>
    <w:link w:val="CommentSubjectChar"/>
    <w:uiPriority w:val="99"/>
    <w:semiHidden/>
    <w:unhideWhenUsed/>
    <w:rsid w:val="00EC41C1"/>
    <w:rPr>
      <w:b/>
      <w:bCs/>
      <w:sz w:val="20"/>
    </w:rPr>
  </w:style>
  <w:style w:type="character" w:customStyle="1" w:styleId="CommentSubjectChar">
    <w:name w:val="Comment Subject Char"/>
    <w:basedOn w:val="CommentTextChar"/>
    <w:link w:val="CommentSubject"/>
    <w:uiPriority w:val="99"/>
    <w:semiHidden/>
    <w:rsid w:val="00EC41C1"/>
    <w:rPr>
      <w:rFonts w:ascii="Times New Roman" w:hAnsi="Times New Roman"/>
      <w:b/>
      <w:bCs/>
      <w:sz w:val="20"/>
      <w:szCs w:val="20"/>
      <w:lang w:val="en-US"/>
    </w:rPr>
  </w:style>
  <w:style w:type="paragraph" w:styleId="Date">
    <w:name w:val="Date"/>
    <w:basedOn w:val="Normal"/>
    <w:next w:val="Normal"/>
    <w:link w:val="DateChar"/>
    <w:uiPriority w:val="99"/>
    <w:semiHidden/>
    <w:unhideWhenUsed/>
    <w:rsid w:val="00EC41C1"/>
  </w:style>
  <w:style w:type="character" w:customStyle="1" w:styleId="DateChar">
    <w:name w:val="Date Char"/>
    <w:basedOn w:val="DefaultParagraphFont"/>
    <w:link w:val="Date"/>
    <w:uiPriority w:val="99"/>
    <w:semiHidden/>
    <w:rsid w:val="00EC41C1"/>
    <w:rPr>
      <w:rFonts w:ascii="Times New Roman" w:hAnsi="Times New Roman"/>
      <w:sz w:val="24"/>
      <w:lang w:val="en-US"/>
    </w:rPr>
  </w:style>
  <w:style w:type="paragraph" w:styleId="DocumentMap">
    <w:name w:val="Document Map"/>
    <w:basedOn w:val="Normal"/>
    <w:link w:val="DocumentMapChar"/>
    <w:uiPriority w:val="99"/>
    <w:semiHidden/>
    <w:unhideWhenUsed/>
    <w:rsid w:val="00EC41C1"/>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C41C1"/>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EC41C1"/>
    <w:pPr>
      <w:spacing w:after="0" w:line="240" w:lineRule="auto"/>
    </w:pPr>
  </w:style>
  <w:style w:type="character" w:customStyle="1" w:styleId="EmailSignatureChar">
    <w:name w:val="Email Signature Char"/>
    <w:basedOn w:val="DefaultParagraphFont"/>
    <w:link w:val="EmailSignature"/>
    <w:uiPriority w:val="99"/>
    <w:semiHidden/>
    <w:rsid w:val="00EC41C1"/>
    <w:rPr>
      <w:rFonts w:ascii="Times New Roman" w:hAnsi="Times New Roman"/>
      <w:sz w:val="24"/>
      <w:lang w:val="en-US"/>
    </w:rPr>
  </w:style>
  <w:style w:type="paragraph" w:styleId="EndnoteText">
    <w:name w:val="endnote text"/>
    <w:basedOn w:val="Normal"/>
    <w:link w:val="EndnoteTextChar"/>
    <w:uiPriority w:val="99"/>
    <w:semiHidden/>
    <w:unhideWhenUsed/>
    <w:rsid w:val="00EC41C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C41C1"/>
    <w:rPr>
      <w:rFonts w:ascii="Times New Roman" w:hAnsi="Times New Roman"/>
      <w:sz w:val="20"/>
      <w:szCs w:val="20"/>
      <w:lang w:val="en-US"/>
    </w:rPr>
  </w:style>
  <w:style w:type="paragraph" w:styleId="EnvelopeAddress">
    <w:name w:val="envelope address"/>
    <w:basedOn w:val="Normal"/>
    <w:uiPriority w:val="99"/>
    <w:semiHidden/>
    <w:unhideWhenUsed/>
    <w:rsid w:val="00EC41C1"/>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EC41C1"/>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EC41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41C1"/>
    <w:rPr>
      <w:rFonts w:ascii="Times New Roman" w:hAnsi="Times New Roman"/>
      <w:sz w:val="20"/>
      <w:szCs w:val="20"/>
      <w:lang w:val="en-US"/>
    </w:rPr>
  </w:style>
  <w:style w:type="paragraph" w:styleId="HTMLAddress">
    <w:name w:val="HTML Address"/>
    <w:basedOn w:val="Normal"/>
    <w:link w:val="HTMLAddressChar"/>
    <w:uiPriority w:val="99"/>
    <w:semiHidden/>
    <w:unhideWhenUsed/>
    <w:rsid w:val="00EC41C1"/>
    <w:pPr>
      <w:spacing w:after="0" w:line="240" w:lineRule="auto"/>
    </w:pPr>
    <w:rPr>
      <w:i/>
      <w:iCs/>
    </w:rPr>
  </w:style>
  <w:style w:type="character" w:customStyle="1" w:styleId="HTMLAddressChar">
    <w:name w:val="HTML Address Char"/>
    <w:basedOn w:val="DefaultParagraphFont"/>
    <w:link w:val="HTMLAddress"/>
    <w:uiPriority w:val="99"/>
    <w:semiHidden/>
    <w:rsid w:val="00EC41C1"/>
    <w:rPr>
      <w:rFonts w:ascii="Times New Roman" w:hAnsi="Times New Roman"/>
      <w:i/>
      <w:iCs/>
      <w:sz w:val="24"/>
      <w:lang w:val="en-US"/>
    </w:rPr>
  </w:style>
  <w:style w:type="paragraph" w:styleId="HTMLPreformatted">
    <w:name w:val="HTML Preformatted"/>
    <w:basedOn w:val="Normal"/>
    <w:link w:val="HTMLPreformattedChar"/>
    <w:uiPriority w:val="99"/>
    <w:semiHidden/>
    <w:unhideWhenUsed/>
    <w:rsid w:val="00EC41C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C41C1"/>
    <w:rPr>
      <w:rFonts w:ascii="Consolas" w:hAnsi="Consolas"/>
      <w:sz w:val="20"/>
      <w:szCs w:val="20"/>
      <w:lang w:val="en-US"/>
    </w:rPr>
  </w:style>
  <w:style w:type="paragraph" w:styleId="Index1">
    <w:name w:val="index 1"/>
    <w:basedOn w:val="Normal"/>
    <w:next w:val="Normal"/>
    <w:autoRedefine/>
    <w:uiPriority w:val="99"/>
    <w:semiHidden/>
    <w:unhideWhenUsed/>
    <w:rsid w:val="00EC41C1"/>
    <w:pPr>
      <w:spacing w:after="0" w:line="240" w:lineRule="auto"/>
      <w:ind w:left="240" w:hanging="240"/>
    </w:pPr>
  </w:style>
  <w:style w:type="paragraph" w:styleId="Index2">
    <w:name w:val="index 2"/>
    <w:basedOn w:val="Normal"/>
    <w:next w:val="Normal"/>
    <w:autoRedefine/>
    <w:uiPriority w:val="99"/>
    <w:semiHidden/>
    <w:unhideWhenUsed/>
    <w:rsid w:val="00EC41C1"/>
    <w:pPr>
      <w:spacing w:after="0" w:line="240" w:lineRule="auto"/>
      <w:ind w:left="480" w:hanging="240"/>
    </w:pPr>
  </w:style>
  <w:style w:type="paragraph" w:styleId="Index3">
    <w:name w:val="index 3"/>
    <w:basedOn w:val="Normal"/>
    <w:next w:val="Normal"/>
    <w:autoRedefine/>
    <w:uiPriority w:val="99"/>
    <w:semiHidden/>
    <w:unhideWhenUsed/>
    <w:rsid w:val="00EC41C1"/>
    <w:pPr>
      <w:spacing w:after="0" w:line="240" w:lineRule="auto"/>
      <w:ind w:left="720" w:hanging="240"/>
    </w:pPr>
  </w:style>
  <w:style w:type="paragraph" w:styleId="Index4">
    <w:name w:val="index 4"/>
    <w:basedOn w:val="Normal"/>
    <w:next w:val="Normal"/>
    <w:autoRedefine/>
    <w:uiPriority w:val="99"/>
    <w:semiHidden/>
    <w:unhideWhenUsed/>
    <w:rsid w:val="00EC41C1"/>
    <w:pPr>
      <w:spacing w:after="0" w:line="240" w:lineRule="auto"/>
      <w:ind w:left="960" w:hanging="240"/>
    </w:pPr>
  </w:style>
  <w:style w:type="paragraph" w:styleId="Index5">
    <w:name w:val="index 5"/>
    <w:basedOn w:val="Normal"/>
    <w:next w:val="Normal"/>
    <w:autoRedefine/>
    <w:uiPriority w:val="99"/>
    <w:semiHidden/>
    <w:unhideWhenUsed/>
    <w:rsid w:val="00EC41C1"/>
    <w:pPr>
      <w:spacing w:after="0" w:line="240" w:lineRule="auto"/>
      <w:ind w:left="1200" w:hanging="240"/>
    </w:pPr>
  </w:style>
  <w:style w:type="paragraph" w:styleId="Index6">
    <w:name w:val="index 6"/>
    <w:basedOn w:val="Normal"/>
    <w:next w:val="Normal"/>
    <w:autoRedefine/>
    <w:uiPriority w:val="99"/>
    <w:semiHidden/>
    <w:unhideWhenUsed/>
    <w:rsid w:val="00EC41C1"/>
    <w:pPr>
      <w:spacing w:after="0" w:line="240" w:lineRule="auto"/>
      <w:ind w:left="1440" w:hanging="240"/>
    </w:pPr>
  </w:style>
  <w:style w:type="paragraph" w:styleId="Index7">
    <w:name w:val="index 7"/>
    <w:basedOn w:val="Normal"/>
    <w:next w:val="Normal"/>
    <w:autoRedefine/>
    <w:uiPriority w:val="99"/>
    <w:semiHidden/>
    <w:unhideWhenUsed/>
    <w:rsid w:val="00EC41C1"/>
    <w:pPr>
      <w:spacing w:after="0" w:line="240" w:lineRule="auto"/>
      <w:ind w:left="1680" w:hanging="240"/>
    </w:pPr>
  </w:style>
  <w:style w:type="paragraph" w:styleId="Index8">
    <w:name w:val="index 8"/>
    <w:basedOn w:val="Normal"/>
    <w:next w:val="Normal"/>
    <w:autoRedefine/>
    <w:uiPriority w:val="99"/>
    <w:semiHidden/>
    <w:unhideWhenUsed/>
    <w:rsid w:val="00EC41C1"/>
    <w:pPr>
      <w:spacing w:after="0" w:line="240" w:lineRule="auto"/>
      <w:ind w:left="1920" w:hanging="240"/>
    </w:pPr>
  </w:style>
  <w:style w:type="paragraph" w:styleId="Index9">
    <w:name w:val="index 9"/>
    <w:basedOn w:val="Normal"/>
    <w:next w:val="Normal"/>
    <w:autoRedefine/>
    <w:uiPriority w:val="99"/>
    <w:semiHidden/>
    <w:unhideWhenUsed/>
    <w:rsid w:val="00EC41C1"/>
    <w:pPr>
      <w:spacing w:after="0" w:line="240" w:lineRule="auto"/>
      <w:ind w:left="2160" w:hanging="240"/>
    </w:pPr>
  </w:style>
  <w:style w:type="paragraph" w:styleId="IndexHeading">
    <w:name w:val="index heading"/>
    <w:basedOn w:val="Normal"/>
    <w:next w:val="Index1"/>
    <w:uiPriority w:val="99"/>
    <w:semiHidden/>
    <w:unhideWhenUsed/>
    <w:rsid w:val="00EC41C1"/>
    <w:rPr>
      <w:rFonts w:asciiTheme="majorHAnsi" w:eastAsiaTheme="majorEastAsia" w:hAnsiTheme="majorHAnsi" w:cstheme="majorBidi"/>
      <w:b/>
      <w:bCs/>
    </w:rPr>
  </w:style>
  <w:style w:type="paragraph" w:styleId="List">
    <w:name w:val="List"/>
    <w:basedOn w:val="Normal"/>
    <w:uiPriority w:val="99"/>
    <w:semiHidden/>
    <w:unhideWhenUsed/>
    <w:rsid w:val="00EC41C1"/>
    <w:pPr>
      <w:ind w:left="283" w:hanging="283"/>
      <w:contextualSpacing/>
    </w:pPr>
  </w:style>
  <w:style w:type="paragraph" w:styleId="List2">
    <w:name w:val="List 2"/>
    <w:basedOn w:val="Normal"/>
    <w:uiPriority w:val="99"/>
    <w:semiHidden/>
    <w:unhideWhenUsed/>
    <w:rsid w:val="00EC41C1"/>
    <w:pPr>
      <w:ind w:left="566" w:hanging="283"/>
      <w:contextualSpacing/>
    </w:pPr>
  </w:style>
  <w:style w:type="paragraph" w:styleId="List3">
    <w:name w:val="List 3"/>
    <w:basedOn w:val="Normal"/>
    <w:uiPriority w:val="99"/>
    <w:semiHidden/>
    <w:unhideWhenUsed/>
    <w:rsid w:val="00EC41C1"/>
    <w:pPr>
      <w:ind w:left="849" w:hanging="283"/>
      <w:contextualSpacing/>
    </w:pPr>
  </w:style>
  <w:style w:type="paragraph" w:styleId="List4">
    <w:name w:val="List 4"/>
    <w:basedOn w:val="Normal"/>
    <w:uiPriority w:val="99"/>
    <w:semiHidden/>
    <w:unhideWhenUsed/>
    <w:rsid w:val="00EC41C1"/>
    <w:pPr>
      <w:ind w:left="1132" w:hanging="283"/>
      <w:contextualSpacing/>
    </w:pPr>
  </w:style>
  <w:style w:type="paragraph" w:styleId="List5">
    <w:name w:val="List 5"/>
    <w:basedOn w:val="Normal"/>
    <w:uiPriority w:val="99"/>
    <w:semiHidden/>
    <w:unhideWhenUsed/>
    <w:rsid w:val="00EC41C1"/>
    <w:pPr>
      <w:ind w:left="1415" w:hanging="283"/>
      <w:contextualSpacing/>
    </w:pPr>
  </w:style>
  <w:style w:type="paragraph" w:styleId="ListBullet">
    <w:name w:val="List Bullet"/>
    <w:basedOn w:val="Normal"/>
    <w:uiPriority w:val="99"/>
    <w:semiHidden/>
    <w:unhideWhenUsed/>
    <w:rsid w:val="00EC41C1"/>
    <w:pPr>
      <w:numPr>
        <w:numId w:val="2"/>
      </w:numPr>
      <w:contextualSpacing/>
    </w:pPr>
  </w:style>
  <w:style w:type="paragraph" w:styleId="ListBullet2">
    <w:name w:val="List Bullet 2"/>
    <w:basedOn w:val="Normal"/>
    <w:uiPriority w:val="99"/>
    <w:semiHidden/>
    <w:unhideWhenUsed/>
    <w:rsid w:val="00EC41C1"/>
    <w:pPr>
      <w:numPr>
        <w:numId w:val="3"/>
      </w:numPr>
      <w:contextualSpacing/>
    </w:pPr>
  </w:style>
  <w:style w:type="paragraph" w:styleId="ListBullet3">
    <w:name w:val="List Bullet 3"/>
    <w:basedOn w:val="Normal"/>
    <w:uiPriority w:val="99"/>
    <w:semiHidden/>
    <w:unhideWhenUsed/>
    <w:rsid w:val="00EC41C1"/>
    <w:pPr>
      <w:numPr>
        <w:numId w:val="4"/>
      </w:numPr>
      <w:contextualSpacing/>
    </w:pPr>
  </w:style>
  <w:style w:type="paragraph" w:styleId="ListBullet4">
    <w:name w:val="List Bullet 4"/>
    <w:basedOn w:val="Normal"/>
    <w:uiPriority w:val="99"/>
    <w:semiHidden/>
    <w:unhideWhenUsed/>
    <w:rsid w:val="00EC41C1"/>
    <w:pPr>
      <w:numPr>
        <w:numId w:val="5"/>
      </w:numPr>
      <w:contextualSpacing/>
    </w:pPr>
  </w:style>
  <w:style w:type="paragraph" w:styleId="ListBullet5">
    <w:name w:val="List Bullet 5"/>
    <w:basedOn w:val="Normal"/>
    <w:uiPriority w:val="99"/>
    <w:semiHidden/>
    <w:unhideWhenUsed/>
    <w:rsid w:val="00EC41C1"/>
    <w:pPr>
      <w:numPr>
        <w:numId w:val="6"/>
      </w:numPr>
      <w:contextualSpacing/>
    </w:pPr>
  </w:style>
  <w:style w:type="paragraph" w:styleId="ListContinue">
    <w:name w:val="List Continue"/>
    <w:basedOn w:val="Normal"/>
    <w:uiPriority w:val="99"/>
    <w:semiHidden/>
    <w:unhideWhenUsed/>
    <w:rsid w:val="00EC41C1"/>
    <w:pPr>
      <w:spacing w:after="120"/>
      <w:ind w:left="283"/>
      <w:contextualSpacing/>
    </w:pPr>
  </w:style>
  <w:style w:type="paragraph" w:styleId="ListContinue2">
    <w:name w:val="List Continue 2"/>
    <w:basedOn w:val="Normal"/>
    <w:uiPriority w:val="99"/>
    <w:semiHidden/>
    <w:unhideWhenUsed/>
    <w:rsid w:val="00EC41C1"/>
    <w:pPr>
      <w:spacing w:after="120"/>
      <w:ind w:left="566"/>
      <w:contextualSpacing/>
    </w:pPr>
  </w:style>
  <w:style w:type="paragraph" w:styleId="ListContinue3">
    <w:name w:val="List Continue 3"/>
    <w:basedOn w:val="Normal"/>
    <w:uiPriority w:val="99"/>
    <w:semiHidden/>
    <w:unhideWhenUsed/>
    <w:rsid w:val="00EC41C1"/>
    <w:pPr>
      <w:spacing w:after="120"/>
      <w:ind w:left="849"/>
      <w:contextualSpacing/>
    </w:pPr>
  </w:style>
  <w:style w:type="paragraph" w:styleId="ListContinue4">
    <w:name w:val="List Continue 4"/>
    <w:basedOn w:val="Normal"/>
    <w:uiPriority w:val="99"/>
    <w:semiHidden/>
    <w:unhideWhenUsed/>
    <w:rsid w:val="00EC41C1"/>
    <w:pPr>
      <w:spacing w:after="120"/>
      <w:ind w:left="1132"/>
      <w:contextualSpacing/>
    </w:pPr>
  </w:style>
  <w:style w:type="paragraph" w:styleId="ListContinue5">
    <w:name w:val="List Continue 5"/>
    <w:basedOn w:val="Normal"/>
    <w:uiPriority w:val="99"/>
    <w:semiHidden/>
    <w:unhideWhenUsed/>
    <w:rsid w:val="00EC41C1"/>
    <w:pPr>
      <w:spacing w:after="120"/>
      <w:ind w:left="1415"/>
      <w:contextualSpacing/>
    </w:pPr>
  </w:style>
  <w:style w:type="paragraph" w:styleId="ListNumber">
    <w:name w:val="List Number"/>
    <w:basedOn w:val="Normal"/>
    <w:uiPriority w:val="99"/>
    <w:semiHidden/>
    <w:unhideWhenUsed/>
    <w:rsid w:val="00EC41C1"/>
    <w:pPr>
      <w:numPr>
        <w:numId w:val="7"/>
      </w:numPr>
      <w:contextualSpacing/>
    </w:pPr>
  </w:style>
  <w:style w:type="paragraph" w:styleId="ListNumber2">
    <w:name w:val="List Number 2"/>
    <w:basedOn w:val="Normal"/>
    <w:uiPriority w:val="99"/>
    <w:semiHidden/>
    <w:unhideWhenUsed/>
    <w:rsid w:val="00EC41C1"/>
    <w:pPr>
      <w:numPr>
        <w:numId w:val="8"/>
      </w:numPr>
      <w:contextualSpacing/>
    </w:pPr>
  </w:style>
  <w:style w:type="paragraph" w:styleId="ListNumber3">
    <w:name w:val="List Number 3"/>
    <w:basedOn w:val="Normal"/>
    <w:uiPriority w:val="99"/>
    <w:semiHidden/>
    <w:unhideWhenUsed/>
    <w:rsid w:val="00EC41C1"/>
    <w:pPr>
      <w:numPr>
        <w:numId w:val="9"/>
      </w:numPr>
      <w:contextualSpacing/>
    </w:pPr>
  </w:style>
  <w:style w:type="paragraph" w:styleId="ListNumber4">
    <w:name w:val="List Number 4"/>
    <w:basedOn w:val="Normal"/>
    <w:uiPriority w:val="99"/>
    <w:semiHidden/>
    <w:unhideWhenUsed/>
    <w:rsid w:val="00EC41C1"/>
    <w:pPr>
      <w:numPr>
        <w:numId w:val="10"/>
      </w:numPr>
      <w:contextualSpacing/>
    </w:pPr>
  </w:style>
  <w:style w:type="paragraph" w:styleId="ListNumber5">
    <w:name w:val="List Number 5"/>
    <w:basedOn w:val="Normal"/>
    <w:uiPriority w:val="99"/>
    <w:semiHidden/>
    <w:unhideWhenUsed/>
    <w:rsid w:val="00EC41C1"/>
    <w:pPr>
      <w:numPr>
        <w:numId w:val="11"/>
      </w:numPr>
      <w:contextualSpacing/>
    </w:pPr>
  </w:style>
  <w:style w:type="paragraph" w:styleId="MacroText">
    <w:name w:val="macro"/>
    <w:link w:val="MacroTextChar"/>
    <w:uiPriority w:val="99"/>
    <w:semiHidden/>
    <w:unhideWhenUsed/>
    <w:rsid w:val="00EC41C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EC41C1"/>
    <w:rPr>
      <w:rFonts w:ascii="Consolas" w:hAnsi="Consolas"/>
      <w:sz w:val="20"/>
      <w:szCs w:val="20"/>
      <w:lang w:val="en-US"/>
    </w:rPr>
  </w:style>
  <w:style w:type="paragraph" w:styleId="MessageHeader">
    <w:name w:val="Message Header"/>
    <w:basedOn w:val="Normal"/>
    <w:link w:val="MessageHeaderChar"/>
    <w:uiPriority w:val="99"/>
    <w:semiHidden/>
    <w:unhideWhenUsed/>
    <w:rsid w:val="00EC41C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EC41C1"/>
    <w:rPr>
      <w:rFonts w:asciiTheme="majorHAnsi" w:eastAsiaTheme="majorEastAsia" w:hAnsiTheme="majorHAnsi" w:cstheme="majorBidi"/>
      <w:sz w:val="24"/>
      <w:szCs w:val="24"/>
      <w:shd w:val="pct20" w:color="auto" w:fill="auto"/>
      <w:lang w:val="en-US"/>
    </w:rPr>
  </w:style>
  <w:style w:type="paragraph" w:styleId="NoSpacing">
    <w:name w:val="No Spacing"/>
    <w:uiPriority w:val="1"/>
    <w:qFormat/>
    <w:rsid w:val="00EC41C1"/>
    <w:pPr>
      <w:spacing w:after="0" w:line="240" w:lineRule="auto"/>
    </w:pPr>
    <w:rPr>
      <w:rFonts w:ascii="Times New Roman" w:hAnsi="Times New Roman"/>
      <w:sz w:val="24"/>
      <w:lang w:val="en-US"/>
    </w:rPr>
  </w:style>
  <w:style w:type="paragraph" w:styleId="NormalIndent">
    <w:name w:val="Normal Indent"/>
    <w:basedOn w:val="Normal"/>
    <w:uiPriority w:val="99"/>
    <w:semiHidden/>
    <w:unhideWhenUsed/>
    <w:rsid w:val="00EC41C1"/>
    <w:pPr>
      <w:ind w:left="720"/>
    </w:pPr>
  </w:style>
  <w:style w:type="paragraph" w:styleId="NoteHeading">
    <w:name w:val="Note Heading"/>
    <w:basedOn w:val="Normal"/>
    <w:next w:val="Normal"/>
    <w:link w:val="NoteHeadingChar"/>
    <w:uiPriority w:val="99"/>
    <w:semiHidden/>
    <w:unhideWhenUsed/>
    <w:rsid w:val="00EC41C1"/>
    <w:pPr>
      <w:spacing w:after="0" w:line="240" w:lineRule="auto"/>
    </w:pPr>
  </w:style>
  <w:style w:type="character" w:customStyle="1" w:styleId="NoteHeadingChar">
    <w:name w:val="Note Heading Char"/>
    <w:basedOn w:val="DefaultParagraphFont"/>
    <w:link w:val="NoteHeading"/>
    <w:uiPriority w:val="99"/>
    <w:semiHidden/>
    <w:rsid w:val="00EC41C1"/>
    <w:rPr>
      <w:rFonts w:ascii="Times New Roman" w:hAnsi="Times New Roman"/>
      <w:sz w:val="24"/>
      <w:lang w:val="en-US"/>
    </w:rPr>
  </w:style>
  <w:style w:type="paragraph" w:styleId="PlainText">
    <w:name w:val="Plain Text"/>
    <w:basedOn w:val="Normal"/>
    <w:link w:val="PlainTextChar"/>
    <w:uiPriority w:val="99"/>
    <w:semiHidden/>
    <w:unhideWhenUsed/>
    <w:rsid w:val="00EC41C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C41C1"/>
    <w:rPr>
      <w:rFonts w:ascii="Consolas" w:hAnsi="Consolas"/>
      <w:sz w:val="21"/>
      <w:szCs w:val="21"/>
      <w:lang w:val="en-US"/>
    </w:rPr>
  </w:style>
  <w:style w:type="paragraph" w:styleId="Salutation">
    <w:name w:val="Salutation"/>
    <w:basedOn w:val="Normal"/>
    <w:next w:val="Normal"/>
    <w:link w:val="SalutationChar"/>
    <w:uiPriority w:val="99"/>
    <w:semiHidden/>
    <w:unhideWhenUsed/>
    <w:rsid w:val="00EC41C1"/>
  </w:style>
  <w:style w:type="character" w:customStyle="1" w:styleId="SalutationChar">
    <w:name w:val="Salutation Char"/>
    <w:basedOn w:val="DefaultParagraphFont"/>
    <w:link w:val="Salutation"/>
    <w:uiPriority w:val="99"/>
    <w:semiHidden/>
    <w:rsid w:val="00EC41C1"/>
    <w:rPr>
      <w:rFonts w:ascii="Times New Roman" w:hAnsi="Times New Roman"/>
      <w:sz w:val="24"/>
      <w:lang w:val="en-US"/>
    </w:rPr>
  </w:style>
  <w:style w:type="paragraph" w:styleId="Signature">
    <w:name w:val="Signature"/>
    <w:basedOn w:val="Normal"/>
    <w:link w:val="SignatureChar"/>
    <w:uiPriority w:val="99"/>
    <w:semiHidden/>
    <w:unhideWhenUsed/>
    <w:rsid w:val="00EC41C1"/>
    <w:pPr>
      <w:spacing w:after="0" w:line="240" w:lineRule="auto"/>
      <w:ind w:left="4252"/>
    </w:pPr>
  </w:style>
  <w:style w:type="character" w:customStyle="1" w:styleId="SignatureChar">
    <w:name w:val="Signature Char"/>
    <w:basedOn w:val="DefaultParagraphFont"/>
    <w:link w:val="Signature"/>
    <w:uiPriority w:val="99"/>
    <w:semiHidden/>
    <w:rsid w:val="00EC41C1"/>
    <w:rPr>
      <w:rFonts w:ascii="Times New Roman" w:hAnsi="Times New Roman"/>
      <w:sz w:val="24"/>
      <w:lang w:val="en-US"/>
    </w:rPr>
  </w:style>
  <w:style w:type="paragraph" w:styleId="TableofAuthorities">
    <w:name w:val="table of authorities"/>
    <w:basedOn w:val="Normal"/>
    <w:next w:val="Normal"/>
    <w:uiPriority w:val="99"/>
    <w:semiHidden/>
    <w:unhideWhenUsed/>
    <w:rsid w:val="00EC41C1"/>
    <w:pPr>
      <w:spacing w:after="0"/>
      <w:ind w:left="240" w:hanging="240"/>
    </w:pPr>
  </w:style>
  <w:style w:type="paragraph" w:styleId="TableofFigures">
    <w:name w:val="table of figures"/>
    <w:basedOn w:val="Normal"/>
    <w:next w:val="Normal"/>
    <w:uiPriority w:val="99"/>
    <w:semiHidden/>
    <w:unhideWhenUsed/>
    <w:rsid w:val="00EC41C1"/>
    <w:pPr>
      <w:spacing w:after="0"/>
    </w:pPr>
  </w:style>
  <w:style w:type="paragraph" w:styleId="TOAHeading">
    <w:name w:val="toa heading"/>
    <w:basedOn w:val="Normal"/>
    <w:next w:val="Normal"/>
    <w:uiPriority w:val="99"/>
    <w:semiHidden/>
    <w:unhideWhenUsed/>
    <w:rsid w:val="00EC41C1"/>
    <w:pPr>
      <w:spacing w:before="120"/>
    </w:pPr>
    <w:rPr>
      <w:rFonts w:asciiTheme="majorHAnsi" w:eastAsiaTheme="majorEastAsia" w:hAnsiTheme="majorHAnsi" w:cstheme="majorBidi"/>
      <w:b/>
      <w:bCs/>
      <w:szCs w:val="24"/>
    </w:rPr>
  </w:style>
  <w:style w:type="paragraph" w:styleId="TOC3">
    <w:name w:val="toc 3"/>
    <w:basedOn w:val="Normal"/>
    <w:next w:val="Normal"/>
    <w:autoRedefine/>
    <w:uiPriority w:val="39"/>
    <w:semiHidden/>
    <w:unhideWhenUsed/>
    <w:rsid w:val="00EC41C1"/>
    <w:pPr>
      <w:spacing w:after="100"/>
      <w:ind w:left="480"/>
    </w:pPr>
  </w:style>
  <w:style w:type="paragraph" w:styleId="TOC4">
    <w:name w:val="toc 4"/>
    <w:basedOn w:val="Normal"/>
    <w:next w:val="Normal"/>
    <w:autoRedefine/>
    <w:uiPriority w:val="39"/>
    <w:semiHidden/>
    <w:unhideWhenUsed/>
    <w:rsid w:val="00EC41C1"/>
    <w:pPr>
      <w:spacing w:after="100"/>
      <w:ind w:left="720"/>
    </w:pPr>
  </w:style>
  <w:style w:type="paragraph" w:styleId="TOC5">
    <w:name w:val="toc 5"/>
    <w:basedOn w:val="Normal"/>
    <w:next w:val="Normal"/>
    <w:autoRedefine/>
    <w:uiPriority w:val="39"/>
    <w:semiHidden/>
    <w:unhideWhenUsed/>
    <w:rsid w:val="00EC41C1"/>
    <w:pPr>
      <w:spacing w:after="100"/>
      <w:ind w:left="960"/>
    </w:pPr>
  </w:style>
  <w:style w:type="paragraph" w:styleId="TOC6">
    <w:name w:val="toc 6"/>
    <w:basedOn w:val="Normal"/>
    <w:next w:val="Normal"/>
    <w:autoRedefine/>
    <w:uiPriority w:val="39"/>
    <w:semiHidden/>
    <w:unhideWhenUsed/>
    <w:rsid w:val="00EC41C1"/>
    <w:pPr>
      <w:spacing w:after="100"/>
      <w:ind w:left="1200"/>
    </w:pPr>
  </w:style>
  <w:style w:type="paragraph" w:styleId="TOC7">
    <w:name w:val="toc 7"/>
    <w:basedOn w:val="Normal"/>
    <w:next w:val="Normal"/>
    <w:autoRedefine/>
    <w:uiPriority w:val="39"/>
    <w:semiHidden/>
    <w:unhideWhenUsed/>
    <w:rsid w:val="00EC41C1"/>
    <w:pPr>
      <w:spacing w:after="100"/>
      <w:ind w:left="1440"/>
    </w:pPr>
  </w:style>
  <w:style w:type="paragraph" w:styleId="TOC8">
    <w:name w:val="toc 8"/>
    <w:basedOn w:val="Normal"/>
    <w:next w:val="Normal"/>
    <w:autoRedefine/>
    <w:uiPriority w:val="39"/>
    <w:semiHidden/>
    <w:unhideWhenUsed/>
    <w:rsid w:val="00EC41C1"/>
    <w:pPr>
      <w:spacing w:after="100"/>
      <w:ind w:left="1680"/>
    </w:pPr>
  </w:style>
  <w:style w:type="paragraph" w:styleId="TOC9">
    <w:name w:val="toc 9"/>
    <w:basedOn w:val="Normal"/>
    <w:next w:val="Normal"/>
    <w:autoRedefine/>
    <w:uiPriority w:val="39"/>
    <w:semiHidden/>
    <w:unhideWhenUsed/>
    <w:rsid w:val="00EC41C1"/>
    <w:pPr>
      <w:spacing w:after="100"/>
      <w:ind w:left="1920"/>
    </w:pPr>
  </w:style>
  <w:style w:type="paragraph" w:styleId="TOCHeading">
    <w:name w:val="TOC Heading"/>
    <w:basedOn w:val="Heading1"/>
    <w:next w:val="Normal"/>
    <w:uiPriority w:val="39"/>
    <w:semiHidden/>
    <w:unhideWhenUsed/>
    <w:qFormat/>
    <w:rsid w:val="00EC41C1"/>
    <w:pPr>
      <w:spacing w:before="240" w:after="0"/>
      <w:outlineLvl w:val="9"/>
    </w:pPr>
    <w:rPr>
      <w:rFonts w:asciiTheme="majorHAnsi" w:hAnsiTheme="majorHAnsi"/>
      <w:b w:val="0"/>
      <w:color w:val="2E74B5" w:themeColor="accent1" w:themeShade="BF"/>
      <w:szCs w:val="32"/>
    </w:rPr>
  </w:style>
  <w:style w:type="character" w:styleId="LineNumber">
    <w:name w:val="line number"/>
    <w:basedOn w:val="DefaultParagraphFont"/>
    <w:uiPriority w:val="99"/>
    <w:semiHidden/>
    <w:unhideWhenUsed/>
    <w:rsid w:val="00EC41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3618">
      <w:bodyDiv w:val="1"/>
      <w:marLeft w:val="0"/>
      <w:marRight w:val="0"/>
      <w:marTop w:val="0"/>
      <w:marBottom w:val="0"/>
      <w:divBdr>
        <w:top w:val="none" w:sz="0" w:space="0" w:color="auto"/>
        <w:left w:val="none" w:sz="0" w:space="0" w:color="auto"/>
        <w:bottom w:val="none" w:sz="0" w:space="0" w:color="auto"/>
        <w:right w:val="none" w:sz="0" w:space="0" w:color="auto"/>
      </w:divBdr>
    </w:div>
    <w:div w:id="58678802">
      <w:bodyDiv w:val="1"/>
      <w:marLeft w:val="0"/>
      <w:marRight w:val="0"/>
      <w:marTop w:val="0"/>
      <w:marBottom w:val="0"/>
      <w:divBdr>
        <w:top w:val="none" w:sz="0" w:space="0" w:color="auto"/>
        <w:left w:val="none" w:sz="0" w:space="0" w:color="auto"/>
        <w:bottom w:val="none" w:sz="0" w:space="0" w:color="auto"/>
        <w:right w:val="none" w:sz="0" w:space="0" w:color="auto"/>
      </w:divBdr>
    </w:div>
    <w:div w:id="61174358">
      <w:bodyDiv w:val="1"/>
      <w:marLeft w:val="0"/>
      <w:marRight w:val="0"/>
      <w:marTop w:val="0"/>
      <w:marBottom w:val="0"/>
      <w:divBdr>
        <w:top w:val="none" w:sz="0" w:space="0" w:color="auto"/>
        <w:left w:val="none" w:sz="0" w:space="0" w:color="auto"/>
        <w:bottom w:val="none" w:sz="0" w:space="0" w:color="auto"/>
        <w:right w:val="none" w:sz="0" w:space="0" w:color="auto"/>
      </w:divBdr>
    </w:div>
    <w:div w:id="67971119">
      <w:bodyDiv w:val="1"/>
      <w:marLeft w:val="0"/>
      <w:marRight w:val="0"/>
      <w:marTop w:val="0"/>
      <w:marBottom w:val="0"/>
      <w:divBdr>
        <w:top w:val="none" w:sz="0" w:space="0" w:color="auto"/>
        <w:left w:val="none" w:sz="0" w:space="0" w:color="auto"/>
        <w:bottom w:val="none" w:sz="0" w:space="0" w:color="auto"/>
        <w:right w:val="none" w:sz="0" w:space="0" w:color="auto"/>
      </w:divBdr>
    </w:div>
    <w:div w:id="87317337">
      <w:bodyDiv w:val="1"/>
      <w:marLeft w:val="0"/>
      <w:marRight w:val="0"/>
      <w:marTop w:val="0"/>
      <w:marBottom w:val="0"/>
      <w:divBdr>
        <w:top w:val="none" w:sz="0" w:space="0" w:color="auto"/>
        <w:left w:val="none" w:sz="0" w:space="0" w:color="auto"/>
        <w:bottom w:val="none" w:sz="0" w:space="0" w:color="auto"/>
        <w:right w:val="none" w:sz="0" w:space="0" w:color="auto"/>
      </w:divBdr>
    </w:div>
    <w:div w:id="89814550">
      <w:bodyDiv w:val="1"/>
      <w:marLeft w:val="0"/>
      <w:marRight w:val="0"/>
      <w:marTop w:val="0"/>
      <w:marBottom w:val="0"/>
      <w:divBdr>
        <w:top w:val="none" w:sz="0" w:space="0" w:color="auto"/>
        <w:left w:val="none" w:sz="0" w:space="0" w:color="auto"/>
        <w:bottom w:val="none" w:sz="0" w:space="0" w:color="auto"/>
        <w:right w:val="none" w:sz="0" w:space="0" w:color="auto"/>
      </w:divBdr>
    </w:div>
    <w:div w:id="91556116">
      <w:bodyDiv w:val="1"/>
      <w:marLeft w:val="0"/>
      <w:marRight w:val="0"/>
      <w:marTop w:val="0"/>
      <w:marBottom w:val="0"/>
      <w:divBdr>
        <w:top w:val="none" w:sz="0" w:space="0" w:color="auto"/>
        <w:left w:val="none" w:sz="0" w:space="0" w:color="auto"/>
        <w:bottom w:val="none" w:sz="0" w:space="0" w:color="auto"/>
        <w:right w:val="none" w:sz="0" w:space="0" w:color="auto"/>
      </w:divBdr>
    </w:div>
    <w:div w:id="92480387">
      <w:bodyDiv w:val="1"/>
      <w:marLeft w:val="0"/>
      <w:marRight w:val="0"/>
      <w:marTop w:val="0"/>
      <w:marBottom w:val="0"/>
      <w:divBdr>
        <w:top w:val="none" w:sz="0" w:space="0" w:color="auto"/>
        <w:left w:val="none" w:sz="0" w:space="0" w:color="auto"/>
        <w:bottom w:val="none" w:sz="0" w:space="0" w:color="auto"/>
        <w:right w:val="none" w:sz="0" w:space="0" w:color="auto"/>
      </w:divBdr>
    </w:div>
    <w:div w:id="135144822">
      <w:bodyDiv w:val="1"/>
      <w:marLeft w:val="0"/>
      <w:marRight w:val="0"/>
      <w:marTop w:val="0"/>
      <w:marBottom w:val="0"/>
      <w:divBdr>
        <w:top w:val="none" w:sz="0" w:space="0" w:color="auto"/>
        <w:left w:val="none" w:sz="0" w:space="0" w:color="auto"/>
        <w:bottom w:val="none" w:sz="0" w:space="0" w:color="auto"/>
        <w:right w:val="none" w:sz="0" w:space="0" w:color="auto"/>
      </w:divBdr>
    </w:div>
    <w:div w:id="162859034">
      <w:bodyDiv w:val="1"/>
      <w:marLeft w:val="0"/>
      <w:marRight w:val="0"/>
      <w:marTop w:val="0"/>
      <w:marBottom w:val="0"/>
      <w:divBdr>
        <w:top w:val="none" w:sz="0" w:space="0" w:color="auto"/>
        <w:left w:val="none" w:sz="0" w:space="0" w:color="auto"/>
        <w:bottom w:val="none" w:sz="0" w:space="0" w:color="auto"/>
        <w:right w:val="none" w:sz="0" w:space="0" w:color="auto"/>
      </w:divBdr>
    </w:div>
    <w:div w:id="190457885">
      <w:bodyDiv w:val="1"/>
      <w:marLeft w:val="0"/>
      <w:marRight w:val="0"/>
      <w:marTop w:val="0"/>
      <w:marBottom w:val="0"/>
      <w:divBdr>
        <w:top w:val="none" w:sz="0" w:space="0" w:color="auto"/>
        <w:left w:val="none" w:sz="0" w:space="0" w:color="auto"/>
        <w:bottom w:val="none" w:sz="0" w:space="0" w:color="auto"/>
        <w:right w:val="none" w:sz="0" w:space="0" w:color="auto"/>
      </w:divBdr>
    </w:div>
    <w:div w:id="216939158">
      <w:bodyDiv w:val="1"/>
      <w:marLeft w:val="0"/>
      <w:marRight w:val="0"/>
      <w:marTop w:val="0"/>
      <w:marBottom w:val="0"/>
      <w:divBdr>
        <w:top w:val="none" w:sz="0" w:space="0" w:color="auto"/>
        <w:left w:val="none" w:sz="0" w:space="0" w:color="auto"/>
        <w:bottom w:val="none" w:sz="0" w:space="0" w:color="auto"/>
        <w:right w:val="none" w:sz="0" w:space="0" w:color="auto"/>
      </w:divBdr>
    </w:div>
    <w:div w:id="217977621">
      <w:bodyDiv w:val="1"/>
      <w:marLeft w:val="0"/>
      <w:marRight w:val="0"/>
      <w:marTop w:val="0"/>
      <w:marBottom w:val="0"/>
      <w:divBdr>
        <w:top w:val="none" w:sz="0" w:space="0" w:color="auto"/>
        <w:left w:val="none" w:sz="0" w:space="0" w:color="auto"/>
        <w:bottom w:val="none" w:sz="0" w:space="0" w:color="auto"/>
        <w:right w:val="none" w:sz="0" w:space="0" w:color="auto"/>
      </w:divBdr>
    </w:div>
    <w:div w:id="219750799">
      <w:bodyDiv w:val="1"/>
      <w:marLeft w:val="0"/>
      <w:marRight w:val="0"/>
      <w:marTop w:val="0"/>
      <w:marBottom w:val="0"/>
      <w:divBdr>
        <w:top w:val="none" w:sz="0" w:space="0" w:color="auto"/>
        <w:left w:val="none" w:sz="0" w:space="0" w:color="auto"/>
        <w:bottom w:val="none" w:sz="0" w:space="0" w:color="auto"/>
        <w:right w:val="none" w:sz="0" w:space="0" w:color="auto"/>
      </w:divBdr>
    </w:div>
    <w:div w:id="240793959">
      <w:bodyDiv w:val="1"/>
      <w:marLeft w:val="0"/>
      <w:marRight w:val="0"/>
      <w:marTop w:val="0"/>
      <w:marBottom w:val="0"/>
      <w:divBdr>
        <w:top w:val="none" w:sz="0" w:space="0" w:color="auto"/>
        <w:left w:val="none" w:sz="0" w:space="0" w:color="auto"/>
        <w:bottom w:val="none" w:sz="0" w:space="0" w:color="auto"/>
        <w:right w:val="none" w:sz="0" w:space="0" w:color="auto"/>
      </w:divBdr>
    </w:div>
    <w:div w:id="259219545">
      <w:bodyDiv w:val="1"/>
      <w:marLeft w:val="0"/>
      <w:marRight w:val="0"/>
      <w:marTop w:val="0"/>
      <w:marBottom w:val="0"/>
      <w:divBdr>
        <w:top w:val="none" w:sz="0" w:space="0" w:color="auto"/>
        <w:left w:val="none" w:sz="0" w:space="0" w:color="auto"/>
        <w:bottom w:val="none" w:sz="0" w:space="0" w:color="auto"/>
        <w:right w:val="none" w:sz="0" w:space="0" w:color="auto"/>
      </w:divBdr>
    </w:div>
    <w:div w:id="273637556">
      <w:bodyDiv w:val="1"/>
      <w:marLeft w:val="0"/>
      <w:marRight w:val="0"/>
      <w:marTop w:val="0"/>
      <w:marBottom w:val="0"/>
      <w:divBdr>
        <w:top w:val="none" w:sz="0" w:space="0" w:color="auto"/>
        <w:left w:val="none" w:sz="0" w:space="0" w:color="auto"/>
        <w:bottom w:val="none" w:sz="0" w:space="0" w:color="auto"/>
        <w:right w:val="none" w:sz="0" w:space="0" w:color="auto"/>
      </w:divBdr>
    </w:div>
    <w:div w:id="295529883">
      <w:bodyDiv w:val="1"/>
      <w:marLeft w:val="0"/>
      <w:marRight w:val="0"/>
      <w:marTop w:val="0"/>
      <w:marBottom w:val="0"/>
      <w:divBdr>
        <w:top w:val="none" w:sz="0" w:space="0" w:color="auto"/>
        <w:left w:val="none" w:sz="0" w:space="0" w:color="auto"/>
        <w:bottom w:val="none" w:sz="0" w:space="0" w:color="auto"/>
        <w:right w:val="none" w:sz="0" w:space="0" w:color="auto"/>
      </w:divBdr>
    </w:div>
    <w:div w:id="356927133">
      <w:bodyDiv w:val="1"/>
      <w:marLeft w:val="0"/>
      <w:marRight w:val="0"/>
      <w:marTop w:val="0"/>
      <w:marBottom w:val="0"/>
      <w:divBdr>
        <w:top w:val="none" w:sz="0" w:space="0" w:color="auto"/>
        <w:left w:val="none" w:sz="0" w:space="0" w:color="auto"/>
        <w:bottom w:val="none" w:sz="0" w:space="0" w:color="auto"/>
        <w:right w:val="none" w:sz="0" w:space="0" w:color="auto"/>
      </w:divBdr>
    </w:div>
    <w:div w:id="367265568">
      <w:bodyDiv w:val="1"/>
      <w:marLeft w:val="0"/>
      <w:marRight w:val="0"/>
      <w:marTop w:val="0"/>
      <w:marBottom w:val="0"/>
      <w:divBdr>
        <w:top w:val="none" w:sz="0" w:space="0" w:color="auto"/>
        <w:left w:val="none" w:sz="0" w:space="0" w:color="auto"/>
        <w:bottom w:val="none" w:sz="0" w:space="0" w:color="auto"/>
        <w:right w:val="none" w:sz="0" w:space="0" w:color="auto"/>
      </w:divBdr>
    </w:div>
    <w:div w:id="368067092">
      <w:bodyDiv w:val="1"/>
      <w:marLeft w:val="0"/>
      <w:marRight w:val="0"/>
      <w:marTop w:val="0"/>
      <w:marBottom w:val="0"/>
      <w:divBdr>
        <w:top w:val="none" w:sz="0" w:space="0" w:color="auto"/>
        <w:left w:val="none" w:sz="0" w:space="0" w:color="auto"/>
        <w:bottom w:val="none" w:sz="0" w:space="0" w:color="auto"/>
        <w:right w:val="none" w:sz="0" w:space="0" w:color="auto"/>
      </w:divBdr>
    </w:div>
    <w:div w:id="377706662">
      <w:bodyDiv w:val="1"/>
      <w:marLeft w:val="0"/>
      <w:marRight w:val="0"/>
      <w:marTop w:val="0"/>
      <w:marBottom w:val="0"/>
      <w:divBdr>
        <w:top w:val="none" w:sz="0" w:space="0" w:color="auto"/>
        <w:left w:val="none" w:sz="0" w:space="0" w:color="auto"/>
        <w:bottom w:val="none" w:sz="0" w:space="0" w:color="auto"/>
        <w:right w:val="none" w:sz="0" w:space="0" w:color="auto"/>
      </w:divBdr>
    </w:div>
    <w:div w:id="386954128">
      <w:bodyDiv w:val="1"/>
      <w:marLeft w:val="0"/>
      <w:marRight w:val="0"/>
      <w:marTop w:val="0"/>
      <w:marBottom w:val="0"/>
      <w:divBdr>
        <w:top w:val="none" w:sz="0" w:space="0" w:color="auto"/>
        <w:left w:val="none" w:sz="0" w:space="0" w:color="auto"/>
        <w:bottom w:val="none" w:sz="0" w:space="0" w:color="auto"/>
        <w:right w:val="none" w:sz="0" w:space="0" w:color="auto"/>
      </w:divBdr>
    </w:div>
    <w:div w:id="391317555">
      <w:bodyDiv w:val="1"/>
      <w:marLeft w:val="0"/>
      <w:marRight w:val="0"/>
      <w:marTop w:val="0"/>
      <w:marBottom w:val="0"/>
      <w:divBdr>
        <w:top w:val="none" w:sz="0" w:space="0" w:color="auto"/>
        <w:left w:val="none" w:sz="0" w:space="0" w:color="auto"/>
        <w:bottom w:val="none" w:sz="0" w:space="0" w:color="auto"/>
        <w:right w:val="none" w:sz="0" w:space="0" w:color="auto"/>
      </w:divBdr>
    </w:div>
    <w:div w:id="413667978">
      <w:bodyDiv w:val="1"/>
      <w:marLeft w:val="0"/>
      <w:marRight w:val="0"/>
      <w:marTop w:val="0"/>
      <w:marBottom w:val="0"/>
      <w:divBdr>
        <w:top w:val="none" w:sz="0" w:space="0" w:color="auto"/>
        <w:left w:val="none" w:sz="0" w:space="0" w:color="auto"/>
        <w:bottom w:val="none" w:sz="0" w:space="0" w:color="auto"/>
        <w:right w:val="none" w:sz="0" w:space="0" w:color="auto"/>
      </w:divBdr>
    </w:div>
    <w:div w:id="418866400">
      <w:bodyDiv w:val="1"/>
      <w:marLeft w:val="0"/>
      <w:marRight w:val="0"/>
      <w:marTop w:val="0"/>
      <w:marBottom w:val="0"/>
      <w:divBdr>
        <w:top w:val="none" w:sz="0" w:space="0" w:color="auto"/>
        <w:left w:val="none" w:sz="0" w:space="0" w:color="auto"/>
        <w:bottom w:val="none" w:sz="0" w:space="0" w:color="auto"/>
        <w:right w:val="none" w:sz="0" w:space="0" w:color="auto"/>
      </w:divBdr>
    </w:div>
    <w:div w:id="481391790">
      <w:bodyDiv w:val="1"/>
      <w:marLeft w:val="0"/>
      <w:marRight w:val="0"/>
      <w:marTop w:val="0"/>
      <w:marBottom w:val="0"/>
      <w:divBdr>
        <w:top w:val="none" w:sz="0" w:space="0" w:color="auto"/>
        <w:left w:val="none" w:sz="0" w:space="0" w:color="auto"/>
        <w:bottom w:val="none" w:sz="0" w:space="0" w:color="auto"/>
        <w:right w:val="none" w:sz="0" w:space="0" w:color="auto"/>
      </w:divBdr>
    </w:div>
    <w:div w:id="537856043">
      <w:bodyDiv w:val="1"/>
      <w:marLeft w:val="0"/>
      <w:marRight w:val="0"/>
      <w:marTop w:val="0"/>
      <w:marBottom w:val="0"/>
      <w:divBdr>
        <w:top w:val="none" w:sz="0" w:space="0" w:color="auto"/>
        <w:left w:val="none" w:sz="0" w:space="0" w:color="auto"/>
        <w:bottom w:val="none" w:sz="0" w:space="0" w:color="auto"/>
        <w:right w:val="none" w:sz="0" w:space="0" w:color="auto"/>
      </w:divBdr>
    </w:div>
    <w:div w:id="538934059">
      <w:bodyDiv w:val="1"/>
      <w:marLeft w:val="0"/>
      <w:marRight w:val="0"/>
      <w:marTop w:val="0"/>
      <w:marBottom w:val="0"/>
      <w:divBdr>
        <w:top w:val="none" w:sz="0" w:space="0" w:color="auto"/>
        <w:left w:val="none" w:sz="0" w:space="0" w:color="auto"/>
        <w:bottom w:val="none" w:sz="0" w:space="0" w:color="auto"/>
        <w:right w:val="none" w:sz="0" w:space="0" w:color="auto"/>
      </w:divBdr>
    </w:div>
    <w:div w:id="577515992">
      <w:bodyDiv w:val="1"/>
      <w:marLeft w:val="0"/>
      <w:marRight w:val="0"/>
      <w:marTop w:val="0"/>
      <w:marBottom w:val="0"/>
      <w:divBdr>
        <w:top w:val="none" w:sz="0" w:space="0" w:color="auto"/>
        <w:left w:val="none" w:sz="0" w:space="0" w:color="auto"/>
        <w:bottom w:val="none" w:sz="0" w:space="0" w:color="auto"/>
        <w:right w:val="none" w:sz="0" w:space="0" w:color="auto"/>
      </w:divBdr>
    </w:div>
    <w:div w:id="585193849">
      <w:bodyDiv w:val="1"/>
      <w:marLeft w:val="0"/>
      <w:marRight w:val="0"/>
      <w:marTop w:val="0"/>
      <w:marBottom w:val="0"/>
      <w:divBdr>
        <w:top w:val="none" w:sz="0" w:space="0" w:color="auto"/>
        <w:left w:val="none" w:sz="0" w:space="0" w:color="auto"/>
        <w:bottom w:val="none" w:sz="0" w:space="0" w:color="auto"/>
        <w:right w:val="none" w:sz="0" w:space="0" w:color="auto"/>
      </w:divBdr>
    </w:div>
    <w:div w:id="588388867">
      <w:bodyDiv w:val="1"/>
      <w:marLeft w:val="0"/>
      <w:marRight w:val="0"/>
      <w:marTop w:val="0"/>
      <w:marBottom w:val="0"/>
      <w:divBdr>
        <w:top w:val="none" w:sz="0" w:space="0" w:color="auto"/>
        <w:left w:val="none" w:sz="0" w:space="0" w:color="auto"/>
        <w:bottom w:val="none" w:sz="0" w:space="0" w:color="auto"/>
        <w:right w:val="none" w:sz="0" w:space="0" w:color="auto"/>
      </w:divBdr>
    </w:div>
    <w:div w:id="594902776">
      <w:bodyDiv w:val="1"/>
      <w:marLeft w:val="0"/>
      <w:marRight w:val="0"/>
      <w:marTop w:val="0"/>
      <w:marBottom w:val="0"/>
      <w:divBdr>
        <w:top w:val="none" w:sz="0" w:space="0" w:color="auto"/>
        <w:left w:val="none" w:sz="0" w:space="0" w:color="auto"/>
        <w:bottom w:val="none" w:sz="0" w:space="0" w:color="auto"/>
        <w:right w:val="none" w:sz="0" w:space="0" w:color="auto"/>
      </w:divBdr>
    </w:div>
    <w:div w:id="599608927">
      <w:bodyDiv w:val="1"/>
      <w:marLeft w:val="0"/>
      <w:marRight w:val="0"/>
      <w:marTop w:val="0"/>
      <w:marBottom w:val="0"/>
      <w:divBdr>
        <w:top w:val="none" w:sz="0" w:space="0" w:color="auto"/>
        <w:left w:val="none" w:sz="0" w:space="0" w:color="auto"/>
        <w:bottom w:val="none" w:sz="0" w:space="0" w:color="auto"/>
        <w:right w:val="none" w:sz="0" w:space="0" w:color="auto"/>
      </w:divBdr>
    </w:div>
    <w:div w:id="600601118">
      <w:bodyDiv w:val="1"/>
      <w:marLeft w:val="0"/>
      <w:marRight w:val="0"/>
      <w:marTop w:val="0"/>
      <w:marBottom w:val="0"/>
      <w:divBdr>
        <w:top w:val="none" w:sz="0" w:space="0" w:color="auto"/>
        <w:left w:val="none" w:sz="0" w:space="0" w:color="auto"/>
        <w:bottom w:val="none" w:sz="0" w:space="0" w:color="auto"/>
        <w:right w:val="none" w:sz="0" w:space="0" w:color="auto"/>
      </w:divBdr>
    </w:div>
    <w:div w:id="601960033">
      <w:bodyDiv w:val="1"/>
      <w:marLeft w:val="0"/>
      <w:marRight w:val="0"/>
      <w:marTop w:val="0"/>
      <w:marBottom w:val="0"/>
      <w:divBdr>
        <w:top w:val="none" w:sz="0" w:space="0" w:color="auto"/>
        <w:left w:val="none" w:sz="0" w:space="0" w:color="auto"/>
        <w:bottom w:val="none" w:sz="0" w:space="0" w:color="auto"/>
        <w:right w:val="none" w:sz="0" w:space="0" w:color="auto"/>
      </w:divBdr>
    </w:div>
    <w:div w:id="611205856">
      <w:bodyDiv w:val="1"/>
      <w:marLeft w:val="0"/>
      <w:marRight w:val="0"/>
      <w:marTop w:val="0"/>
      <w:marBottom w:val="0"/>
      <w:divBdr>
        <w:top w:val="none" w:sz="0" w:space="0" w:color="auto"/>
        <w:left w:val="none" w:sz="0" w:space="0" w:color="auto"/>
        <w:bottom w:val="none" w:sz="0" w:space="0" w:color="auto"/>
        <w:right w:val="none" w:sz="0" w:space="0" w:color="auto"/>
      </w:divBdr>
    </w:div>
    <w:div w:id="619992550">
      <w:bodyDiv w:val="1"/>
      <w:marLeft w:val="0"/>
      <w:marRight w:val="0"/>
      <w:marTop w:val="0"/>
      <w:marBottom w:val="0"/>
      <w:divBdr>
        <w:top w:val="none" w:sz="0" w:space="0" w:color="auto"/>
        <w:left w:val="none" w:sz="0" w:space="0" w:color="auto"/>
        <w:bottom w:val="none" w:sz="0" w:space="0" w:color="auto"/>
        <w:right w:val="none" w:sz="0" w:space="0" w:color="auto"/>
      </w:divBdr>
    </w:div>
    <w:div w:id="631789878">
      <w:bodyDiv w:val="1"/>
      <w:marLeft w:val="0"/>
      <w:marRight w:val="0"/>
      <w:marTop w:val="0"/>
      <w:marBottom w:val="0"/>
      <w:divBdr>
        <w:top w:val="none" w:sz="0" w:space="0" w:color="auto"/>
        <w:left w:val="none" w:sz="0" w:space="0" w:color="auto"/>
        <w:bottom w:val="none" w:sz="0" w:space="0" w:color="auto"/>
        <w:right w:val="none" w:sz="0" w:space="0" w:color="auto"/>
      </w:divBdr>
    </w:div>
    <w:div w:id="643387859">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95932225">
      <w:bodyDiv w:val="1"/>
      <w:marLeft w:val="0"/>
      <w:marRight w:val="0"/>
      <w:marTop w:val="0"/>
      <w:marBottom w:val="0"/>
      <w:divBdr>
        <w:top w:val="none" w:sz="0" w:space="0" w:color="auto"/>
        <w:left w:val="none" w:sz="0" w:space="0" w:color="auto"/>
        <w:bottom w:val="none" w:sz="0" w:space="0" w:color="auto"/>
        <w:right w:val="none" w:sz="0" w:space="0" w:color="auto"/>
      </w:divBdr>
    </w:div>
    <w:div w:id="711921341">
      <w:bodyDiv w:val="1"/>
      <w:marLeft w:val="0"/>
      <w:marRight w:val="0"/>
      <w:marTop w:val="0"/>
      <w:marBottom w:val="0"/>
      <w:divBdr>
        <w:top w:val="none" w:sz="0" w:space="0" w:color="auto"/>
        <w:left w:val="none" w:sz="0" w:space="0" w:color="auto"/>
        <w:bottom w:val="none" w:sz="0" w:space="0" w:color="auto"/>
        <w:right w:val="none" w:sz="0" w:space="0" w:color="auto"/>
      </w:divBdr>
    </w:div>
    <w:div w:id="729109077">
      <w:bodyDiv w:val="1"/>
      <w:marLeft w:val="0"/>
      <w:marRight w:val="0"/>
      <w:marTop w:val="0"/>
      <w:marBottom w:val="0"/>
      <w:divBdr>
        <w:top w:val="none" w:sz="0" w:space="0" w:color="auto"/>
        <w:left w:val="none" w:sz="0" w:space="0" w:color="auto"/>
        <w:bottom w:val="none" w:sz="0" w:space="0" w:color="auto"/>
        <w:right w:val="none" w:sz="0" w:space="0" w:color="auto"/>
      </w:divBdr>
    </w:div>
    <w:div w:id="735857149">
      <w:bodyDiv w:val="1"/>
      <w:marLeft w:val="0"/>
      <w:marRight w:val="0"/>
      <w:marTop w:val="0"/>
      <w:marBottom w:val="0"/>
      <w:divBdr>
        <w:top w:val="none" w:sz="0" w:space="0" w:color="auto"/>
        <w:left w:val="none" w:sz="0" w:space="0" w:color="auto"/>
        <w:bottom w:val="none" w:sz="0" w:space="0" w:color="auto"/>
        <w:right w:val="none" w:sz="0" w:space="0" w:color="auto"/>
      </w:divBdr>
    </w:div>
    <w:div w:id="767583833">
      <w:bodyDiv w:val="1"/>
      <w:marLeft w:val="0"/>
      <w:marRight w:val="0"/>
      <w:marTop w:val="0"/>
      <w:marBottom w:val="0"/>
      <w:divBdr>
        <w:top w:val="none" w:sz="0" w:space="0" w:color="auto"/>
        <w:left w:val="none" w:sz="0" w:space="0" w:color="auto"/>
        <w:bottom w:val="none" w:sz="0" w:space="0" w:color="auto"/>
        <w:right w:val="none" w:sz="0" w:space="0" w:color="auto"/>
      </w:divBdr>
    </w:div>
    <w:div w:id="799539974">
      <w:bodyDiv w:val="1"/>
      <w:marLeft w:val="0"/>
      <w:marRight w:val="0"/>
      <w:marTop w:val="0"/>
      <w:marBottom w:val="0"/>
      <w:divBdr>
        <w:top w:val="none" w:sz="0" w:space="0" w:color="auto"/>
        <w:left w:val="none" w:sz="0" w:space="0" w:color="auto"/>
        <w:bottom w:val="none" w:sz="0" w:space="0" w:color="auto"/>
        <w:right w:val="none" w:sz="0" w:space="0" w:color="auto"/>
      </w:divBdr>
      <w:divsChild>
        <w:div w:id="1577981164">
          <w:marLeft w:val="0"/>
          <w:marRight w:val="0"/>
          <w:marTop w:val="0"/>
          <w:marBottom w:val="0"/>
          <w:divBdr>
            <w:top w:val="none" w:sz="0" w:space="0" w:color="auto"/>
            <w:left w:val="none" w:sz="0" w:space="0" w:color="auto"/>
            <w:bottom w:val="none" w:sz="0" w:space="0" w:color="auto"/>
            <w:right w:val="none" w:sz="0" w:space="0" w:color="auto"/>
          </w:divBdr>
        </w:div>
      </w:divsChild>
    </w:div>
    <w:div w:id="838618985">
      <w:bodyDiv w:val="1"/>
      <w:marLeft w:val="0"/>
      <w:marRight w:val="0"/>
      <w:marTop w:val="0"/>
      <w:marBottom w:val="0"/>
      <w:divBdr>
        <w:top w:val="none" w:sz="0" w:space="0" w:color="auto"/>
        <w:left w:val="none" w:sz="0" w:space="0" w:color="auto"/>
        <w:bottom w:val="none" w:sz="0" w:space="0" w:color="auto"/>
        <w:right w:val="none" w:sz="0" w:space="0" w:color="auto"/>
      </w:divBdr>
    </w:div>
    <w:div w:id="847642766">
      <w:bodyDiv w:val="1"/>
      <w:marLeft w:val="0"/>
      <w:marRight w:val="0"/>
      <w:marTop w:val="0"/>
      <w:marBottom w:val="0"/>
      <w:divBdr>
        <w:top w:val="none" w:sz="0" w:space="0" w:color="auto"/>
        <w:left w:val="none" w:sz="0" w:space="0" w:color="auto"/>
        <w:bottom w:val="none" w:sz="0" w:space="0" w:color="auto"/>
        <w:right w:val="none" w:sz="0" w:space="0" w:color="auto"/>
      </w:divBdr>
    </w:div>
    <w:div w:id="866679580">
      <w:bodyDiv w:val="1"/>
      <w:marLeft w:val="0"/>
      <w:marRight w:val="0"/>
      <w:marTop w:val="0"/>
      <w:marBottom w:val="0"/>
      <w:divBdr>
        <w:top w:val="none" w:sz="0" w:space="0" w:color="auto"/>
        <w:left w:val="none" w:sz="0" w:space="0" w:color="auto"/>
        <w:bottom w:val="none" w:sz="0" w:space="0" w:color="auto"/>
        <w:right w:val="none" w:sz="0" w:space="0" w:color="auto"/>
      </w:divBdr>
    </w:div>
    <w:div w:id="886455648">
      <w:bodyDiv w:val="1"/>
      <w:marLeft w:val="0"/>
      <w:marRight w:val="0"/>
      <w:marTop w:val="0"/>
      <w:marBottom w:val="0"/>
      <w:divBdr>
        <w:top w:val="none" w:sz="0" w:space="0" w:color="auto"/>
        <w:left w:val="none" w:sz="0" w:space="0" w:color="auto"/>
        <w:bottom w:val="none" w:sz="0" w:space="0" w:color="auto"/>
        <w:right w:val="none" w:sz="0" w:space="0" w:color="auto"/>
      </w:divBdr>
    </w:div>
    <w:div w:id="898249572">
      <w:bodyDiv w:val="1"/>
      <w:marLeft w:val="0"/>
      <w:marRight w:val="0"/>
      <w:marTop w:val="0"/>
      <w:marBottom w:val="0"/>
      <w:divBdr>
        <w:top w:val="none" w:sz="0" w:space="0" w:color="auto"/>
        <w:left w:val="none" w:sz="0" w:space="0" w:color="auto"/>
        <w:bottom w:val="none" w:sz="0" w:space="0" w:color="auto"/>
        <w:right w:val="none" w:sz="0" w:space="0" w:color="auto"/>
      </w:divBdr>
    </w:div>
    <w:div w:id="978263507">
      <w:bodyDiv w:val="1"/>
      <w:marLeft w:val="0"/>
      <w:marRight w:val="0"/>
      <w:marTop w:val="0"/>
      <w:marBottom w:val="0"/>
      <w:divBdr>
        <w:top w:val="none" w:sz="0" w:space="0" w:color="auto"/>
        <w:left w:val="none" w:sz="0" w:space="0" w:color="auto"/>
        <w:bottom w:val="none" w:sz="0" w:space="0" w:color="auto"/>
        <w:right w:val="none" w:sz="0" w:space="0" w:color="auto"/>
      </w:divBdr>
    </w:div>
    <w:div w:id="997001591">
      <w:bodyDiv w:val="1"/>
      <w:marLeft w:val="0"/>
      <w:marRight w:val="0"/>
      <w:marTop w:val="0"/>
      <w:marBottom w:val="0"/>
      <w:divBdr>
        <w:top w:val="none" w:sz="0" w:space="0" w:color="auto"/>
        <w:left w:val="none" w:sz="0" w:space="0" w:color="auto"/>
        <w:bottom w:val="none" w:sz="0" w:space="0" w:color="auto"/>
        <w:right w:val="none" w:sz="0" w:space="0" w:color="auto"/>
      </w:divBdr>
    </w:div>
    <w:div w:id="1048146949">
      <w:bodyDiv w:val="1"/>
      <w:marLeft w:val="0"/>
      <w:marRight w:val="0"/>
      <w:marTop w:val="0"/>
      <w:marBottom w:val="0"/>
      <w:divBdr>
        <w:top w:val="none" w:sz="0" w:space="0" w:color="auto"/>
        <w:left w:val="none" w:sz="0" w:space="0" w:color="auto"/>
        <w:bottom w:val="none" w:sz="0" w:space="0" w:color="auto"/>
        <w:right w:val="none" w:sz="0" w:space="0" w:color="auto"/>
      </w:divBdr>
    </w:div>
    <w:div w:id="1091245817">
      <w:bodyDiv w:val="1"/>
      <w:marLeft w:val="0"/>
      <w:marRight w:val="0"/>
      <w:marTop w:val="0"/>
      <w:marBottom w:val="0"/>
      <w:divBdr>
        <w:top w:val="none" w:sz="0" w:space="0" w:color="auto"/>
        <w:left w:val="none" w:sz="0" w:space="0" w:color="auto"/>
        <w:bottom w:val="none" w:sz="0" w:space="0" w:color="auto"/>
        <w:right w:val="none" w:sz="0" w:space="0" w:color="auto"/>
      </w:divBdr>
    </w:div>
    <w:div w:id="1096555137">
      <w:bodyDiv w:val="1"/>
      <w:marLeft w:val="0"/>
      <w:marRight w:val="0"/>
      <w:marTop w:val="0"/>
      <w:marBottom w:val="0"/>
      <w:divBdr>
        <w:top w:val="none" w:sz="0" w:space="0" w:color="auto"/>
        <w:left w:val="none" w:sz="0" w:space="0" w:color="auto"/>
        <w:bottom w:val="none" w:sz="0" w:space="0" w:color="auto"/>
        <w:right w:val="none" w:sz="0" w:space="0" w:color="auto"/>
      </w:divBdr>
    </w:div>
    <w:div w:id="1111584904">
      <w:bodyDiv w:val="1"/>
      <w:marLeft w:val="0"/>
      <w:marRight w:val="0"/>
      <w:marTop w:val="0"/>
      <w:marBottom w:val="0"/>
      <w:divBdr>
        <w:top w:val="none" w:sz="0" w:space="0" w:color="auto"/>
        <w:left w:val="none" w:sz="0" w:space="0" w:color="auto"/>
        <w:bottom w:val="none" w:sz="0" w:space="0" w:color="auto"/>
        <w:right w:val="none" w:sz="0" w:space="0" w:color="auto"/>
      </w:divBdr>
    </w:div>
    <w:div w:id="1113286576">
      <w:bodyDiv w:val="1"/>
      <w:marLeft w:val="0"/>
      <w:marRight w:val="0"/>
      <w:marTop w:val="0"/>
      <w:marBottom w:val="0"/>
      <w:divBdr>
        <w:top w:val="none" w:sz="0" w:space="0" w:color="auto"/>
        <w:left w:val="none" w:sz="0" w:space="0" w:color="auto"/>
        <w:bottom w:val="none" w:sz="0" w:space="0" w:color="auto"/>
        <w:right w:val="none" w:sz="0" w:space="0" w:color="auto"/>
      </w:divBdr>
    </w:div>
    <w:div w:id="1157498461">
      <w:bodyDiv w:val="1"/>
      <w:marLeft w:val="0"/>
      <w:marRight w:val="0"/>
      <w:marTop w:val="0"/>
      <w:marBottom w:val="0"/>
      <w:divBdr>
        <w:top w:val="none" w:sz="0" w:space="0" w:color="auto"/>
        <w:left w:val="none" w:sz="0" w:space="0" w:color="auto"/>
        <w:bottom w:val="none" w:sz="0" w:space="0" w:color="auto"/>
        <w:right w:val="none" w:sz="0" w:space="0" w:color="auto"/>
      </w:divBdr>
    </w:div>
    <w:div w:id="1213885008">
      <w:bodyDiv w:val="1"/>
      <w:marLeft w:val="0"/>
      <w:marRight w:val="0"/>
      <w:marTop w:val="0"/>
      <w:marBottom w:val="0"/>
      <w:divBdr>
        <w:top w:val="none" w:sz="0" w:space="0" w:color="auto"/>
        <w:left w:val="none" w:sz="0" w:space="0" w:color="auto"/>
        <w:bottom w:val="none" w:sz="0" w:space="0" w:color="auto"/>
        <w:right w:val="none" w:sz="0" w:space="0" w:color="auto"/>
      </w:divBdr>
    </w:div>
    <w:div w:id="1253320468">
      <w:bodyDiv w:val="1"/>
      <w:marLeft w:val="0"/>
      <w:marRight w:val="0"/>
      <w:marTop w:val="0"/>
      <w:marBottom w:val="0"/>
      <w:divBdr>
        <w:top w:val="none" w:sz="0" w:space="0" w:color="auto"/>
        <w:left w:val="none" w:sz="0" w:space="0" w:color="auto"/>
        <w:bottom w:val="none" w:sz="0" w:space="0" w:color="auto"/>
        <w:right w:val="none" w:sz="0" w:space="0" w:color="auto"/>
      </w:divBdr>
    </w:div>
    <w:div w:id="1267302100">
      <w:bodyDiv w:val="1"/>
      <w:marLeft w:val="0"/>
      <w:marRight w:val="0"/>
      <w:marTop w:val="0"/>
      <w:marBottom w:val="0"/>
      <w:divBdr>
        <w:top w:val="none" w:sz="0" w:space="0" w:color="auto"/>
        <w:left w:val="none" w:sz="0" w:space="0" w:color="auto"/>
        <w:bottom w:val="none" w:sz="0" w:space="0" w:color="auto"/>
        <w:right w:val="none" w:sz="0" w:space="0" w:color="auto"/>
      </w:divBdr>
    </w:div>
    <w:div w:id="1269238866">
      <w:bodyDiv w:val="1"/>
      <w:marLeft w:val="0"/>
      <w:marRight w:val="0"/>
      <w:marTop w:val="0"/>
      <w:marBottom w:val="0"/>
      <w:divBdr>
        <w:top w:val="none" w:sz="0" w:space="0" w:color="auto"/>
        <w:left w:val="none" w:sz="0" w:space="0" w:color="auto"/>
        <w:bottom w:val="none" w:sz="0" w:space="0" w:color="auto"/>
        <w:right w:val="none" w:sz="0" w:space="0" w:color="auto"/>
      </w:divBdr>
    </w:div>
    <w:div w:id="1271821173">
      <w:bodyDiv w:val="1"/>
      <w:marLeft w:val="0"/>
      <w:marRight w:val="0"/>
      <w:marTop w:val="0"/>
      <w:marBottom w:val="0"/>
      <w:divBdr>
        <w:top w:val="none" w:sz="0" w:space="0" w:color="auto"/>
        <w:left w:val="none" w:sz="0" w:space="0" w:color="auto"/>
        <w:bottom w:val="none" w:sz="0" w:space="0" w:color="auto"/>
        <w:right w:val="none" w:sz="0" w:space="0" w:color="auto"/>
      </w:divBdr>
    </w:div>
    <w:div w:id="1282960640">
      <w:bodyDiv w:val="1"/>
      <w:marLeft w:val="0"/>
      <w:marRight w:val="0"/>
      <w:marTop w:val="0"/>
      <w:marBottom w:val="0"/>
      <w:divBdr>
        <w:top w:val="none" w:sz="0" w:space="0" w:color="auto"/>
        <w:left w:val="none" w:sz="0" w:space="0" w:color="auto"/>
        <w:bottom w:val="none" w:sz="0" w:space="0" w:color="auto"/>
        <w:right w:val="none" w:sz="0" w:space="0" w:color="auto"/>
      </w:divBdr>
    </w:div>
    <w:div w:id="1287001492">
      <w:bodyDiv w:val="1"/>
      <w:marLeft w:val="0"/>
      <w:marRight w:val="0"/>
      <w:marTop w:val="0"/>
      <w:marBottom w:val="0"/>
      <w:divBdr>
        <w:top w:val="none" w:sz="0" w:space="0" w:color="auto"/>
        <w:left w:val="none" w:sz="0" w:space="0" w:color="auto"/>
        <w:bottom w:val="none" w:sz="0" w:space="0" w:color="auto"/>
        <w:right w:val="none" w:sz="0" w:space="0" w:color="auto"/>
      </w:divBdr>
    </w:div>
    <w:div w:id="1312098948">
      <w:bodyDiv w:val="1"/>
      <w:marLeft w:val="0"/>
      <w:marRight w:val="0"/>
      <w:marTop w:val="0"/>
      <w:marBottom w:val="0"/>
      <w:divBdr>
        <w:top w:val="none" w:sz="0" w:space="0" w:color="auto"/>
        <w:left w:val="none" w:sz="0" w:space="0" w:color="auto"/>
        <w:bottom w:val="none" w:sz="0" w:space="0" w:color="auto"/>
        <w:right w:val="none" w:sz="0" w:space="0" w:color="auto"/>
      </w:divBdr>
    </w:div>
    <w:div w:id="1372920425">
      <w:bodyDiv w:val="1"/>
      <w:marLeft w:val="0"/>
      <w:marRight w:val="0"/>
      <w:marTop w:val="0"/>
      <w:marBottom w:val="0"/>
      <w:divBdr>
        <w:top w:val="none" w:sz="0" w:space="0" w:color="auto"/>
        <w:left w:val="none" w:sz="0" w:space="0" w:color="auto"/>
        <w:bottom w:val="none" w:sz="0" w:space="0" w:color="auto"/>
        <w:right w:val="none" w:sz="0" w:space="0" w:color="auto"/>
      </w:divBdr>
    </w:div>
    <w:div w:id="1384982716">
      <w:bodyDiv w:val="1"/>
      <w:marLeft w:val="0"/>
      <w:marRight w:val="0"/>
      <w:marTop w:val="0"/>
      <w:marBottom w:val="0"/>
      <w:divBdr>
        <w:top w:val="none" w:sz="0" w:space="0" w:color="auto"/>
        <w:left w:val="none" w:sz="0" w:space="0" w:color="auto"/>
        <w:bottom w:val="none" w:sz="0" w:space="0" w:color="auto"/>
        <w:right w:val="none" w:sz="0" w:space="0" w:color="auto"/>
      </w:divBdr>
    </w:div>
    <w:div w:id="1469781655">
      <w:bodyDiv w:val="1"/>
      <w:marLeft w:val="0"/>
      <w:marRight w:val="0"/>
      <w:marTop w:val="0"/>
      <w:marBottom w:val="0"/>
      <w:divBdr>
        <w:top w:val="none" w:sz="0" w:space="0" w:color="auto"/>
        <w:left w:val="none" w:sz="0" w:space="0" w:color="auto"/>
        <w:bottom w:val="none" w:sz="0" w:space="0" w:color="auto"/>
        <w:right w:val="none" w:sz="0" w:space="0" w:color="auto"/>
      </w:divBdr>
    </w:div>
    <w:div w:id="1497259586">
      <w:bodyDiv w:val="1"/>
      <w:marLeft w:val="0"/>
      <w:marRight w:val="0"/>
      <w:marTop w:val="0"/>
      <w:marBottom w:val="0"/>
      <w:divBdr>
        <w:top w:val="none" w:sz="0" w:space="0" w:color="auto"/>
        <w:left w:val="none" w:sz="0" w:space="0" w:color="auto"/>
        <w:bottom w:val="none" w:sz="0" w:space="0" w:color="auto"/>
        <w:right w:val="none" w:sz="0" w:space="0" w:color="auto"/>
      </w:divBdr>
    </w:div>
    <w:div w:id="1548565110">
      <w:bodyDiv w:val="1"/>
      <w:marLeft w:val="0"/>
      <w:marRight w:val="0"/>
      <w:marTop w:val="0"/>
      <w:marBottom w:val="0"/>
      <w:divBdr>
        <w:top w:val="none" w:sz="0" w:space="0" w:color="auto"/>
        <w:left w:val="none" w:sz="0" w:space="0" w:color="auto"/>
        <w:bottom w:val="none" w:sz="0" w:space="0" w:color="auto"/>
        <w:right w:val="none" w:sz="0" w:space="0" w:color="auto"/>
      </w:divBdr>
    </w:div>
    <w:div w:id="1553225482">
      <w:bodyDiv w:val="1"/>
      <w:marLeft w:val="0"/>
      <w:marRight w:val="0"/>
      <w:marTop w:val="0"/>
      <w:marBottom w:val="0"/>
      <w:divBdr>
        <w:top w:val="none" w:sz="0" w:space="0" w:color="auto"/>
        <w:left w:val="none" w:sz="0" w:space="0" w:color="auto"/>
        <w:bottom w:val="none" w:sz="0" w:space="0" w:color="auto"/>
        <w:right w:val="none" w:sz="0" w:space="0" w:color="auto"/>
      </w:divBdr>
    </w:div>
    <w:div w:id="1582641502">
      <w:bodyDiv w:val="1"/>
      <w:marLeft w:val="0"/>
      <w:marRight w:val="0"/>
      <w:marTop w:val="0"/>
      <w:marBottom w:val="0"/>
      <w:divBdr>
        <w:top w:val="none" w:sz="0" w:space="0" w:color="auto"/>
        <w:left w:val="none" w:sz="0" w:space="0" w:color="auto"/>
        <w:bottom w:val="none" w:sz="0" w:space="0" w:color="auto"/>
        <w:right w:val="none" w:sz="0" w:space="0" w:color="auto"/>
      </w:divBdr>
    </w:div>
    <w:div w:id="1608585976">
      <w:bodyDiv w:val="1"/>
      <w:marLeft w:val="0"/>
      <w:marRight w:val="0"/>
      <w:marTop w:val="0"/>
      <w:marBottom w:val="0"/>
      <w:divBdr>
        <w:top w:val="none" w:sz="0" w:space="0" w:color="auto"/>
        <w:left w:val="none" w:sz="0" w:space="0" w:color="auto"/>
        <w:bottom w:val="none" w:sz="0" w:space="0" w:color="auto"/>
        <w:right w:val="none" w:sz="0" w:space="0" w:color="auto"/>
      </w:divBdr>
    </w:div>
    <w:div w:id="1694959016">
      <w:bodyDiv w:val="1"/>
      <w:marLeft w:val="0"/>
      <w:marRight w:val="0"/>
      <w:marTop w:val="0"/>
      <w:marBottom w:val="0"/>
      <w:divBdr>
        <w:top w:val="none" w:sz="0" w:space="0" w:color="auto"/>
        <w:left w:val="none" w:sz="0" w:space="0" w:color="auto"/>
        <w:bottom w:val="none" w:sz="0" w:space="0" w:color="auto"/>
        <w:right w:val="none" w:sz="0" w:space="0" w:color="auto"/>
      </w:divBdr>
    </w:div>
    <w:div w:id="1695224380">
      <w:bodyDiv w:val="1"/>
      <w:marLeft w:val="0"/>
      <w:marRight w:val="0"/>
      <w:marTop w:val="0"/>
      <w:marBottom w:val="0"/>
      <w:divBdr>
        <w:top w:val="none" w:sz="0" w:space="0" w:color="auto"/>
        <w:left w:val="none" w:sz="0" w:space="0" w:color="auto"/>
        <w:bottom w:val="none" w:sz="0" w:space="0" w:color="auto"/>
        <w:right w:val="none" w:sz="0" w:space="0" w:color="auto"/>
      </w:divBdr>
    </w:div>
    <w:div w:id="1742366498">
      <w:bodyDiv w:val="1"/>
      <w:marLeft w:val="0"/>
      <w:marRight w:val="0"/>
      <w:marTop w:val="0"/>
      <w:marBottom w:val="0"/>
      <w:divBdr>
        <w:top w:val="none" w:sz="0" w:space="0" w:color="auto"/>
        <w:left w:val="none" w:sz="0" w:space="0" w:color="auto"/>
        <w:bottom w:val="none" w:sz="0" w:space="0" w:color="auto"/>
        <w:right w:val="none" w:sz="0" w:space="0" w:color="auto"/>
      </w:divBdr>
    </w:div>
    <w:div w:id="1756241061">
      <w:bodyDiv w:val="1"/>
      <w:marLeft w:val="0"/>
      <w:marRight w:val="0"/>
      <w:marTop w:val="0"/>
      <w:marBottom w:val="0"/>
      <w:divBdr>
        <w:top w:val="none" w:sz="0" w:space="0" w:color="auto"/>
        <w:left w:val="none" w:sz="0" w:space="0" w:color="auto"/>
        <w:bottom w:val="none" w:sz="0" w:space="0" w:color="auto"/>
        <w:right w:val="none" w:sz="0" w:space="0" w:color="auto"/>
      </w:divBdr>
    </w:div>
    <w:div w:id="1780566361">
      <w:bodyDiv w:val="1"/>
      <w:marLeft w:val="0"/>
      <w:marRight w:val="0"/>
      <w:marTop w:val="0"/>
      <w:marBottom w:val="0"/>
      <w:divBdr>
        <w:top w:val="none" w:sz="0" w:space="0" w:color="auto"/>
        <w:left w:val="none" w:sz="0" w:space="0" w:color="auto"/>
        <w:bottom w:val="none" w:sz="0" w:space="0" w:color="auto"/>
        <w:right w:val="none" w:sz="0" w:space="0" w:color="auto"/>
      </w:divBdr>
    </w:div>
    <w:div w:id="1791782795">
      <w:bodyDiv w:val="1"/>
      <w:marLeft w:val="0"/>
      <w:marRight w:val="0"/>
      <w:marTop w:val="0"/>
      <w:marBottom w:val="0"/>
      <w:divBdr>
        <w:top w:val="none" w:sz="0" w:space="0" w:color="auto"/>
        <w:left w:val="none" w:sz="0" w:space="0" w:color="auto"/>
        <w:bottom w:val="none" w:sz="0" w:space="0" w:color="auto"/>
        <w:right w:val="none" w:sz="0" w:space="0" w:color="auto"/>
      </w:divBdr>
    </w:div>
    <w:div w:id="1813520441">
      <w:bodyDiv w:val="1"/>
      <w:marLeft w:val="0"/>
      <w:marRight w:val="0"/>
      <w:marTop w:val="0"/>
      <w:marBottom w:val="0"/>
      <w:divBdr>
        <w:top w:val="none" w:sz="0" w:space="0" w:color="auto"/>
        <w:left w:val="none" w:sz="0" w:space="0" w:color="auto"/>
        <w:bottom w:val="none" w:sz="0" w:space="0" w:color="auto"/>
        <w:right w:val="none" w:sz="0" w:space="0" w:color="auto"/>
      </w:divBdr>
    </w:div>
    <w:div w:id="1826971114">
      <w:bodyDiv w:val="1"/>
      <w:marLeft w:val="0"/>
      <w:marRight w:val="0"/>
      <w:marTop w:val="0"/>
      <w:marBottom w:val="0"/>
      <w:divBdr>
        <w:top w:val="none" w:sz="0" w:space="0" w:color="auto"/>
        <w:left w:val="none" w:sz="0" w:space="0" w:color="auto"/>
        <w:bottom w:val="none" w:sz="0" w:space="0" w:color="auto"/>
        <w:right w:val="none" w:sz="0" w:space="0" w:color="auto"/>
      </w:divBdr>
    </w:div>
    <w:div w:id="1889029826">
      <w:bodyDiv w:val="1"/>
      <w:marLeft w:val="0"/>
      <w:marRight w:val="0"/>
      <w:marTop w:val="0"/>
      <w:marBottom w:val="0"/>
      <w:divBdr>
        <w:top w:val="none" w:sz="0" w:space="0" w:color="auto"/>
        <w:left w:val="none" w:sz="0" w:space="0" w:color="auto"/>
        <w:bottom w:val="none" w:sz="0" w:space="0" w:color="auto"/>
        <w:right w:val="none" w:sz="0" w:space="0" w:color="auto"/>
      </w:divBdr>
    </w:div>
    <w:div w:id="1899588866">
      <w:bodyDiv w:val="1"/>
      <w:marLeft w:val="0"/>
      <w:marRight w:val="0"/>
      <w:marTop w:val="0"/>
      <w:marBottom w:val="0"/>
      <w:divBdr>
        <w:top w:val="none" w:sz="0" w:space="0" w:color="auto"/>
        <w:left w:val="none" w:sz="0" w:space="0" w:color="auto"/>
        <w:bottom w:val="none" w:sz="0" w:space="0" w:color="auto"/>
        <w:right w:val="none" w:sz="0" w:space="0" w:color="auto"/>
      </w:divBdr>
    </w:div>
    <w:div w:id="1928423714">
      <w:bodyDiv w:val="1"/>
      <w:marLeft w:val="0"/>
      <w:marRight w:val="0"/>
      <w:marTop w:val="0"/>
      <w:marBottom w:val="0"/>
      <w:divBdr>
        <w:top w:val="none" w:sz="0" w:space="0" w:color="auto"/>
        <w:left w:val="none" w:sz="0" w:space="0" w:color="auto"/>
        <w:bottom w:val="none" w:sz="0" w:space="0" w:color="auto"/>
        <w:right w:val="none" w:sz="0" w:space="0" w:color="auto"/>
      </w:divBdr>
    </w:div>
    <w:div w:id="1929464154">
      <w:bodyDiv w:val="1"/>
      <w:marLeft w:val="0"/>
      <w:marRight w:val="0"/>
      <w:marTop w:val="0"/>
      <w:marBottom w:val="0"/>
      <w:divBdr>
        <w:top w:val="none" w:sz="0" w:space="0" w:color="auto"/>
        <w:left w:val="none" w:sz="0" w:space="0" w:color="auto"/>
        <w:bottom w:val="none" w:sz="0" w:space="0" w:color="auto"/>
        <w:right w:val="none" w:sz="0" w:space="0" w:color="auto"/>
      </w:divBdr>
    </w:div>
    <w:div w:id="1985964760">
      <w:bodyDiv w:val="1"/>
      <w:marLeft w:val="0"/>
      <w:marRight w:val="0"/>
      <w:marTop w:val="0"/>
      <w:marBottom w:val="0"/>
      <w:divBdr>
        <w:top w:val="none" w:sz="0" w:space="0" w:color="auto"/>
        <w:left w:val="none" w:sz="0" w:space="0" w:color="auto"/>
        <w:bottom w:val="none" w:sz="0" w:space="0" w:color="auto"/>
        <w:right w:val="none" w:sz="0" w:space="0" w:color="auto"/>
      </w:divBdr>
    </w:div>
    <w:div w:id="2018999120">
      <w:bodyDiv w:val="1"/>
      <w:marLeft w:val="0"/>
      <w:marRight w:val="0"/>
      <w:marTop w:val="0"/>
      <w:marBottom w:val="0"/>
      <w:divBdr>
        <w:top w:val="none" w:sz="0" w:space="0" w:color="auto"/>
        <w:left w:val="none" w:sz="0" w:space="0" w:color="auto"/>
        <w:bottom w:val="none" w:sz="0" w:space="0" w:color="auto"/>
        <w:right w:val="none" w:sz="0" w:space="0" w:color="auto"/>
      </w:divBdr>
    </w:div>
    <w:div w:id="2037385682">
      <w:bodyDiv w:val="1"/>
      <w:marLeft w:val="0"/>
      <w:marRight w:val="0"/>
      <w:marTop w:val="0"/>
      <w:marBottom w:val="0"/>
      <w:divBdr>
        <w:top w:val="none" w:sz="0" w:space="0" w:color="auto"/>
        <w:left w:val="none" w:sz="0" w:space="0" w:color="auto"/>
        <w:bottom w:val="none" w:sz="0" w:space="0" w:color="auto"/>
        <w:right w:val="none" w:sz="0" w:space="0" w:color="auto"/>
      </w:divBdr>
    </w:div>
    <w:div w:id="2062055530">
      <w:bodyDiv w:val="1"/>
      <w:marLeft w:val="0"/>
      <w:marRight w:val="0"/>
      <w:marTop w:val="0"/>
      <w:marBottom w:val="0"/>
      <w:divBdr>
        <w:top w:val="none" w:sz="0" w:space="0" w:color="auto"/>
        <w:left w:val="none" w:sz="0" w:space="0" w:color="auto"/>
        <w:bottom w:val="none" w:sz="0" w:space="0" w:color="auto"/>
        <w:right w:val="none" w:sz="0" w:space="0" w:color="auto"/>
      </w:divBdr>
    </w:div>
    <w:div w:id="2068674871">
      <w:bodyDiv w:val="1"/>
      <w:marLeft w:val="0"/>
      <w:marRight w:val="0"/>
      <w:marTop w:val="0"/>
      <w:marBottom w:val="0"/>
      <w:divBdr>
        <w:top w:val="none" w:sz="0" w:space="0" w:color="auto"/>
        <w:left w:val="none" w:sz="0" w:space="0" w:color="auto"/>
        <w:bottom w:val="none" w:sz="0" w:space="0" w:color="auto"/>
        <w:right w:val="none" w:sz="0" w:space="0" w:color="auto"/>
      </w:divBdr>
    </w:div>
    <w:div w:id="2125614125">
      <w:bodyDiv w:val="1"/>
      <w:marLeft w:val="0"/>
      <w:marRight w:val="0"/>
      <w:marTop w:val="0"/>
      <w:marBottom w:val="0"/>
      <w:divBdr>
        <w:top w:val="none" w:sz="0" w:space="0" w:color="auto"/>
        <w:left w:val="none" w:sz="0" w:space="0" w:color="auto"/>
        <w:bottom w:val="none" w:sz="0" w:space="0" w:color="auto"/>
        <w:right w:val="none" w:sz="0" w:space="0" w:color="auto"/>
      </w:divBdr>
    </w:div>
    <w:div w:id="212672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3D0B8-E13F-4489-9938-7811EAD8F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8209</Words>
  <Characters>47782</Characters>
  <Application>Microsoft Office Word</Application>
  <DocSecurity>0</DocSecurity>
  <Lines>4343</Lines>
  <Paragraphs>3499</Paragraphs>
  <ScaleCrop>false</ScaleCrop>
  <Company>UZ Leuven</Company>
  <LinksUpToDate>false</LinksUpToDate>
  <CharactersWithSpaces>52492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Vanhoutte</dc:creator>
  <cp:keywords/>
  <dc:description/>
  <cp:lastModifiedBy>Thomas Vanhoutte</cp:lastModifiedBy>
  <cp:revision>43</cp:revision>
  <cp:lastPrinted>2026-03-04T19:46:00Z</cp:lastPrinted>
  <dcterms:created xsi:type="dcterms:W3CDTF">2026-02-25T15:20:00Z</dcterms:created>
  <dcterms:modified xsi:type="dcterms:W3CDTF">2026-03-04T20:10:00Z</dcterms:modified>
</cp:coreProperties>
</file>