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7605" w14:textId="0014D53A" w:rsidR="00B67788" w:rsidRPr="00CB6632" w:rsidRDefault="009311C6" w:rsidP="009311C6">
      <w:pPr>
        <w:spacing w:line="480" w:lineRule="auto"/>
        <w:contextualSpacing/>
        <w:rPr>
          <w:b/>
          <w:bCs/>
          <w:color w:val="000000"/>
          <w:sz w:val="20"/>
          <w:szCs w:val="20"/>
        </w:rPr>
      </w:pPr>
      <w:r>
        <w:rPr>
          <w:b/>
          <w:bCs/>
          <w:color w:val="000000"/>
          <w:sz w:val="20"/>
          <w:szCs w:val="20"/>
        </w:rPr>
        <w:t xml:space="preserve">Article title: </w:t>
      </w:r>
      <w:r w:rsidR="00B67788" w:rsidRPr="00CB6632">
        <w:rPr>
          <w:b/>
          <w:bCs/>
          <w:color w:val="000000"/>
          <w:sz w:val="20"/>
          <w:szCs w:val="20"/>
        </w:rPr>
        <w:t>Measuring and Characterizing Psychiatric Multimorbidity Among Individuals with Mental Illness</w:t>
      </w:r>
    </w:p>
    <w:p w14:paraId="05658DE1" w14:textId="77777777" w:rsidR="009311C6" w:rsidRPr="00CB6632" w:rsidRDefault="009311C6" w:rsidP="009311C6">
      <w:pPr>
        <w:spacing w:line="480" w:lineRule="auto"/>
        <w:contextualSpacing/>
        <w:rPr>
          <w:sz w:val="20"/>
          <w:szCs w:val="20"/>
        </w:rPr>
      </w:pPr>
      <w:r>
        <w:rPr>
          <w:sz w:val="20"/>
          <w:szCs w:val="20"/>
        </w:rPr>
        <w:t>Journal: Community Mental Health Journal</w:t>
      </w:r>
    </w:p>
    <w:p w14:paraId="68605EAC" w14:textId="15A7496F" w:rsidR="00B67788" w:rsidRPr="00CB6632" w:rsidRDefault="009311C6" w:rsidP="009311C6">
      <w:pPr>
        <w:spacing w:line="480" w:lineRule="auto"/>
        <w:contextualSpacing/>
        <w:rPr>
          <w:color w:val="000000"/>
          <w:sz w:val="20"/>
          <w:szCs w:val="20"/>
        </w:rPr>
      </w:pPr>
      <w:r>
        <w:rPr>
          <w:color w:val="000000"/>
          <w:sz w:val="20"/>
          <w:szCs w:val="20"/>
        </w:rPr>
        <w:t xml:space="preserve">Authors: </w:t>
      </w:r>
      <w:r w:rsidR="00BE062E">
        <w:rPr>
          <w:color w:val="000000"/>
          <w:sz w:val="20"/>
          <w:szCs w:val="20"/>
        </w:rPr>
        <w:t xml:space="preserve">Removed for double-anonymous peer review. </w:t>
      </w:r>
    </w:p>
    <w:p w14:paraId="03C09033" w14:textId="3FC86BB9" w:rsidR="00233999" w:rsidRDefault="009311C6" w:rsidP="00BE062E">
      <w:pPr>
        <w:spacing w:line="480" w:lineRule="auto"/>
        <w:contextualSpacing/>
      </w:pPr>
      <w:r>
        <w:rPr>
          <w:bCs/>
          <w:sz w:val="20"/>
          <w:szCs w:val="20"/>
        </w:rPr>
        <w:t>Corresponding author:</w:t>
      </w:r>
      <w:r w:rsidR="00B67788" w:rsidRPr="00CB6632">
        <w:rPr>
          <w:bCs/>
          <w:sz w:val="20"/>
          <w:szCs w:val="20"/>
        </w:rPr>
        <w:t xml:space="preserve"> </w:t>
      </w:r>
      <w:r w:rsidR="00BE062E">
        <w:rPr>
          <w:color w:val="000000"/>
          <w:sz w:val="20"/>
          <w:szCs w:val="20"/>
        </w:rPr>
        <w:t>Removed for double-anonymous peer review</w:t>
      </w:r>
      <w:r w:rsidR="00927B62">
        <w:rPr>
          <w:color w:val="000000"/>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4273"/>
      </w:tblGrid>
      <w:tr w:rsidR="00B67788" w:rsidRPr="00254CA5" w14:paraId="5AE86B87" w14:textId="77777777" w:rsidTr="00795EA5">
        <w:tc>
          <w:tcPr>
            <w:tcW w:w="8630" w:type="dxa"/>
            <w:gridSpan w:val="2"/>
            <w:tcBorders>
              <w:bottom w:val="single" w:sz="4" w:space="0" w:color="auto"/>
            </w:tcBorders>
          </w:tcPr>
          <w:p w14:paraId="22275B5B" w14:textId="32033937" w:rsidR="00B67788" w:rsidRPr="009311C6" w:rsidRDefault="00B67788" w:rsidP="00795EA5">
            <w:pPr>
              <w:rPr>
                <w:b/>
                <w:bCs/>
                <w:sz w:val="20"/>
                <w:szCs w:val="20"/>
              </w:rPr>
            </w:pPr>
            <w:r w:rsidRPr="009311C6">
              <w:rPr>
                <w:b/>
                <w:bCs/>
                <w:sz w:val="20"/>
                <w:szCs w:val="20"/>
              </w:rPr>
              <w:t xml:space="preserve">Table 1 </w:t>
            </w:r>
            <w:r w:rsidRPr="009311C6">
              <w:rPr>
                <w:sz w:val="20"/>
                <w:szCs w:val="20"/>
              </w:rPr>
              <w:t>ICD-10 Codes Included in HEDIS Measure</w:t>
            </w:r>
            <w:r w:rsidRPr="009311C6">
              <w:rPr>
                <w:b/>
                <w:bCs/>
                <w:sz w:val="20"/>
                <w:szCs w:val="20"/>
              </w:rPr>
              <w:t xml:space="preserve"> </w:t>
            </w:r>
          </w:p>
        </w:tc>
      </w:tr>
      <w:tr w:rsidR="00B67788" w:rsidRPr="00254CA5" w14:paraId="4FCE4F7F" w14:textId="77777777" w:rsidTr="00795EA5">
        <w:tc>
          <w:tcPr>
            <w:tcW w:w="4357" w:type="dxa"/>
            <w:tcBorders>
              <w:bottom w:val="single" w:sz="4" w:space="0" w:color="auto"/>
            </w:tcBorders>
          </w:tcPr>
          <w:p w14:paraId="21720019" w14:textId="77777777" w:rsidR="00B67788" w:rsidRPr="009311C6" w:rsidRDefault="00B67788" w:rsidP="00795EA5">
            <w:pPr>
              <w:rPr>
                <w:b/>
                <w:bCs/>
                <w:sz w:val="20"/>
                <w:szCs w:val="20"/>
              </w:rPr>
            </w:pPr>
            <w:r w:rsidRPr="009311C6">
              <w:rPr>
                <w:b/>
                <w:bCs/>
                <w:sz w:val="20"/>
                <w:szCs w:val="20"/>
              </w:rPr>
              <w:t>ICD-10 Diagnostic Category*</w:t>
            </w:r>
          </w:p>
        </w:tc>
        <w:tc>
          <w:tcPr>
            <w:tcW w:w="4273" w:type="dxa"/>
            <w:tcBorders>
              <w:bottom w:val="single" w:sz="4" w:space="0" w:color="auto"/>
            </w:tcBorders>
          </w:tcPr>
          <w:p w14:paraId="2D7A81B2" w14:textId="77777777" w:rsidR="00B67788" w:rsidRPr="009311C6" w:rsidRDefault="00B67788" w:rsidP="00795EA5">
            <w:pPr>
              <w:rPr>
                <w:b/>
                <w:bCs/>
                <w:sz w:val="20"/>
                <w:szCs w:val="20"/>
              </w:rPr>
            </w:pPr>
            <w:r w:rsidRPr="009311C6">
              <w:rPr>
                <w:b/>
                <w:bCs/>
                <w:sz w:val="20"/>
                <w:szCs w:val="20"/>
              </w:rPr>
              <w:t>ICD-10 Codes Included in HEDIS Mental Health Metric</w:t>
            </w:r>
          </w:p>
        </w:tc>
      </w:tr>
      <w:tr w:rsidR="00B67788" w:rsidRPr="00254CA5" w14:paraId="41AD4EFB" w14:textId="77777777" w:rsidTr="00795EA5">
        <w:tc>
          <w:tcPr>
            <w:tcW w:w="4357" w:type="dxa"/>
            <w:tcBorders>
              <w:top w:val="single" w:sz="4" w:space="0" w:color="auto"/>
            </w:tcBorders>
          </w:tcPr>
          <w:p w14:paraId="38CCA011" w14:textId="77777777" w:rsidR="00B67788" w:rsidRPr="009311C6" w:rsidRDefault="00B67788" w:rsidP="00795EA5">
            <w:pPr>
              <w:rPr>
                <w:sz w:val="20"/>
                <w:szCs w:val="20"/>
              </w:rPr>
            </w:pPr>
            <w:r w:rsidRPr="009311C6">
              <w:rPr>
                <w:sz w:val="20"/>
                <w:szCs w:val="20"/>
              </w:rPr>
              <w:t>Unspecified Dementia (with and without disturbance)</w:t>
            </w:r>
          </w:p>
        </w:tc>
        <w:tc>
          <w:tcPr>
            <w:tcW w:w="4273" w:type="dxa"/>
            <w:tcBorders>
              <w:top w:val="single" w:sz="4" w:space="0" w:color="auto"/>
            </w:tcBorders>
          </w:tcPr>
          <w:p w14:paraId="1D25795B" w14:textId="77777777" w:rsidR="00B67788" w:rsidRPr="009311C6" w:rsidRDefault="00B67788" w:rsidP="00795EA5">
            <w:pPr>
              <w:rPr>
                <w:sz w:val="20"/>
                <w:szCs w:val="20"/>
              </w:rPr>
            </w:pPr>
            <w:r w:rsidRPr="009311C6">
              <w:rPr>
                <w:sz w:val="20"/>
                <w:szCs w:val="20"/>
              </w:rPr>
              <w:t>F03.90, F03.91</w:t>
            </w:r>
          </w:p>
        </w:tc>
      </w:tr>
      <w:tr w:rsidR="00B67788" w:rsidRPr="00254CA5" w14:paraId="4734269A" w14:textId="77777777" w:rsidTr="00795EA5">
        <w:tc>
          <w:tcPr>
            <w:tcW w:w="4357" w:type="dxa"/>
          </w:tcPr>
          <w:p w14:paraId="30BBD27E" w14:textId="77777777" w:rsidR="00B67788" w:rsidRPr="009311C6" w:rsidRDefault="00B67788" w:rsidP="00795EA5">
            <w:pPr>
              <w:rPr>
                <w:sz w:val="20"/>
                <w:szCs w:val="20"/>
              </w:rPr>
            </w:pPr>
            <w:r w:rsidRPr="009311C6">
              <w:rPr>
                <w:sz w:val="20"/>
                <w:szCs w:val="20"/>
              </w:rPr>
              <w:t>F20-F29: Schizophrenia, schizotypal, delusional, and other non-mood psychotic disorders</w:t>
            </w:r>
          </w:p>
        </w:tc>
        <w:tc>
          <w:tcPr>
            <w:tcW w:w="4273" w:type="dxa"/>
          </w:tcPr>
          <w:p w14:paraId="30870769" w14:textId="77777777" w:rsidR="00B67788" w:rsidRPr="009311C6" w:rsidRDefault="00B67788" w:rsidP="00795EA5">
            <w:pPr>
              <w:rPr>
                <w:sz w:val="20"/>
                <w:szCs w:val="20"/>
              </w:rPr>
            </w:pPr>
            <w:r w:rsidRPr="009311C6">
              <w:rPr>
                <w:sz w:val="20"/>
                <w:szCs w:val="20"/>
              </w:rPr>
              <w:t>F20.0, F20.1, F20.2, F20.3, F20.5, F20.81, F20.89, F20.9, F21, F22, F23, F24, F25.0, F25.1, F25.8, F25.9, F28, F29</w:t>
            </w:r>
          </w:p>
        </w:tc>
      </w:tr>
      <w:tr w:rsidR="00B67788" w:rsidRPr="00254CA5" w14:paraId="6B063FBA" w14:textId="77777777" w:rsidTr="00795EA5">
        <w:tc>
          <w:tcPr>
            <w:tcW w:w="4357" w:type="dxa"/>
          </w:tcPr>
          <w:p w14:paraId="36B9CB85" w14:textId="77777777" w:rsidR="00B67788" w:rsidRPr="009311C6" w:rsidRDefault="00B67788" w:rsidP="00795EA5">
            <w:pPr>
              <w:rPr>
                <w:sz w:val="20"/>
                <w:szCs w:val="20"/>
              </w:rPr>
            </w:pPr>
            <w:r w:rsidRPr="009311C6">
              <w:rPr>
                <w:sz w:val="20"/>
                <w:szCs w:val="20"/>
              </w:rPr>
              <w:t>F30-F39: Mood [affective] disorders</w:t>
            </w:r>
          </w:p>
        </w:tc>
        <w:tc>
          <w:tcPr>
            <w:tcW w:w="4273" w:type="dxa"/>
          </w:tcPr>
          <w:p w14:paraId="10C18489" w14:textId="77777777" w:rsidR="00B67788" w:rsidRPr="009311C6" w:rsidRDefault="00B67788" w:rsidP="00795EA5">
            <w:pPr>
              <w:rPr>
                <w:sz w:val="20"/>
                <w:szCs w:val="20"/>
              </w:rPr>
            </w:pPr>
            <w:r w:rsidRPr="009311C6">
              <w:rPr>
                <w:sz w:val="20"/>
                <w:szCs w:val="20"/>
              </w:rPr>
              <w:t>F30.10, F30.11, F30.12 F30.13, F30.2, F30.3, F30.4, F30.8, F30.9, F31.0, F31.10, F31.11, F31.12, F31.13, F31.2, F31.30, F31.31, F31.32, F31.4, F31.5, F31.60, F31.61, F31.62, F31.63, F31.64, F31.70, F31.71, F31.72 F31.73, F31.74, F31.75, F31.76, F31.77, F31.78, F31.81, F31.89, F31.9, F32.0, F32.1, F32.2, F32.3, F32.4, F32.5, F32.8, F32.81, F32.89, F32.9, F33.0, F33.1, F33.2, F33.3, F33.40 F33.41, F33.42, F33.8, F33.9, F34.0 F34.1, F34.8, F34.81, F34.89, F34.9, F39</w:t>
            </w:r>
          </w:p>
        </w:tc>
      </w:tr>
      <w:tr w:rsidR="00B67788" w:rsidRPr="00254CA5" w14:paraId="7CB74C70" w14:textId="77777777" w:rsidTr="00795EA5">
        <w:tc>
          <w:tcPr>
            <w:tcW w:w="4357" w:type="dxa"/>
          </w:tcPr>
          <w:p w14:paraId="69C7B91B" w14:textId="77777777" w:rsidR="00B67788" w:rsidRPr="009311C6" w:rsidRDefault="00B67788" w:rsidP="00795EA5">
            <w:pPr>
              <w:rPr>
                <w:sz w:val="20"/>
                <w:szCs w:val="20"/>
              </w:rPr>
            </w:pPr>
            <w:r w:rsidRPr="009311C6">
              <w:rPr>
                <w:sz w:val="20"/>
                <w:szCs w:val="20"/>
              </w:rPr>
              <w:t>F40-F48: Anxiety, dissociative, stress-related, somatoform and other nonpsychotic disorders</w:t>
            </w:r>
          </w:p>
        </w:tc>
        <w:tc>
          <w:tcPr>
            <w:tcW w:w="4273" w:type="dxa"/>
          </w:tcPr>
          <w:p w14:paraId="2E152849" w14:textId="77777777" w:rsidR="00B67788" w:rsidRPr="009311C6" w:rsidRDefault="00B67788" w:rsidP="00795EA5">
            <w:pPr>
              <w:rPr>
                <w:sz w:val="20"/>
                <w:szCs w:val="20"/>
              </w:rPr>
            </w:pPr>
            <w:r w:rsidRPr="009311C6">
              <w:rPr>
                <w:sz w:val="20"/>
                <w:szCs w:val="20"/>
              </w:rPr>
              <w:t>F40.00, F40.01 F40.02, F40.10, F40.11, F40.210, F40.218, F40.220, F40.228, F40.230, F40.231, F40.232, F40.233, F40.240, F40.241, F40.242, F40.243, F40.248, F40.290, F40.291, F40.298, F40.8, F40.9, F41.0, F41.1, F41.3, F41.8, F41.9, F42, F42.2– F42.4, F42.8, F42.9, F43.0, F43.10, F43.11, F43.12, F43.20, F43.21, F43.22, F43.23, F43.24, F43.25, F43.29, F43.8, F43.9, F44.0, F44.1, F44.2, F44.4, F44.5, F44.6, F44.7, F44.81, F44.89, F44.9, F45.0, F45.1, F45.20, F45.21, F45.22, F45.29, F45.41, F45.42, F45.8, F45.9, F48.1, F48.2, F48.8, F48.9</w:t>
            </w:r>
          </w:p>
        </w:tc>
      </w:tr>
      <w:tr w:rsidR="00B67788" w:rsidRPr="00254CA5" w14:paraId="3045838C" w14:textId="77777777" w:rsidTr="00795EA5">
        <w:tc>
          <w:tcPr>
            <w:tcW w:w="4357" w:type="dxa"/>
          </w:tcPr>
          <w:p w14:paraId="1EFC4F50" w14:textId="77777777" w:rsidR="00B67788" w:rsidRPr="009311C6" w:rsidRDefault="00B67788" w:rsidP="00795EA5">
            <w:pPr>
              <w:rPr>
                <w:sz w:val="20"/>
                <w:szCs w:val="20"/>
              </w:rPr>
            </w:pPr>
            <w:r w:rsidRPr="009311C6">
              <w:rPr>
                <w:sz w:val="20"/>
                <w:szCs w:val="20"/>
              </w:rPr>
              <w:t>F50-F59: Eating disorders, sleep disorders not due to a substance or known physiological condition, Mental and behavioral disorders associated with the puerperium, not elsewhere classified, Unspecified behavioral syndromes associated with physiological disturbances and physical factors</w:t>
            </w:r>
          </w:p>
          <w:p w14:paraId="507B75D2" w14:textId="77777777" w:rsidR="00B67788" w:rsidRPr="009311C6" w:rsidRDefault="00B67788" w:rsidP="00795EA5">
            <w:pPr>
              <w:rPr>
                <w:sz w:val="20"/>
                <w:szCs w:val="20"/>
              </w:rPr>
            </w:pPr>
          </w:p>
        </w:tc>
        <w:tc>
          <w:tcPr>
            <w:tcW w:w="4273" w:type="dxa"/>
          </w:tcPr>
          <w:p w14:paraId="2B63D740" w14:textId="77777777" w:rsidR="00B67788" w:rsidRPr="009311C6" w:rsidRDefault="00B67788" w:rsidP="00795EA5">
            <w:pPr>
              <w:rPr>
                <w:sz w:val="20"/>
                <w:szCs w:val="20"/>
              </w:rPr>
            </w:pPr>
            <w:r w:rsidRPr="009311C6">
              <w:rPr>
                <w:sz w:val="20"/>
                <w:szCs w:val="20"/>
              </w:rPr>
              <w:t>F50.0, F50.10, F50.02, F50.2, F50.81, F50.82, F50.89, F50.9, F51.01 F51.02, F51.03, F51.04, F51.05, F51.09, F51.11, F51.12, F51.13, F51.19, F51.3, F51.4, F51.5, F51.8, F51.9, F52.0, F52.1, F52.21, F52.22, F52.31, F52.32, F52.4, F52.5, F52.6, F52.8, F52.9, F53, F59</w:t>
            </w:r>
          </w:p>
        </w:tc>
      </w:tr>
      <w:tr w:rsidR="00B67788" w:rsidRPr="00254CA5" w14:paraId="2FF43903" w14:textId="77777777" w:rsidTr="00795EA5">
        <w:tc>
          <w:tcPr>
            <w:tcW w:w="4357" w:type="dxa"/>
          </w:tcPr>
          <w:p w14:paraId="75D46EC4" w14:textId="77777777" w:rsidR="00B67788" w:rsidRPr="009311C6" w:rsidRDefault="00B67788" w:rsidP="00795EA5">
            <w:pPr>
              <w:rPr>
                <w:sz w:val="20"/>
                <w:szCs w:val="20"/>
              </w:rPr>
            </w:pPr>
            <w:r w:rsidRPr="009311C6">
              <w:rPr>
                <w:sz w:val="20"/>
                <w:szCs w:val="20"/>
              </w:rPr>
              <w:t>F60-F69: Disorders of adult personality and behavior</w:t>
            </w:r>
          </w:p>
        </w:tc>
        <w:tc>
          <w:tcPr>
            <w:tcW w:w="4273" w:type="dxa"/>
          </w:tcPr>
          <w:p w14:paraId="71AA5E65" w14:textId="77777777" w:rsidR="00B67788" w:rsidRPr="009311C6" w:rsidRDefault="00B67788" w:rsidP="00795EA5">
            <w:pPr>
              <w:rPr>
                <w:sz w:val="20"/>
                <w:szCs w:val="20"/>
              </w:rPr>
            </w:pPr>
            <w:r w:rsidRPr="009311C6">
              <w:rPr>
                <w:sz w:val="20"/>
                <w:szCs w:val="20"/>
              </w:rPr>
              <w:t>F60.0, F60.1, F60.2, F60.3, F60.4, F60.5, F60.6, F60.7, F60.81, F60.89, F60.9 F63.0, F63.1, F63.2, F63.3, F63.81, F63.89, F63.9, F64.0, F64.1, F64.2, F64.8, F64.9, F65.0, F65.1, F65.2, F65.3, F65.4, F65.50, F65.51, F65.52, F65.89, F65.9, F66, F68.10– 68.13, F68.8, F69</w:t>
            </w:r>
          </w:p>
        </w:tc>
      </w:tr>
      <w:tr w:rsidR="00B67788" w:rsidRPr="00254CA5" w14:paraId="22B88EFB" w14:textId="77777777" w:rsidTr="00795EA5">
        <w:tc>
          <w:tcPr>
            <w:tcW w:w="4357" w:type="dxa"/>
          </w:tcPr>
          <w:p w14:paraId="473BE65B" w14:textId="77777777" w:rsidR="00B67788" w:rsidRPr="009311C6" w:rsidRDefault="00B67788" w:rsidP="00795EA5">
            <w:pPr>
              <w:rPr>
                <w:sz w:val="20"/>
                <w:szCs w:val="20"/>
              </w:rPr>
            </w:pPr>
            <w:r w:rsidRPr="009311C6">
              <w:rPr>
                <w:sz w:val="20"/>
                <w:szCs w:val="20"/>
              </w:rPr>
              <w:t>F70-F79: Intellectual disabilities</w:t>
            </w:r>
          </w:p>
        </w:tc>
        <w:tc>
          <w:tcPr>
            <w:tcW w:w="4273" w:type="dxa"/>
          </w:tcPr>
          <w:p w14:paraId="600108B9" w14:textId="77777777" w:rsidR="00B67788" w:rsidRPr="009311C6" w:rsidRDefault="00B67788" w:rsidP="00795EA5">
            <w:pPr>
              <w:rPr>
                <w:sz w:val="20"/>
                <w:szCs w:val="20"/>
              </w:rPr>
            </w:pPr>
            <w:r w:rsidRPr="009311C6">
              <w:rPr>
                <w:sz w:val="20"/>
                <w:szCs w:val="20"/>
              </w:rPr>
              <w:t>EXCLUDED in HEDIS</w:t>
            </w:r>
          </w:p>
        </w:tc>
      </w:tr>
      <w:tr w:rsidR="00B67788" w:rsidRPr="00254CA5" w14:paraId="0C1858C6" w14:textId="77777777" w:rsidTr="00795EA5">
        <w:tc>
          <w:tcPr>
            <w:tcW w:w="4357" w:type="dxa"/>
          </w:tcPr>
          <w:p w14:paraId="1D51EAA2" w14:textId="77777777" w:rsidR="00B67788" w:rsidRPr="009311C6" w:rsidRDefault="00B67788" w:rsidP="00795EA5">
            <w:pPr>
              <w:rPr>
                <w:sz w:val="20"/>
                <w:szCs w:val="20"/>
              </w:rPr>
            </w:pPr>
            <w:r w:rsidRPr="009311C6">
              <w:rPr>
                <w:sz w:val="20"/>
                <w:szCs w:val="20"/>
              </w:rPr>
              <w:lastRenderedPageBreak/>
              <w:t>F80-F89: Pervasive and specific developmental disorders (specific developmental disorders of speech and language, Specific developmental disorders of scholastic skills, Specific developmental disorder of motor function, Pervasive developmental disorders, other disorders of psychological development, Unspecified disorder of psychological development)</w:t>
            </w:r>
          </w:p>
        </w:tc>
        <w:tc>
          <w:tcPr>
            <w:tcW w:w="4273" w:type="dxa"/>
          </w:tcPr>
          <w:p w14:paraId="6AA30C36" w14:textId="77777777" w:rsidR="00B67788" w:rsidRPr="009311C6" w:rsidRDefault="00B67788" w:rsidP="00795EA5">
            <w:pPr>
              <w:rPr>
                <w:sz w:val="20"/>
                <w:szCs w:val="20"/>
              </w:rPr>
            </w:pPr>
            <w:r w:rsidRPr="009311C6">
              <w:rPr>
                <w:sz w:val="20"/>
                <w:szCs w:val="20"/>
              </w:rPr>
              <w:t xml:space="preserve">F80.0, F80.1, F80.2, F80.4, F80.81, F80.82, F80.89, F80.9, F81.0, F81.2, F81.81, F81.89, F81.9, F82, F84.0-F84.3, F84.5, F84.8, F84.9, F88, F89 </w:t>
            </w:r>
          </w:p>
        </w:tc>
      </w:tr>
      <w:tr w:rsidR="00B67788" w:rsidRPr="00254CA5" w14:paraId="549C7581" w14:textId="77777777" w:rsidTr="00795EA5">
        <w:tc>
          <w:tcPr>
            <w:tcW w:w="4357" w:type="dxa"/>
          </w:tcPr>
          <w:p w14:paraId="1D125FA6" w14:textId="77777777" w:rsidR="00B67788" w:rsidRPr="009311C6" w:rsidRDefault="00B67788" w:rsidP="00795EA5">
            <w:pPr>
              <w:rPr>
                <w:sz w:val="20"/>
                <w:szCs w:val="20"/>
              </w:rPr>
            </w:pPr>
            <w:r w:rsidRPr="009311C6">
              <w:rPr>
                <w:sz w:val="20"/>
                <w:szCs w:val="20"/>
              </w:rPr>
              <w:t>F90-F98: Behavioral and emotional disorders with onset usually occurring in childhood and adolescence</w:t>
            </w:r>
          </w:p>
        </w:tc>
        <w:tc>
          <w:tcPr>
            <w:tcW w:w="4273" w:type="dxa"/>
          </w:tcPr>
          <w:p w14:paraId="64EC343A" w14:textId="77777777" w:rsidR="00B67788" w:rsidRPr="009311C6" w:rsidRDefault="00B67788" w:rsidP="00795EA5">
            <w:pPr>
              <w:rPr>
                <w:sz w:val="20"/>
                <w:szCs w:val="20"/>
              </w:rPr>
            </w:pPr>
            <w:r w:rsidRPr="009311C6">
              <w:rPr>
                <w:sz w:val="20"/>
                <w:szCs w:val="20"/>
              </w:rPr>
              <w:t>F90.0, F90.1, F90.2, F90.8, F90.9, F94.0, F94.1, F94.2, F94.8, F94.9, F95.0, F95.1, F95.2, F95.8, F95.9, F98.0, F98.1, F98.21, F98.29, F98.3, F98.4, F98.5, F98.8, F98.9</w:t>
            </w:r>
          </w:p>
        </w:tc>
      </w:tr>
      <w:tr w:rsidR="00B67788" w:rsidRPr="00254CA5" w14:paraId="2C27FFFF" w14:textId="77777777" w:rsidTr="00795EA5">
        <w:tc>
          <w:tcPr>
            <w:tcW w:w="4357" w:type="dxa"/>
            <w:tcBorders>
              <w:bottom w:val="single" w:sz="4" w:space="0" w:color="auto"/>
            </w:tcBorders>
          </w:tcPr>
          <w:p w14:paraId="1154A6F0" w14:textId="77777777" w:rsidR="00B67788" w:rsidRPr="009311C6" w:rsidRDefault="00B67788" w:rsidP="00795EA5">
            <w:pPr>
              <w:rPr>
                <w:sz w:val="20"/>
                <w:szCs w:val="20"/>
              </w:rPr>
            </w:pPr>
            <w:r w:rsidRPr="009311C6">
              <w:rPr>
                <w:sz w:val="20"/>
                <w:szCs w:val="20"/>
              </w:rPr>
              <w:t>F99: Unspecified mental disorders</w:t>
            </w:r>
          </w:p>
        </w:tc>
        <w:tc>
          <w:tcPr>
            <w:tcW w:w="4273" w:type="dxa"/>
            <w:tcBorders>
              <w:bottom w:val="single" w:sz="4" w:space="0" w:color="auto"/>
            </w:tcBorders>
          </w:tcPr>
          <w:p w14:paraId="77950D31" w14:textId="77777777" w:rsidR="00B67788" w:rsidRPr="009311C6" w:rsidRDefault="00B67788" w:rsidP="00795EA5">
            <w:pPr>
              <w:rPr>
                <w:sz w:val="20"/>
                <w:szCs w:val="20"/>
              </w:rPr>
            </w:pPr>
            <w:r w:rsidRPr="009311C6">
              <w:rPr>
                <w:sz w:val="20"/>
                <w:szCs w:val="20"/>
              </w:rPr>
              <w:t>F99</w:t>
            </w:r>
          </w:p>
        </w:tc>
      </w:tr>
      <w:tr w:rsidR="00B67788" w:rsidRPr="00254CA5" w14:paraId="23663A98" w14:textId="77777777" w:rsidTr="00795EA5">
        <w:tc>
          <w:tcPr>
            <w:tcW w:w="8630" w:type="dxa"/>
            <w:gridSpan w:val="2"/>
            <w:tcBorders>
              <w:top w:val="single" w:sz="4" w:space="0" w:color="auto"/>
            </w:tcBorders>
          </w:tcPr>
          <w:p w14:paraId="1594A265" w14:textId="77777777" w:rsidR="00B67788" w:rsidRPr="009311C6" w:rsidRDefault="00B67788" w:rsidP="00795EA5">
            <w:pPr>
              <w:rPr>
                <w:sz w:val="20"/>
                <w:szCs w:val="20"/>
              </w:rPr>
            </w:pPr>
            <w:r w:rsidRPr="009311C6">
              <w:rPr>
                <w:sz w:val="20"/>
                <w:szCs w:val="20"/>
              </w:rPr>
              <w:t xml:space="preserve">*(1) F10-F19 are not part of HEDIS </w:t>
            </w:r>
            <w:proofErr w:type="gramStart"/>
            <w:r w:rsidRPr="009311C6">
              <w:rPr>
                <w:sz w:val="20"/>
                <w:szCs w:val="20"/>
              </w:rPr>
              <w:t>measure, and</w:t>
            </w:r>
            <w:proofErr w:type="gramEnd"/>
            <w:r w:rsidRPr="009311C6">
              <w:rPr>
                <w:sz w:val="20"/>
                <w:szCs w:val="20"/>
              </w:rPr>
              <w:t xml:space="preserve"> not included in this CHIA data extract due to privacy restrictions. All diagnosis codes for claims with a primary or secondary diagnosis of SUD have been redacted from the version of the MA APCD; (2) the following three categories were excluded from analysis based on HEDIS standards: (a) F01-F09: Mental disorders due to known physiological conditions and (b) Behavioral syndromes associated with physiological disturbances and physical factors</w:t>
            </w:r>
          </w:p>
          <w:p w14:paraId="0226BE7C" w14:textId="77777777" w:rsidR="00B67788" w:rsidRPr="009311C6" w:rsidRDefault="00B67788" w:rsidP="00795EA5">
            <w:pPr>
              <w:rPr>
                <w:sz w:val="20"/>
                <w:szCs w:val="20"/>
              </w:rPr>
            </w:pPr>
          </w:p>
        </w:tc>
      </w:tr>
    </w:tbl>
    <w:p w14:paraId="21F13A97" w14:textId="77777777" w:rsidR="00B67788" w:rsidRDefault="00B67788"/>
    <w:sectPr w:rsidR="00B67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88"/>
    <w:rsid w:val="00021F04"/>
    <w:rsid w:val="00047B03"/>
    <w:rsid w:val="0006261A"/>
    <w:rsid w:val="000B0BAA"/>
    <w:rsid w:val="000F2C2B"/>
    <w:rsid w:val="000F7D85"/>
    <w:rsid w:val="00106F7C"/>
    <w:rsid w:val="001552FD"/>
    <w:rsid w:val="001556BE"/>
    <w:rsid w:val="00183924"/>
    <w:rsid w:val="00233999"/>
    <w:rsid w:val="00233E38"/>
    <w:rsid w:val="002743A6"/>
    <w:rsid w:val="002A486C"/>
    <w:rsid w:val="002F7D2D"/>
    <w:rsid w:val="003144F0"/>
    <w:rsid w:val="00360F8A"/>
    <w:rsid w:val="003C01E8"/>
    <w:rsid w:val="004111FD"/>
    <w:rsid w:val="004A4133"/>
    <w:rsid w:val="00575FC8"/>
    <w:rsid w:val="00581191"/>
    <w:rsid w:val="005D0349"/>
    <w:rsid w:val="005F1A8B"/>
    <w:rsid w:val="0060786C"/>
    <w:rsid w:val="0061053F"/>
    <w:rsid w:val="006407F1"/>
    <w:rsid w:val="00676414"/>
    <w:rsid w:val="00793F8C"/>
    <w:rsid w:val="007940B4"/>
    <w:rsid w:val="007A24EE"/>
    <w:rsid w:val="007C1130"/>
    <w:rsid w:val="007D1C30"/>
    <w:rsid w:val="0080609B"/>
    <w:rsid w:val="00814A08"/>
    <w:rsid w:val="008333C3"/>
    <w:rsid w:val="00891E3E"/>
    <w:rsid w:val="008C03E9"/>
    <w:rsid w:val="00927B62"/>
    <w:rsid w:val="009311C6"/>
    <w:rsid w:val="00A2639B"/>
    <w:rsid w:val="00A424B5"/>
    <w:rsid w:val="00A672F5"/>
    <w:rsid w:val="00A82778"/>
    <w:rsid w:val="00A84ABF"/>
    <w:rsid w:val="00B179E7"/>
    <w:rsid w:val="00B67788"/>
    <w:rsid w:val="00BE062E"/>
    <w:rsid w:val="00C022EA"/>
    <w:rsid w:val="00C22D2A"/>
    <w:rsid w:val="00CA01FB"/>
    <w:rsid w:val="00CE0398"/>
    <w:rsid w:val="00D203D8"/>
    <w:rsid w:val="00D30F1E"/>
    <w:rsid w:val="00D44022"/>
    <w:rsid w:val="00D5557E"/>
    <w:rsid w:val="00DE4B26"/>
    <w:rsid w:val="00E40A3B"/>
    <w:rsid w:val="00E73683"/>
    <w:rsid w:val="00E91056"/>
    <w:rsid w:val="00F507C7"/>
    <w:rsid w:val="00FB1041"/>
    <w:rsid w:val="00FC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A0C86A"/>
  <w15:chartTrackingRefBased/>
  <w15:docId w15:val="{5AAE0A49-09F8-5243-832B-A8956794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8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677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77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77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778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778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778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778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778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778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788"/>
    <w:rPr>
      <w:rFonts w:eastAsiaTheme="majorEastAsia" w:cstheme="majorBidi"/>
      <w:color w:val="272727" w:themeColor="text1" w:themeTint="D8"/>
    </w:rPr>
  </w:style>
  <w:style w:type="paragraph" w:styleId="Title">
    <w:name w:val="Title"/>
    <w:basedOn w:val="Normal"/>
    <w:next w:val="Normal"/>
    <w:link w:val="TitleChar"/>
    <w:uiPriority w:val="10"/>
    <w:qFormat/>
    <w:rsid w:val="00B677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7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78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67788"/>
    <w:rPr>
      <w:i/>
      <w:iCs/>
      <w:color w:val="404040" w:themeColor="text1" w:themeTint="BF"/>
    </w:rPr>
  </w:style>
  <w:style w:type="paragraph" w:styleId="ListParagraph">
    <w:name w:val="List Paragraph"/>
    <w:basedOn w:val="Normal"/>
    <w:uiPriority w:val="34"/>
    <w:qFormat/>
    <w:rsid w:val="00B6778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67788"/>
    <w:rPr>
      <w:i/>
      <w:iCs/>
      <w:color w:val="0F4761" w:themeColor="accent1" w:themeShade="BF"/>
    </w:rPr>
  </w:style>
  <w:style w:type="paragraph" w:styleId="IntenseQuote">
    <w:name w:val="Intense Quote"/>
    <w:basedOn w:val="Normal"/>
    <w:next w:val="Normal"/>
    <w:link w:val="IntenseQuoteChar"/>
    <w:uiPriority w:val="30"/>
    <w:qFormat/>
    <w:rsid w:val="00B677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67788"/>
    <w:rPr>
      <w:i/>
      <w:iCs/>
      <w:color w:val="0F4761" w:themeColor="accent1" w:themeShade="BF"/>
    </w:rPr>
  </w:style>
  <w:style w:type="character" w:styleId="IntenseReference">
    <w:name w:val="Intense Reference"/>
    <w:basedOn w:val="DefaultParagraphFont"/>
    <w:uiPriority w:val="32"/>
    <w:qFormat/>
    <w:rsid w:val="00B67788"/>
    <w:rPr>
      <w:b/>
      <w:bCs/>
      <w:smallCaps/>
      <w:color w:val="0F4761" w:themeColor="accent1" w:themeShade="BF"/>
      <w:spacing w:val="5"/>
    </w:rPr>
  </w:style>
  <w:style w:type="table" w:styleId="TableGrid">
    <w:name w:val="Table Grid"/>
    <w:basedOn w:val="TableNormal"/>
    <w:uiPriority w:val="39"/>
    <w:rsid w:val="00B677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788"/>
    <w:rPr>
      <w:color w:val="467886" w:themeColor="hyperlink"/>
      <w:u w:val="single"/>
    </w:rPr>
  </w:style>
  <w:style w:type="character" w:styleId="UnresolvedMention">
    <w:name w:val="Unresolved Mention"/>
    <w:basedOn w:val="DefaultParagraphFont"/>
    <w:uiPriority w:val="99"/>
    <w:semiHidden/>
    <w:unhideWhenUsed/>
    <w:rsid w:val="00931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528</Words>
  <Characters>3516</Characters>
  <Application>Microsoft Office Word</Application>
  <DocSecurity>0</DocSecurity>
  <Lines>95</Lines>
  <Paragraphs>32</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 Marinna</dc:creator>
  <cp:keywords/>
  <dc:description/>
  <cp:lastModifiedBy>Kaufman, Marinna</cp:lastModifiedBy>
  <cp:revision>4</cp:revision>
  <dcterms:created xsi:type="dcterms:W3CDTF">2026-03-04T16:41:00Z</dcterms:created>
  <dcterms:modified xsi:type="dcterms:W3CDTF">2026-03-04T17:26:00Z</dcterms:modified>
</cp:coreProperties>
</file>