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22695" w14:textId="77777777" w:rsidR="00D37034" w:rsidRPr="00B43F25" w:rsidRDefault="00D37034" w:rsidP="00D3703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25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Pr="00B43F25">
        <w:rPr>
          <w:rFonts w:ascii="Times New Roman" w:hAnsi="Times New Roman" w:cs="Times New Roman"/>
          <w:sz w:val="24"/>
          <w:szCs w:val="24"/>
        </w:rPr>
        <w:t>Standardized Turkish patient scenarios related to oral cancer used for prompting (n=20)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"/>
        <w:gridCol w:w="2782"/>
        <w:gridCol w:w="5921"/>
      </w:tblGrid>
      <w:tr w:rsidR="00D37034" w:rsidRPr="00B43F25" w14:paraId="32D03051" w14:textId="77777777" w:rsidTr="000E48E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5EC36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197A906D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Scenario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 xml:space="preserve"> </w:t>
            </w: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0E0361EB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Patient Questions</w:t>
            </w:r>
          </w:p>
        </w:tc>
      </w:tr>
      <w:tr w:rsidR="00D37034" w:rsidRPr="00B43F25" w14:paraId="08F1F64D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DA52E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DAAC8E7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Benign Anatomical Variation</w:t>
            </w:r>
          </w:p>
        </w:tc>
        <w:tc>
          <w:tcPr>
            <w:tcW w:w="0" w:type="auto"/>
            <w:vAlign w:val="center"/>
            <w:hideMark/>
          </w:tcPr>
          <w:p w14:paraId="6BE9F1E6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have a hard, bone-like swelling on my palate; could this be a tumor?</w:t>
            </w:r>
          </w:p>
        </w:tc>
      </w:tr>
      <w:tr w:rsidR="00D37034" w:rsidRPr="00B43F25" w14:paraId="7E6A8144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82914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D0B6E0A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Benign Anatomical Variation</w:t>
            </w:r>
          </w:p>
        </w:tc>
        <w:tc>
          <w:tcPr>
            <w:tcW w:w="0" w:type="auto"/>
            <w:vAlign w:val="center"/>
            <w:hideMark/>
          </w:tcPr>
          <w:p w14:paraId="7A894009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Are the scalloped edges on the sides of my tongue a sign of cancer?</w:t>
            </w:r>
          </w:p>
        </w:tc>
      </w:tr>
      <w:tr w:rsidR="00D37034" w:rsidRPr="00B43F25" w14:paraId="0E11F731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EE1266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644C746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Trauma-Related Lesion</w:t>
            </w:r>
          </w:p>
        </w:tc>
        <w:tc>
          <w:tcPr>
            <w:tcW w:w="0" w:type="auto"/>
            <w:vAlign w:val="center"/>
            <w:hideMark/>
          </w:tcPr>
          <w:p w14:paraId="179D7158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There is a white line along the inside of my cheek at the level of my teeth; is this dangerous?</w:t>
            </w:r>
          </w:p>
        </w:tc>
      </w:tr>
      <w:tr w:rsidR="00D37034" w:rsidRPr="00B43F25" w14:paraId="208330FB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44CB7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43DBA8C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Potentially Malignant Lesion</w:t>
            </w:r>
          </w:p>
        </w:tc>
        <w:tc>
          <w:tcPr>
            <w:tcW w:w="0" w:type="auto"/>
            <w:vAlign w:val="center"/>
            <w:hideMark/>
          </w:tcPr>
          <w:p w14:paraId="4F2A301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have white patches inside my mouth that do not disappear even after brushing; could they turn into cancer?</w:t>
            </w:r>
          </w:p>
        </w:tc>
      </w:tr>
      <w:tr w:rsidR="00D37034" w:rsidRPr="00B43F25" w14:paraId="607DF5EC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FACC1F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775B148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Benign Vascular Variation</w:t>
            </w:r>
          </w:p>
        </w:tc>
        <w:tc>
          <w:tcPr>
            <w:tcW w:w="0" w:type="auto"/>
            <w:vAlign w:val="center"/>
            <w:hideMark/>
          </w:tcPr>
          <w:p w14:paraId="691EDFD6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The veins under my tongue appear very prominent and purple; is this a sign of cancer?</w:t>
            </w:r>
          </w:p>
        </w:tc>
      </w:tr>
      <w:tr w:rsidR="00D37034" w:rsidRPr="00B43F25" w14:paraId="30D47B81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504F20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2F86A26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Red-Flag Symptom</w:t>
            </w:r>
          </w:p>
        </w:tc>
        <w:tc>
          <w:tcPr>
            <w:tcW w:w="0" w:type="auto"/>
            <w:vAlign w:val="center"/>
            <w:hideMark/>
          </w:tcPr>
          <w:p w14:paraId="7F0D0061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This sore has not healed for three weeks; why is it still there?</w:t>
            </w:r>
          </w:p>
        </w:tc>
      </w:tr>
      <w:tr w:rsidR="00D37034" w:rsidRPr="00B43F25" w14:paraId="3234D086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92DDD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755D3CE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Red-Flag Symptom</w:t>
            </w:r>
          </w:p>
        </w:tc>
        <w:tc>
          <w:tcPr>
            <w:tcW w:w="0" w:type="auto"/>
            <w:vAlign w:val="center"/>
            <w:hideMark/>
          </w:tcPr>
          <w:p w14:paraId="72AB56FB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The sore does not hurt; since it is painless, could it be malignant?</w:t>
            </w:r>
          </w:p>
        </w:tc>
      </w:tr>
      <w:tr w:rsidR="00D37034" w:rsidRPr="00B43F25" w14:paraId="0D1EE380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30698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F4DAA32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Recurrent Lesion Concern</w:t>
            </w:r>
          </w:p>
        </w:tc>
        <w:tc>
          <w:tcPr>
            <w:tcW w:w="0" w:type="auto"/>
            <w:vAlign w:val="center"/>
            <w:hideMark/>
          </w:tcPr>
          <w:p w14:paraId="118742EB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My mouth ulcers keep recurring in the same spot; does this mean cancer is starting there?</w:t>
            </w:r>
          </w:p>
        </w:tc>
      </w:tr>
      <w:tr w:rsidR="00D37034" w:rsidRPr="00B43F25" w14:paraId="2CF42E17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0A6CD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BFDFE39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Differential Diagnosis (Infection vs Tumor)</w:t>
            </w:r>
          </w:p>
        </w:tc>
        <w:tc>
          <w:tcPr>
            <w:tcW w:w="0" w:type="auto"/>
            <w:vAlign w:val="center"/>
            <w:hideMark/>
          </w:tcPr>
          <w:p w14:paraId="4A0E984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Is the swelling on my gum an abscess or could it be a tumor?</w:t>
            </w:r>
          </w:p>
        </w:tc>
      </w:tr>
      <w:tr w:rsidR="00D37034" w:rsidRPr="00B43F25" w14:paraId="27DEE372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98E37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A5B7EDC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Red-Flag Symptom</w:t>
            </w:r>
          </w:p>
        </w:tc>
        <w:tc>
          <w:tcPr>
            <w:tcW w:w="0" w:type="auto"/>
            <w:vAlign w:val="center"/>
            <w:hideMark/>
          </w:tcPr>
          <w:p w14:paraId="631E98F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The sore in my mouth bleeds easily when touched; is this a sign of cancer?</w:t>
            </w:r>
          </w:p>
        </w:tc>
      </w:tr>
      <w:tr w:rsidR="00D37034" w:rsidRPr="00B43F25" w14:paraId="480FD709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C84A3B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lastRenderedPageBreak/>
              <w:t>11</w:t>
            </w:r>
          </w:p>
        </w:tc>
        <w:tc>
          <w:tcPr>
            <w:tcW w:w="0" w:type="auto"/>
            <w:vAlign w:val="center"/>
            <w:hideMark/>
          </w:tcPr>
          <w:p w14:paraId="1AD48DA8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Benign Coating Variation</w:t>
            </w:r>
          </w:p>
        </w:tc>
        <w:tc>
          <w:tcPr>
            <w:tcW w:w="0" w:type="auto"/>
            <w:vAlign w:val="center"/>
            <w:hideMark/>
          </w:tcPr>
          <w:p w14:paraId="674B1FC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noticed a yellow-brown coating on my tongue; could this turn into cancer?</w:t>
            </w:r>
          </w:p>
        </w:tc>
      </w:tr>
      <w:tr w:rsidR="00D37034" w:rsidRPr="00B43F25" w14:paraId="3E87FE7F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B94CC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39C29C2C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Non-Specific Symptom</w:t>
            </w:r>
          </w:p>
        </w:tc>
        <w:tc>
          <w:tcPr>
            <w:tcW w:w="0" w:type="auto"/>
            <w:vAlign w:val="center"/>
            <w:hideMark/>
          </w:tcPr>
          <w:p w14:paraId="79EE1AD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have a persistent itching sensation in my gums; does this mean I have cancer?</w:t>
            </w:r>
          </w:p>
        </w:tc>
      </w:tr>
      <w:tr w:rsidR="00D37034" w:rsidRPr="00B43F25" w14:paraId="2BBCC87F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B331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3422E05A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Chronic Trauma</w:t>
            </w:r>
          </w:p>
        </w:tc>
        <w:tc>
          <w:tcPr>
            <w:tcW w:w="0" w:type="auto"/>
            <w:vAlign w:val="center"/>
            <w:hideMark/>
          </w:tcPr>
          <w:p w14:paraId="3905B9FC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constantly bite my cheek; could this trauma eventually cause cancer?</w:t>
            </w:r>
          </w:p>
        </w:tc>
      </w:tr>
      <w:tr w:rsidR="00D37034" w:rsidRPr="00B43F25" w14:paraId="2912D9D1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6482B6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1EF73A0A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Chronic Mechanical Irritation</w:t>
            </w:r>
          </w:p>
        </w:tc>
        <w:tc>
          <w:tcPr>
            <w:tcW w:w="0" w:type="auto"/>
            <w:vAlign w:val="center"/>
            <w:hideMark/>
          </w:tcPr>
          <w:p w14:paraId="0D7A54C6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My broken tooth keeps cutting my tongue; could cancer develop from that area?</w:t>
            </w:r>
          </w:p>
        </w:tc>
      </w:tr>
      <w:tr w:rsidR="00D37034" w:rsidRPr="00B43F25" w14:paraId="52D31F5F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3AEF0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16EFEF87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Cancer Spread Concern</w:t>
            </w:r>
          </w:p>
        </w:tc>
        <w:tc>
          <w:tcPr>
            <w:tcW w:w="0" w:type="auto"/>
            <w:vAlign w:val="center"/>
            <w:hideMark/>
          </w:tcPr>
          <w:p w14:paraId="0DC4D2AE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feel a lump in my throat; can oral cancer spread to the throat?</w:t>
            </w:r>
          </w:p>
        </w:tc>
      </w:tr>
      <w:tr w:rsidR="00D37034" w:rsidRPr="00B43F25" w14:paraId="2B80A2B6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67684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217A9A3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Lymph Node Concern</w:t>
            </w:r>
          </w:p>
        </w:tc>
        <w:tc>
          <w:tcPr>
            <w:tcW w:w="0" w:type="auto"/>
            <w:vAlign w:val="center"/>
            <w:hideMark/>
          </w:tcPr>
          <w:p w14:paraId="60D376C7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have a hard lump under my jaw; could it be related to the sore in my mouth?</w:t>
            </w:r>
          </w:p>
        </w:tc>
      </w:tr>
      <w:tr w:rsidR="00D37034" w:rsidRPr="00B43F25" w14:paraId="53B0ED33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EEF89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6AC44000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Sudden Mobility Concern</w:t>
            </w:r>
          </w:p>
        </w:tc>
        <w:tc>
          <w:tcPr>
            <w:tcW w:w="0" w:type="auto"/>
            <w:vAlign w:val="center"/>
            <w:hideMark/>
          </w:tcPr>
          <w:p w14:paraId="05D83D36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All my teeth suddenly became loose even though I have no cavities; could there be an underlying tumor?</w:t>
            </w:r>
          </w:p>
        </w:tc>
      </w:tr>
      <w:tr w:rsidR="00D37034" w:rsidRPr="00B43F25" w14:paraId="1333D859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889A4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2493DDC7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Burning Sensation</w:t>
            </w:r>
          </w:p>
        </w:tc>
        <w:tc>
          <w:tcPr>
            <w:tcW w:w="0" w:type="auto"/>
            <w:vAlign w:val="center"/>
            <w:hideMark/>
          </w:tcPr>
          <w:p w14:paraId="57AFED6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 constantly feel a burning sensation on my tongue; do I have cancer?</w:t>
            </w:r>
          </w:p>
        </w:tc>
      </w:tr>
      <w:tr w:rsidR="00D37034" w:rsidRPr="00B43F25" w14:paraId="613DF21E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FF83D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53715061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Oncological Myth</w:t>
            </w:r>
          </w:p>
        </w:tc>
        <w:tc>
          <w:tcPr>
            <w:tcW w:w="0" w:type="auto"/>
            <w:vAlign w:val="center"/>
            <w:hideMark/>
          </w:tcPr>
          <w:p w14:paraId="3D25767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If I undergo a biopsy, can removing a tissue sample cause the cancer to spread throughout my body?</w:t>
            </w:r>
          </w:p>
        </w:tc>
      </w:tr>
      <w:tr w:rsidR="00D37034" w:rsidRPr="00B43F25" w14:paraId="7F1BF14E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E48A9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27B6341E" w14:textId="77777777" w:rsidR="00D37034" w:rsidRPr="00B43F25" w:rsidRDefault="00D37034" w:rsidP="000E48E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Age-Related Risk Concern</w:t>
            </w:r>
          </w:p>
        </w:tc>
        <w:tc>
          <w:tcPr>
            <w:tcW w:w="0" w:type="auto"/>
            <w:vAlign w:val="center"/>
            <w:hideMark/>
          </w:tcPr>
          <w:p w14:paraId="13FA29A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Can young people also develop oral cancer?</w:t>
            </w:r>
          </w:p>
        </w:tc>
      </w:tr>
    </w:tbl>
    <w:p w14:paraId="6E054C26" w14:textId="77777777" w:rsidR="00D37034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</w:p>
    <w:p w14:paraId="5C472FBC" w14:textId="77777777" w:rsidR="00D37034" w:rsidRPr="00B43F25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</w:p>
    <w:p w14:paraId="31FF28B9" w14:textId="77777777" w:rsidR="00D37034" w:rsidRPr="00B43F25" w:rsidRDefault="00D37034" w:rsidP="00D37034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B43F25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lastRenderedPageBreak/>
        <w:t xml:space="preserve"> </w:t>
      </w:r>
      <w:r w:rsidRPr="00B43F25">
        <w:rPr>
          <w:rFonts w:ascii="Times New Roman" w:hAnsi="Times New Roman" w:cs="Times New Roman"/>
          <w:b/>
          <w:sz w:val="24"/>
          <w:szCs w:val="24"/>
        </w:rPr>
        <w:t>Table 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B43F25">
        <w:rPr>
          <w:rFonts w:ascii="Times New Roman" w:hAnsi="Times New Roman" w:cs="Times New Roman"/>
          <w:sz w:val="24"/>
          <w:szCs w:val="24"/>
        </w:rPr>
        <w:t xml:space="preserve"> Overall Turkish readability indices of AI-generated responses (mean ± SD across 7 days) and between-model comparisons.</w:t>
      </w:r>
    </w:p>
    <w:tbl>
      <w:tblPr>
        <w:tblW w:w="10101" w:type="dxa"/>
        <w:jc w:val="center"/>
        <w:tblLook w:val="04A0" w:firstRow="1" w:lastRow="0" w:firstColumn="1" w:lastColumn="0" w:noHBand="0" w:noVBand="1"/>
      </w:tblPr>
      <w:tblGrid>
        <w:gridCol w:w="9266"/>
        <w:gridCol w:w="222"/>
        <w:gridCol w:w="222"/>
        <w:gridCol w:w="222"/>
        <w:gridCol w:w="222"/>
        <w:gridCol w:w="222"/>
        <w:gridCol w:w="222"/>
      </w:tblGrid>
      <w:tr w:rsidR="00D37034" w:rsidRPr="00B43F25" w14:paraId="13EAF515" w14:textId="77777777" w:rsidTr="000E48E5">
        <w:trPr>
          <w:trHeight w:val="1036"/>
          <w:jc w:val="center"/>
        </w:trPr>
        <w:tc>
          <w:tcPr>
            <w:tcW w:w="8769" w:type="dxa"/>
            <w:vAlign w:val="center"/>
          </w:tcPr>
          <w:tbl>
            <w:tblPr>
              <w:tblW w:w="8553" w:type="dxa"/>
              <w:tblCellSpacing w:w="15" w:type="dxa"/>
              <w:tblInd w:w="4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82"/>
              <w:gridCol w:w="2565"/>
              <w:gridCol w:w="2316"/>
              <w:gridCol w:w="990"/>
            </w:tblGrid>
            <w:tr w:rsidR="00D37034" w:rsidRPr="00B43F25" w14:paraId="48DC4AF2" w14:textId="77777777" w:rsidTr="000E48E5">
              <w:trPr>
                <w:trHeight w:val="768"/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CA0A7D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Metric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01299C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Gemini (Mean ± SD)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A63B76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Grok (Mean ± SD)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43E605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p-value</w:t>
                  </w:r>
                </w:p>
              </w:tc>
            </w:tr>
            <w:tr w:rsidR="00D37034" w:rsidRPr="00B43F25" w14:paraId="5BE2D335" w14:textId="77777777" w:rsidTr="000E48E5">
              <w:trPr>
                <w:trHeight w:val="768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340CF1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Mean Sentence Length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E14A06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12.61 ± 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E1A52B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14.83 ± 1.16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8A260E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kern w:val="0"/>
                      <w:sz w:val="24"/>
                      <w:szCs w:val="24"/>
                      <w:vertAlign w:val="superscript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0.0005</w:t>
                  </w:r>
                  <w:r w:rsidRPr="00B43F25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vertAlign w:val="superscript"/>
                      <w:lang w:eastAsia="tr-TR"/>
                      <w14:ligatures w14:val="none"/>
                    </w:rPr>
                    <w:t>*</w:t>
                  </w:r>
                </w:p>
              </w:tc>
            </w:tr>
            <w:tr w:rsidR="00D37034" w:rsidRPr="00B43F25" w14:paraId="4A2538F4" w14:textId="77777777" w:rsidTr="000E48E5">
              <w:trPr>
                <w:trHeight w:val="508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CD764A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Ateşman Score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3FCD27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59.23 ± 1.33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AE0397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57.67 ± 3.16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CCC16E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0.254</w:t>
                  </w:r>
                </w:p>
              </w:tc>
            </w:tr>
            <w:tr w:rsidR="00D37034" w:rsidRPr="00B43F25" w14:paraId="3AE5F40B" w14:textId="77777777" w:rsidTr="000E48E5">
              <w:trPr>
                <w:trHeight w:val="768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06D7FD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Bezirci–Yılmaz Index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98C0B4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9.23 ± 0.38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259148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bCs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9.15 ± 0.88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435378" w14:textId="77777777" w:rsidR="00D37034" w:rsidRPr="00B43F25" w:rsidRDefault="00D37034" w:rsidP="000E48E5">
                  <w:pPr>
                    <w:spacing w:after="0" w:line="48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r w:rsidRPr="00B43F2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0.814</w:t>
                  </w:r>
                </w:p>
              </w:tc>
            </w:tr>
          </w:tbl>
          <w:p w14:paraId="22D00E7C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 w14:paraId="22C85F46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 w14:paraId="7BFBCB0E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 w14:paraId="05A9D4FF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 w14:paraId="5F5CE651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 w14:paraId="09FCADA9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 w14:paraId="3D9EE604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7C8E100" w14:textId="77777777" w:rsidR="00D37034" w:rsidRPr="00B43F25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43F25">
        <w:rPr>
          <w:rFonts w:ascii="Times New Roman" w:hAnsi="Times New Roman" w:cs="Times New Roman"/>
          <w:sz w:val="24"/>
          <w:szCs w:val="24"/>
        </w:rPr>
        <w:t>p-values were calculated using independent samples t-tests after normality assessment.</w:t>
      </w:r>
    </w:p>
    <w:p w14:paraId="306C8395" w14:textId="77777777" w:rsidR="00D37034" w:rsidRPr="00B43F25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B43F2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tr-TR"/>
          <w14:ligatures w14:val="none"/>
        </w:rPr>
        <w:t>Table 3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tr-TR"/>
          <w14:ligatures w14:val="none"/>
        </w:rPr>
        <w:t>.</w:t>
      </w:r>
      <w:r w:rsidRPr="00B43F25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r w:rsidRPr="00B43F25">
        <w:rPr>
          <w:rFonts w:ascii="Times New Roman" w:hAnsi="Times New Roman" w:cs="Times New Roman"/>
          <w:sz w:val="24"/>
          <w:szCs w:val="24"/>
        </w:rPr>
        <w:t>Overall scientific accuracy and completeness scores (Likert 1–5) for Gemini and Grok across all scenarios and days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2418"/>
        <w:gridCol w:w="841"/>
        <w:gridCol w:w="2859"/>
        <w:gridCol w:w="856"/>
      </w:tblGrid>
      <w:tr w:rsidR="00D37034" w:rsidRPr="00B43F25" w14:paraId="42DA8B8C" w14:textId="77777777" w:rsidTr="000E48E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E00C903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0F2C68C9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Accuracy (Mean ± SD)</w:t>
            </w:r>
          </w:p>
        </w:tc>
        <w:tc>
          <w:tcPr>
            <w:tcW w:w="0" w:type="auto"/>
            <w:vAlign w:val="center"/>
            <w:hideMark/>
          </w:tcPr>
          <w:p w14:paraId="35BCA1B0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p-value</w:t>
            </w:r>
          </w:p>
        </w:tc>
        <w:tc>
          <w:tcPr>
            <w:tcW w:w="0" w:type="auto"/>
            <w:vAlign w:val="center"/>
            <w:hideMark/>
          </w:tcPr>
          <w:p w14:paraId="2093BF6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Completeness (Mean ± SD)</w:t>
            </w:r>
          </w:p>
        </w:tc>
        <w:tc>
          <w:tcPr>
            <w:tcW w:w="0" w:type="auto"/>
            <w:vAlign w:val="center"/>
            <w:hideMark/>
          </w:tcPr>
          <w:p w14:paraId="5F225317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p-value</w:t>
            </w:r>
          </w:p>
        </w:tc>
      </w:tr>
      <w:tr w:rsidR="00D37034" w:rsidRPr="00B43F25" w14:paraId="2312DA54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284CCE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Gemini</w:t>
            </w:r>
          </w:p>
        </w:tc>
        <w:tc>
          <w:tcPr>
            <w:tcW w:w="0" w:type="auto"/>
            <w:vAlign w:val="center"/>
            <w:hideMark/>
          </w:tcPr>
          <w:p w14:paraId="0617579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3.52 ± 0.57</w:t>
            </w:r>
          </w:p>
        </w:tc>
        <w:tc>
          <w:tcPr>
            <w:tcW w:w="0" w:type="auto"/>
            <w:vAlign w:val="center"/>
            <w:hideMark/>
          </w:tcPr>
          <w:p w14:paraId="48885D7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0.072</w:t>
            </w:r>
          </w:p>
        </w:tc>
        <w:tc>
          <w:tcPr>
            <w:tcW w:w="0" w:type="auto"/>
            <w:vAlign w:val="center"/>
            <w:hideMark/>
          </w:tcPr>
          <w:p w14:paraId="3276E371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3.40 ± 0.70</w:t>
            </w:r>
          </w:p>
        </w:tc>
        <w:tc>
          <w:tcPr>
            <w:tcW w:w="0" w:type="auto"/>
            <w:vAlign w:val="center"/>
            <w:hideMark/>
          </w:tcPr>
          <w:p w14:paraId="160042E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0.091</w:t>
            </w:r>
          </w:p>
        </w:tc>
      </w:tr>
      <w:tr w:rsidR="00D37034" w:rsidRPr="00B43F25" w14:paraId="6C1FCC08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E968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Grok</w:t>
            </w:r>
          </w:p>
        </w:tc>
        <w:tc>
          <w:tcPr>
            <w:tcW w:w="0" w:type="auto"/>
            <w:vAlign w:val="center"/>
            <w:hideMark/>
          </w:tcPr>
          <w:p w14:paraId="52F1232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3.39 ± 0.68</w:t>
            </w:r>
          </w:p>
        </w:tc>
        <w:tc>
          <w:tcPr>
            <w:tcW w:w="0" w:type="auto"/>
            <w:vAlign w:val="center"/>
            <w:hideMark/>
          </w:tcPr>
          <w:p w14:paraId="07DEDA9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74FF58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3.25 ± 0.78</w:t>
            </w:r>
          </w:p>
        </w:tc>
        <w:tc>
          <w:tcPr>
            <w:tcW w:w="0" w:type="auto"/>
            <w:vAlign w:val="center"/>
            <w:hideMark/>
          </w:tcPr>
          <w:p w14:paraId="22748BB1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</w:tr>
    </w:tbl>
    <w:p w14:paraId="1AE33ABB" w14:textId="77777777" w:rsidR="00D37034" w:rsidRPr="00B43F25" w:rsidRDefault="00D37034" w:rsidP="00D37034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43F25">
        <w:rPr>
          <w:rFonts w:ascii="Times New Roman" w:hAnsi="Times New Roman" w:cs="Times New Roman"/>
          <w:sz w:val="24"/>
          <w:szCs w:val="24"/>
        </w:rPr>
        <w:t>Scores were assigned on a 5-point Likert scale (1=very poor, 5=excellent); no response received a score of 5 (observed range: 1–4).</w:t>
      </w:r>
    </w:p>
    <w:p w14:paraId="1A50DA19" w14:textId="77777777" w:rsidR="00D37034" w:rsidRPr="00B43F25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B43F2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tr-TR"/>
          <w14:ligatures w14:val="none"/>
        </w:rPr>
        <w:t>Table 4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tr-TR"/>
          <w14:ligatures w14:val="none"/>
        </w:rPr>
        <w:t>.</w:t>
      </w:r>
      <w:r w:rsidRPr="00B43F25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r w:rsidRPr="00B43F25">
        <w:rPr>
          <w:rFonts w:ascii="Times New Roman" w:hAnsi="Times New Roman" w:cs="Times New Roman"/>
          <w:sz w:val="24"/>
          <w:szCs w:val="24"/>
        </w:rPr>
        <w:t>Temporal reliability across 7 days based on Cronbach’s alpha (α).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1756"/>
        <w:gridCol w:w="1461"/>
        <w:gridCol w:w="1782"/>
      </w:tblGrid>
      <w:tr w:rsidR="00D37034" w:rsidRPr="00B43F25" w14:paraId="68329ADF" w14:textId="77777777" w:rsidTr="000E48E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CBB378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3B0D9E2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Days</w:t>
            </w:r>
          </w:p>
        </w:tc>
        <w:tc>
          <w:tcPr>
            <w:tcW w:w="0" w:type="auto"/>
            <w:vAlign w:val="center"/>
            <w:hideMark/>
          </w:tcPr>
          <w:p w14:paraId="12A3A465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Cronbach’s α</w:t>
            </w:r>
          </w:p>
        </w:tc>
        <w:tc>
          <w:tcPr>
            <w:tcW w:w="0" w:type="auto"/>
            <w:vAlign w:val="center"/>
            <w:hideMark/>
          </w:tcPr>
          <w:p w14:paraId="2AE682BF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Reliability Level</w:t>
            </w:r>
          </w:p>
        </w:tc>
      </w:tr>
      <w:tr w:rsidR="00D37034" w:rsidRPr="00B43F25" w14:paraId="318668FB" w14:textId="77777777" w:rsidTr="000E48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6C53C5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Gemini</w:t>
            </w:r>
          </w:p>
        </w:tc>
        <w:tc>
          <w:tcPr>
            <w:tcW w:w="0" w:type="auto"/>
            <w:vAlign w:val="center"/>
            <w:hideMark/>
          </w:tcPr>
          <w:p w14:paraId="6ED6A8F2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C1C39D6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0.942</w:t>
            </w:r>
          </w:p>
        </w:tc>
        <w:tc>
          <w:tcPr>
            <w:tcW w:w="0" w:type="auto"/>
            <w:vAlign w:val="center"/>
            <w:hideMark/>
          </w:tcPr>
          <w:p w14:paraId="21E38C34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D37034" w:rsidRPr="00B43F25" w14:paraId="50E39CC9" w14:textId="77777777" w:rsidTr="000E48E5">
        <w:trPr>
          <w:trHeight w:val="38"/>
          <w:tblCellSpacing w:w="15" w:type="dxa"/>
        </w:trPr>
        <w:tc>
          <w:tcPr>
            <w:tcW w:w="0" w:type="auto"/>
            <w:vAlign w:val="center"/>
            <w:hideMark/>
          </w:tcPr>
          <w:p w14:paraId="0C76209B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Grok</w:t>
            </w:r>
          </w:p>
        </w:tc>
        <w:tc>
          <w:tcPr>
            <w:tcW w:w="0" w:type="auto"/>
            <w:vAlign w:val="center"/>
            <w:hideMark/>
          </w:tcPr>
          <w:p w14:paraId="2ACD8F5C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B0186FA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0.886</w:t>
            </w:r>
          </w:p>
        </w:tc>
        <w:tc>
          <w:tcPr>
            <w:tcW w:w="0" w:type="auto"/>
            <w:vAlign w:val="center"/>
            <w:hideMark/>
          </w:tcPr>
          <w:p w14:paraId="74A3F464" w14:textId="77777777" w:rsidR="00D37034" w:rsidRPr="00B43F25" w:rsidRDefault="00D37034" w:rsidP="000E48E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F25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</w:tr>
    </w:tbl>
    <w:p w14:paraId="4702999F" w14:textId="77777777" w:rsidR="00D37034" w:rsidRPr="00B43F25" w:rsidRDefault="00D37034" w:rsidP="00D3703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CC30FE" w14:textId="77777777" w:rsidR="00D37034" w:rsidRPr="00B43F25" w:rsidRDefault="00D37034" w:rsidP="00D3703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25">
        <w:rPr>
          <w:rFonts w:ascii="Times New Roman" w:hAnsi="Times New Roman" w:cs="Times New Roman"/>
          <w:b/>
          <w:sz w:val="24"/>
          <w:szCs w:val="24"/>
        </w:rPr>
        <w:lastRenderedPageBreak/>
        <w:t>Table 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B43F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3F25">
        <w:rPr>
          <w:rFonts w:ascii="Times New Roman" w:hAnsi="Times New Roman" w:cs="Times New Roman"/>
          <w:sz w:val="24"/>
          <w:szCs w:val="24"/>
        </w:rPr>
        <w:t>Inter-model agreement between Gemini and Grok based on intraclass correlation coefficient (ICC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43F25">
        <w:rPr>
          <w:rFonts w:ascii="Times New Roman" w:hAnsi="Times New Roman" w:cs="Times New Roman"/>
          <w:sz w:val="24"/>
          <w:szCs w:val="24"/>
        </w:rPr>
        <w:t>2,1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43F25">
        <w:rPr>
          <w:rFonts w:ascii="Times New Roman" w:hAnsi="Times New Roman" w:cs="Times New Roman"/>
          <w:sz w:val="24"/>
          <w:szCs w:val="24"/>
        </w:rPr>
        <w:t>; two-way mixed, absolute agreement)</w:t>
      </w:r>
    </w:p>
    <w:tbl>
      <w:tblPr>
        <w:tblW w:w="780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5"/>
        <w:gridCol w:w="2115"/>
        <w:gridCol w:w="1211"/>
        <w:gridCol w:w="2153"/>
      </w:tblGrid>
      <w:tr w:rsidR="00D37034" w:rsidRPr="00B43F25" w14:paraId="192B4A90" w14:textId="77777777" w:rsidTr="000E48E5">
        <w:trPr>
          <w:trHeight w:val="294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805E0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Domain</w:t>
            </w:r>
          </w:p>
        </w:tc>
        <w:tc>
          <w:tcPr>
            <w:tcW w:w="0" w:type="auto"/>
            <w:vAlign w:val="center"/>
            <w:hideMark/>
          </w:tcPr>
          <w:p w14:paraId="0CA3557C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Overall ICC(2,1)</w:t>
            </w:r>
          </w:p>
        </w:tc>
        <w:tc>
          <w:tcPr>
            <w:tcW w:w="0" w:type="auto"/>
            <w:vAlign w:val="center"/>
            <w:hideMark/>
          </w:tcPr>
          <w:p w14:paraId="711338F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95% CI</w:t>
            </w:r>
          </w:p>
        </w:tc>
        <w:tc>
          <w:tcPr>
            <w:tcW w:w="0" w:type="auto"/>
            <w:vAlign w:val="center"/>
            <w:hideMark/>
          </w:tcPr>
          <w:p w14:paraId="097CF0B7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tr-TR"/>
                <w14:ligatures w14:val="none"/>
              </w:rPr>
              <w:t>Agreement Level</w:t>
            </w:r>
          </w:p>
        </w:tc>
      </w:tr>
      <w:tr w:rsidR="00D37034" w:rsidRPr="00B43F25" w14:paraId="29F0158F" w14:textId="77777777" w:rsidTr="000E48E5">
        <w:trPr>
          <w:trHeight w:val="294"/>
          <w:tblCellSpacing w:w="15" w:type="dxa"/>
        </w:trPr>
        <w:tc>
          <w:tcPr>
            <w:tcW w:w="0" w:type="auto"/>
            <w:vAlign w:val="center"/>
            <w:hideMark/>
          </w:tcPr>
          <w:p w14:paraId="2CD844F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Scientific Accuracy</w:t>
            </w:r>
          </w:p>
        </w:tc>
        <w:tc>
          <w:tcPr>
            <w:tcW w:w="0" w:type="auto"/>
            <w:vAlign w:val="center"/>
            <w:hideMark/>
          </w:tcPr>
          <w:p w14:paraId="7FDB6D1B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14:paraId="1FF5A4C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0.21–0.81</w:t>
            </w:r>
          </w:p>
        </w:tc>
        <w:tc>
          <w:tcPr>
            <w:tcW w:w="0" w:type="auto"/>
            <w:vAlign w:val="center"/>
            <w:hideMark/>
          </w:tcPr>
          <w:p w14:paraId="2DBF9627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Moderate</w:t>
            </w:r>
          </w:p>
        </w:tc>
      </w:tr>
      <w:tr w:rsidR="00D37034" w:rsidRPr="00B43F25" w14:paraId="62539D08" w14:textId="77777777" w:rsidTr="000E48E5">
        <w:trPr>
          <w:trHeight w:val="294"/>
          <w:tblCellSpacing w:w="15" w:type="dxa"/>
        </w:trPr>
        <w:tc>
          <w:tcPr>
            <w:tcW w:w="0" w:type="auto"/>
            <w:vAlign w:val="center"/>
            <w:hideMark/>
          </w:tcPr>
          <w:p w14:paraId="7A77DC0C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Completeness</w:t>
            </w:r>
          </w:p>
        </w:tc>
        <w:tc>
          <w:tcPr>
            <w:tcW w:w="0" w:type="auto"/>
            <w:vAlign w:val="center"/>
            <w:hideMark/>
          </w:tcPr>
          <w:p w14:paraId="6341B50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0.50</w:t>
            </w:r>
          </w:p>
        </w:tc>
        <w:tc>
          <w:tcPr>
            <w:tcW w:w="0" w:type="auto"/>
            <w:vAlign w:val="center"/>
            <w:hideMark/>
          </w:tcPr>
          <w:p w14:paraId="6ACB240F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0.09–0.77</w:t>
            </w:r>
          </w:p>
        </w:tc>
        <w:tc>
          <w:tcPr>
            <w:tcW w:w="0" w:type="auto"/>
            <w:vAlign w:val="center"/>
            <w:hideMark/>
          </w:tcPr>
          <w:p w14:paraId="0E33551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Moderate</w:t>
            </w:r>
          </w:p>
        </w:tc>
      </w:tr>
      <w:tr w:rsidR="00D37034" w:rsidRPr="00B43F25" w14:paraId="7FE7AC4C" w14:textId="77777777" w:rsidTr="000E48E5">
        <w:trPr>
          <w:trHeight w:val="294"/>
          <w:tblCellSpacing w:w="15" w:type="dxa"/>
        </w:trPr>
        <w:tc>
          <w:tcPr>
            <w:tcW w:w="0" w:type="auto"/>
            <w:vAlign w:val="center"/>
            <w:hideMark/>
          </w:tcPr>
          <w:p w14:paraId="3CBC21A9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Readability</w:t>
            </w:r>
          </w:p>
        </w:tc>
        <w:tc>
          <w:tcPr>
            <w:tcW w:w="0" w:type="auto"/>
            <w:vAlign w:val="center"/>
            <w:hideMark/>
          </w:tcPr>
          <w:p w14:paraId="18641D80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53CC677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0.00–0.73</w:t>
            </w:r>
          </w:p>
        </w:tc>
        <w:tc>
          <w:tcPr>
            <w:tcW w:w="0" w:type="auto"/>
            <w:vAlign w:val="center"/>
            <w:hideMark/>
          </w:tcPr>
          <w:p w14:paraId="63A9B092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>Low–Moderate</w:t>
            </w:r>
          </w:p>
        </w:tc>
      </w:tr>
    </w:tbl>
    <w:p w14:paraId="75C9E8F3" w14:textId="77777777" w:rsidR="00D37034" w:rsidRPr="00B43F25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B43F2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tr-TR"/>
          <w14:ligatures w14:val="none"/>
        </w:rPr>
        <w:t>Table 6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tr-TR"/>
          <w14:ligatures w14:val="none"/>
        </w:rPr>
        <w:t>.</w:t>
      </w:r>
      <w:r w:rsidRPr="00B43F25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r w:rsidRPr="00B43F25">
        <w:rPr>
          <w:rFonts w:ascii="Times New Roman" w:hAnsi="Times New Roman" w:cs="Times New Roman"/>
          <w:sz w:val="24"/>
          <w:szCs w:val="24"/>
        </w:rPr>
        <w:t>Referral safety of AI responses in potentially malignant/high-risk scenarios.</w:t>
      </w:r>
    </w:p>
    <w:tbl>
      <w:tblPr>
        <w:tblW w:w="0" w:type="auto"/>
        <w:tblCellSpacing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2427"/>
        <w:gridCol w:w="2409"/>
        <w:gridCol w:w="993"/>
        <w:gridCol w:w="1267"/>
      </w:tblGrid>
      <w:tr w:rsidR="00D37034" w:rsidRPr="00B43F25" w14:paraId="305D90D4" w14:textId="77777777" w:rsidTr="000E48E5">
        <w:trPr>
          <w:tblHeader/>
          <w:tblCellSpacing w:w="15" w:type="dxa"/>
        </w:trPr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FAB088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2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5532DC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Referral Safety (+)</w:t>
            </w:r>
          </w:p>
        </w:tc>
        <w:tc>
          <w:tcPr>
            <w:tcW w:w="2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109D2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Referral Safety (-)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F6A149E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Total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3A5F2BA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p-value</w:t>
            </w:r>
          </w:p>
        </w:tc>
      </w:tr>
      <w:tr w:rsidR="00D37034" w:rsidRPr="00B43F25" w14:paraId="4F302732" w14:textId="77777777" w:rsidTr="000E48E5">
        <w:trPr>
          <w:tblCellSpacing w:w="15" w:type="dxa"/>
        </w:trPr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89E4E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Gemini</w:t>
            </w:r>
          </w:p>
        </w:tc>
        <w:tc>
          <w:tcPr>
            <w:tcW w:w="2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1ECA6F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126 (90.0%)</w:t>
            </w:r>
          </w:p>
        </w:tc>
        <w:tc>
          <w:tcPr>
            <w:tcW w:w="2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948C25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14 (10.0%)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5552E9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140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F5A8869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0.536</w:t>
            </w:r>
          </w:p>
        </w:tc>
      </w:tr>
      <w:tr w:rsidR="00D37034" w:rsidRPr="00B43F25" w14:paraId="60C6ADB6" w14:textId="77777777" w:rsidTr="000E48E5">
        <w:trPr>
          <w:tblCellSpacing w:w="15" w:type="dxa"/>
        </w:trPr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5C772B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 xml:space="preserve"> Grok</w:t>
            </w:r>
          </w:p>
        </w:tc>
        <w:tc>
          <w:tcPr>
            <w:tcW w:w="2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7546378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129 (92.1%)</w:t>
            </w:r>
          </w:p>
        </w:tc>
        <w:tc>
          <w:tcPr>
            <w:tcW w:w="2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78CAF0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11 (7.9%)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0E129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140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AEBBD37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</w:tr>
    </w:tbl>
    <w:p w14:paraId="41030AF0" w14:textId="77777777" w:rsidR="00D37034" w:rsidRPr="00B43F25" w:rsidRDefault="00D37034" w:rsidP="00D37034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5C4CF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Table 7.</w:t>
      </w:r>
      <w:r w:rsidRPr="00B43F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 xml:space="preserve"> </w:t>
      </w:r>
      <w:r w:rsidRPr="00B43F25">
        <w:rPr>
          <w:rFonts w:ascii="Times New Roman" w:hAnsi="Times New Roman" w:cs="Times New Roman"/>
          <w:sz w:val="24"/>
          <w:szCs w:val="24"/>
        </w:rPr>
        <w:t>Multi-threshold clinical validity analysis of AI responses (≥2, ≥3, ≥4)</w:t>
      </w:r>
    </w:p>
    <w:tbl>
      <w:tblPr>
        <w:tblW w:w="0" w:type="auto"/>
        <w:tblCellSpacing w:w="15" w:type="dxa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2"/>
        <w:gridCol w:w="1834"/>
        <w:gridCol w:w="1635"/>
      </w:tblGrid>
      <w:tr w:rsidR="00D37034" w:rsidRPr="00B43F25" w14:paraId="2DD60A47" w14:textId="77777777" w:rsidTr="000E48E5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C781A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Threshold (Likert)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C52BFE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Gemini n (%)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335B10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Grok n (%)</w:t>
            </w:r>
          </w:p>
        </w:tc>
      </w:tr>
      <w:tr w:rsidR="00D37034" w:rsidRPr="00B43F25" w14:paraId="623C7DFC" w14:textId="77777777" w:rsidTr="000E48E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755155F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≥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2 Points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218D3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140 (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100%</w:t>
            </w: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34520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139 (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99.3%</w:t>
            </w: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)</w:t>
            </w:r>
          </w:p>
        </w:tc>
      </w:tr>
      <w:tr w:rsidR="00D37034" w:rsidRPr="00B43F25" w14:paraId="504B393B" w14:textId="77777777" w:rsidTr="000E48E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5BA0E67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≥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3 Points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DC767CD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125 (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89.2%</w:t>
            </w: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E5E9E8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118 (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84.5%</w:t>
            </w: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)</w:t>
            </w:r>
          </w:p>
        </w:tc>
      </w:tr>
      <w:tr w:rsidR="00D37034" w:rsidRPr="00B43F25" w14:paraId="663B672B" w14:textId="77777777" w:rsidTr="000E48E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0DF5F00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≥4 Points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44C89A5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78 (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55.4%</w:t>
            </w: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7496884" w14:textId="77777777" w:rsidR="00D37034" w:rsidRPr="00B43F25" w:rsidRDefault="00D37034" w:rsidP="000E48E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67 (</w:t>
            </w:r>
            <w:r w:rsidRPr="00B43F25"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48.2%</w:t>
            </w:r>
            <w:r>
              <w:rPr>
                <w:rFonts w:ascii="Times New Roman" w:eastAsia="Times New Roman" w:hAnsi="Times New Roman" w:cs="Times New Roman"/>
                <w:color w:val="1F1F1F"/>
                <w:kern w:val="0"/>
                <w:sz w:val="24"/>
                <w:szCs w:val="24"/>
                <w:bdr w:val="none" w:sz="0" w:space="0" w:color="auto" w:frame="1"/>
                <w:lang w:eastAsia="tr-TR"/>
                <w14:ligatures w14:val="none"/>
              </w:rPr>
              <w:t>)</w:t>
            </w:r>
          </w:p>
        </w:tc>
      </w:tr>
    </w:tbl>
    <w:p w14:paraId="0FF1C6F3" w14:textId="77777777" w:rsidR="00D37034" w:rsidRPr="00B43F25" w:rsidRDefault="00D37034" w:rsidP="00D3703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6A0216" w14:textId="77777777" w:rsidR="00D37034" w:rsidRPr="00B43F25" w:rsidRDefault="00D37034" w:rsidP="00D3703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D548F6" w14:textId="77777777" w:rsidR="00E023F9" w:rsidRDefault="00E023F9"/>
    <w:sectPr w:rsidR="00E023F9" w:rsidSect="00D37034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4511680"/>
      <w:docPartObj>
        <w:docPartGallery w:val="Page Numbers (Bottom of Page)"/>
        <w:docPartUnique/>
      </w:docPartObj>
    </w:sdtPr>
    <w:sdtContent>
      <w:p w14:paraId="02DEED79" w14:textId="77777777" w:rsidR="00D37034" w:rsidRDefault="00D3703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3D48E884" w14:textId="77777777" w:rsidR="00D37034" w:rsidRDefault="00D3703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34"/>
    <w:rsid w:val="000C4033"/>
    <w:rsid w:val="003D0289"/>
    <w:rsid w:val="004B42CB"/>
    <w:rsid w:val="005F2B46"/>
    <w:rsid w:val="006E1731"/>
    <w:rsid w:val="00B260B7"/>
    <w:rsid w:val="00B85331"/>
    <w:rsid w:val="00D3703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DFFA2"/>
  <w15:chartTrackingRefBased/>
  <w15:docId w15:val="{6E3E2B2C-7449-4EFF-B944-99A3E40BF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034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70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0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03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03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03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03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03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03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03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0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0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0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0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0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0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0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0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0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37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03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37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03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370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034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370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0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0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03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37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034"/>
    <w:rPr>
      <w:sz w:val="22"/>
      <w:szCs w:val="22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551</Words>
  <Characters>3455</Characters>
  <Application>Microsoft Office Word</Application>
  <DocSecurity>0</DocSecurity>
  <Lines>80</Lines>
  <Paragraphs>49</Paragraphs>
  <ScaleCrop>false</ScaleCrop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2026-03-16T08:23:00Z</dcterms:created>
  <dcterms:modified xsi:type="dcterms:W3CDTF">2026-03-16T08:23:00Z</dcterms:modified>
</cp:coreProperties>
</file>