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9F1D">
      <w:pPr>
        <w:pStyle w:val="2"/>
        <w:spacing w:line="480" w:lineRule="auto"/>
        <w:rPr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Supporting Information</w:t>
      </w:r>
    </w:p>
    <w:p w14:paraId="769B290B">
      <w:pPr>
        <w:pStyle w:val="18"/>
        <w:rPr>
          <w:rFonts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i w:val="0"/>
          <w:sz w:val="32"/>
          <w:szCs w:val="32"/>
          <w:lang w:val="en-US" w:eastAsia="zh-CN" w:bidi="ar-SA"/>
        </w:rPr>
        <w:t>Synergistic upcycling of sewage sludge and rice straw into magnetic biochar for enhanced Sb(V) removal: Adsorption performance and mechanisms</w:t>
      </w:r>
    </w:p>
    <w:p w14:paraId="6DBF24FE">
      <w:pPr>
        <w:pStyle w:val="18"/>
      </w:pPr>
      <w:r>
        <w:rPr>
          <w:rFonts w:hint="eastAsia"/>
        </w:rPr>
        <w:t>Yun Zhang, Min Yao*,Yubo Liu, Huasheng Gao</w:t>
      </w:r>
    </w:p>
    <w:p w14:paraId="58FB0767">
      <w:pPr>
        <w:pStyle w:val="19"/>
        <w:jc w:val="left"/>
        <w:rPr>
          <w:lang w:eastAsia="zh-CN"/>
        </w:rPr>
      </w:pPr>
      <w:r>
        <w:rPr>
          <w:i/>
          <w:iCs/>
          <w:lang w:eastAsia="zh-CN"/>
        </w:rPr>
        <w:t>School of Civil &amp; Environmental Engineering and Geography Science</w:t>
      </w:r>
      <w:r>
        <w:rPr>
          <w:rFonts w:hint="eastAsia"/>
          <w:i/>
          <w:iCs/>
          <w:lang w:eastAsia="zh-CN"/>
        </w:rPr>
        <w:t>,</w:t>
      </w:r>
      <w:r>
        <w:rPr>
          <w:i/>
          <w:iCs/>
          <w:lang w:eastAsia="zh-CN"/>
        </w:rPr>
        <w:t xml:space="preserve"> Ningbo University, Ningbo, 315211, China</w:t>
      </w:r>
    </w:p>
    <w:p w14:paraId="3157E03F">
      <w:pPr>
        <w:pStyle w:val="19"/>
        <w:rPr>
          <w:lang w:eastAsia="zh-CN"/>
        </w:rPr>
      </w:pPr>
      <w:r>
        <w:rPr>
          <w:rFonts w:hint="eastAsia"/>
          <w:lang w:eastAsia="zh-CN"/>
        </w:rPr>
        <w:sym w:font="Symbol" w:char="F02A"/>
      </w:r>
      <w:r>
        <w:rPr>
          <w:lang w:eastAsia="zh-CN"/>
        </w:rPr>
        <w:t xml:space="preserve">Corresponding author. </w:t>
      </w:r>
    </w:p>
    <w:p w14:paraId="1342A4F6">
      <w:pPr>
        <w:pStyle w:val="19"/>
        <w:rPr>
          <w:lang w:eastAsia="zh-CN"/>
        </w:rPr>
      </w:pPr>
      <w:r>
        <w:rPr>
          <w:lang w:eastAsia="zh-CN"/>
        </w:rPr>
        <w:t>Email:</w:t>
      </w:r>
      <w:r>
        <w:rPr>
          <w:rFonts w:hint="eastAsia"/>
          <w:lang w:eastAsia="zh-CN"/>
        </w:rPr>
        <w:t xml:space="preserve"> yaomin@nbu.edu.cn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Min Yao</w:t>
      </w:r>
      <w:r>
        <w:rPr>
          <w:lang w:eastAsia="zh-CN"/>
        </w:rPr>
        <w:t xml:space="preserve">) </w:t>
      </w:r>
    </w:p>
    <w:p w14:paraId="7EBF1D32">
      <w:pPr>
        <w:pStyle w:val="36"/>
        <w:spacing w:after="240"/>
        <w:jc w:val="center"/>
        <w:rPr>
          <w:rFonts w:hint="eastAsia" w:eastAsiaTheme="minorEastAsia"/>
          <w:lang w:val="en-US" w:eastAsia="zh-CN"/>
        </w:rPr>
      </w:pPr>
      <w:r>
        <w:t>NUMBER OF PAGES:</w:t>
      </w:r>
      <w:r>
        <w:rPr>
          <w:rFonts w:hint="eastAsia"/>
          <w:lang w:val="en-US" w:eastAsia="zh-CN"/>
        </w:rPr>
        <w:t>7</w:t>
      </w:r>
    </w:p>
    <w:p w14:paraId="04D01156">
      <w:pPr>
        <w:pStyle w:val="36"/>
        <w:spacing w:after="240"/>
        <w:jc w:val="center"/>
      </w:pPr>
      <w:r>
        <w:t>NUMBER OF FIGURES:</w:t>
      </w:r>
      <w:r>
        <w:rPr>
          <w:rFonts w:hint="eastAsia"/>
          <w:lang w:eastAsia="zh-CN"/>
        </w:rPr>
        <w:t>0</w:t>
      </w:r>
    </w:p>
    <w:p w14:paraId="3D35C19F">
      <w:pPr>
        <w:pStyle w:val="36"/>
        <w:spacing w:after="240"/>
        <w:jc w:val="center"/>
        <w:rPr>
          <w:rFonts w:hint="eastAsia" w:eastAsiaTheme="minorEastAsia"/>
          <w:lang w:val="en-US" w:eastAsia="zh-CN"/>
        </w:rPr>
      </w:pPr>
      <w:r>
        <w:t>NUMBER OF TABLES:</w:t>
      </w:r>
      <w:r>
        <w:rPr>
          <w:rFonts w:hint="eastAsia"/>
          <w:lang w:val="en-US" w:eastAsia="zh-CN"/>
        </w:rPr>
        <w:t>1</w:t>
      </w:r>
    </w:p>
    <w:p w14:paraId="5251BF23">
      <w:pPr>
        <w:spacing w:after="0"/>
        <w:jc w:val="left"/>
        <w:rPr>
          <w:lang w:eastAsia="zh-CN"/>
        </w:rPr>
      </w:pPr>
      <w:r>
        <w:rPr>
          <w:lang w:eastAsia="zh-CN"/>
        </w:rPr>
        <w:br w:type="page"/>
      </w:r>
    </w:p>
    <w:p w14:paraId="72CCF8CD">
      <w:pPr>
        <w:jc w:val="center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color w:val="000000"/>
          <w:sz w:val="21"/>
          <w:szCs w:val="21"/>
          <w:lang w:eastAsia="zh-CN"/>
        </w:rPr>
        <w:t xml:space="preserve">Table S1 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Chemical formula,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/>
          <w:sz w:val="21"/>
          <w:szCs w:val="21"/>
        </w:rPr>
        <w:t>CAS Registry Number, Suppliers and Mass Fraction Purity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/>
          <w:sz w:val="21"/>
          <w:szCs w:val="21"/>
        </w:rPr>
        <w:t>of the Chemicals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341"/>
        <w:gridCol w:w="1172"/>
        <w:gridCol w:w="3576"/>
        <w:gridCol w:w="1420"/>
      </w:tblGrid>
      <w:tr w14:paraId="1F3A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C71C83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MR10"/>
                <w:b/>
                <w:bCs/>
                <w:color w:val="000000"/>
                <w:sz w:val="21"/>
                <w:szCs w:val="21"/>
                <w:lang w:eastAsia="zh-CN" w:bidi="ar"/>
              </w:rPr>
              <w:t>C</w:t>
            </w:r>
            <w:r>
              <w:rPr>
                <w:rFonts w:ascii="Times New Roman" w:hAnsi="Times New Roman" w:eastAsia="CMR10"/>
                <w:b/>
                <w:bCs/>
                <w:color w:val="000000"/>
                <w:sz w:val="21"/>
                <w:szCs w:val="21"/>
                <w:lang w:eastAsia="zh-CN" w:bidi="ar"/>
              </w:rPr>
              <w:t>omponent</w:t>
            </w:r>
          </w:p>
        </w:tc>
        <w:tc>
          <w:tcPr>
            <w:tcW w:w="13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1A7D4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CMR10"/>
                <w:b/>
                <w:bCs/>
                <w:color w:val="000000"/>
                <w:sz w:val="21"/>
                <w:szCs w:val="21"/>
                <w:lang w:eastAsia="zh-CN" w:bidi="ar"/>
              </w:rPr>
              <w:t>C</w:t>
            </w:r>
            <w:r>
              <w:rPr>
                <w:rFonts w:ascii="Times New Roman" w:hAnsi="Times New Roman" w:eastAsia="CMR10"/>
                <w:b/>
                <w:bCs/>
                <w:color w:val="000000"/>
                <w:sz w:val="21"/>
                <w:szCs w:val="21"/>
                <w:lang w:eastAsia="zh-CN" w:bidi="ar"/>
              </w:rPr>
              <w:t>hemical formula</w:t>
            </w:r>
          </w:p>
        </w:tc>
        <w:tc>
          <w:tcPr>
            <w:tcW w:w="11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451FC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AdvOT2e364b11"/>
                <w:b/>
                <w:bCs/>
                <w:color w:val="000000"/>
                <w:sz w:val="21"/>
                <w:szCs w:val="21"/>
                <w:lang w:eastAsia="zh-CN" w:bidi="ar"/>
              </w:rPr>
              <w:t>CAS Reg. No.</w:t>
            </w:r>
          </w:p>
        </w:tc>
        <w:tc>
          <w:tcPr>
            <w:tcW w:w="35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E1E3FF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AdvOT2e364b11"/>
                <w:b/>
                <w:bCs/>
                <w:color w:val="000000"/>
                <w:sz w:val="21"/>
                <w:szCs w:val="21"/>
                <w:lang w:eastAsia="zh-CN" w:bidi="ar"/>
              </w:rPr>
              <w:t>S</w:t>
            </w:r>
            <w:r>
              <w:rPr>
                <w:rFonts w:ascii="Times New Roman" w:hAnsi="Times New Roman" w:eastAsia="AdvOT2e364b11"/>
                <w:b/>
                <w:bCs/>
                <w:color w:val="000000"/>
                <w:sz w:val="21"/>
                <w:szCs w:val="21"/>
                <w:lang w:eastAsia="zh-CN" w:bidi="ar"/>
              </w:rPr>
              <w:t>uppliers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F4966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AdvOT2e364b11"/>
                <w:b/>
                <w:bCs/>
                <w:color w:val="000000"/>
                <w:sz w:val="21"/>
                <w:szCs w:val="21"/>
                <w:lang w:eastAsia="zh-CN" w:bidi="ar"/>
              </w:rPr>
              <w:t>M</w:t>
            </w:r>
            <w:r>
              <w:rPr>
                <w:rFonts w:ascii="Times New Roman" w:hAnsi="Times New Roman" w:eastAsia="AdvOT2e364b11"/>
                <w:b/>
                <w:bCs/>
                <w:color w:val="000000"/>
                <w:sz w:val="21"/>
                <w:szCs w:val="21"/>
                <w:lang w:eastAsia="zh-CN" w:bidi="ar"/>
              </w:rPr>
              <w:t>ass fractions purities</w:t>
            </w:r>
          </w:p>
        </w:tc>
      </w:tr>
      <w:tr w14:paraId="0209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00DA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ferric chloride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8741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FeCl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B826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7705-08-0</w:t>
            </w:r>
          </w:p>
        </w:tc>
        <w:tc>
          <w:tcPr>
            <w:tcW w:w="35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7A68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B75F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442E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5200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ferrous sulfate heptahydrate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B18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FeSO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·7H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5E97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7782-63-0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98A5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DE45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7B1A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98E1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potassium bicarbonate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D720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KHCO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D718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298-14-6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93E5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9FB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15FA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6EBF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hydrochloric acid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6E6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HCl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D52EA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7647-01-0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2DEC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A722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341C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5274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sodium hydroxide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0B1B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NaOH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DF0E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1310-73-2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E9AD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6FF4D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4D8F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0AAA9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sodium nitrate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FF2C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NaNO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0BC64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7631-99-4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81FD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A814E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6DBF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AC82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sodium sulfate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D6C5E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SO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310B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7757-82-6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509A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04F51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08EE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BC8EF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sodium chloride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8585B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NaCl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28BAE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7647-14-5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545E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7E238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69CE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E08A5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magnesium chloride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E897D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MgCl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D81A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7786-30-3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416E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F3B9C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2A7A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5413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calcium chloride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2BAC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CaCl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47D86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10043-52-4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042B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B3EF0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2278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EC0D4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dipotassium hydrogen phosphate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864B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KH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PO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BFF24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7778-77-0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7F94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39DC5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515F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D665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potassium chloride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C17E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KCl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D11BE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7447-40-7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E7B5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F9AB8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527D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E96C0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humic acid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A22F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CF23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308067-45-0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50B9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9563A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462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F8474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potassium pyroantimonate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91C80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KSb(OH)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7237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12208-13-8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8FC6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National Group Chemical Reagent Co., Ltd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6CEC8">
            <w:pPr>
              <w:widowControl w:val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≥0.990</w:t>
            </w:r>
          </w:p>
        </w:tc>
      </w:tr>
      <w:tr w14:paraId="6053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7C0C6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RR3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B5F79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25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H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15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ClN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7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O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10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>·3Na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A5C0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23211-10-7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965CA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specialized textile printing and dyeing company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in Ningbo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2C9C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≥0.900</w:t>
            </w:r>
          </w:p>
        </w:tc>
      </w:tr>
      <w:tr w14:paraId="1078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6B38C09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DO13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10FE34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22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H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16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N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vertAlign w:val="subscript"/>
                <w:lang w:eastAsia="zh-CN"/>
              </w:rPr>
              <w:t>4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O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8EE280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6253-10-7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941BD3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specialized textile printing and dyeing company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in Ningbo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FC208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≥0.900</w:t>
            </w:r>
          </w:p>
        </w:tc>
      </w:tr>
    </w:tbl>
    <w:p w14:paraId="3D3446CB">
      <w:pPr>
        <w:rPr>
          <w:b/>
          <w:lang w:eastAsia="zh-CN"/>
        </w:rPr>
      </w:pPr>
      <w:r>
        <w:rPr>
          <w:b/>
          <w:lang w:eastAsia="zh-CN"/>
        </w:rPr>
        <w:br w:type="page"/>
      </w:r>
    </w:p>
    <w:p w14:paraId="198CB024">
      <w:pPr>
        <w:pStyle w:val="36"/>
        <w:spacing w:after="240"/>
        <w:jc w:val="left"/>
        <w:rPr>
          <w:b/>
          <w:bCs/>
          <w:lang w:eastAsia="zh-CN"/>
        </w:rPr>
      </w:pPr>
      <w:r>
        <w:rPr>
          <w:rFonts w:hint="eastAsia"/>
          <w:b/>
          <w:lang w:val="en-US" w:eastAsia="zh-CN"/>
        </w:rPr>
        <w:t xml:space="preserve">Text S1 </w:t>
      </w:r>
      <w:r>
        <w:rPr>
          <w:b/>
          <w:lang w:eastAsia="zh-CN"/>
        </w:rPr>
        <w:t>Materials Synthesis.</w:t>
      </w:r>
    </w:p>
    <w:p w14:paraId="454E191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lang w:eastAsia="zh-CN"/>
        </w:rPr>
      </w:pPr>
      <w:r>
        <w:rPr>
          <w:b/>
          <w:bCs/>
          <w:lang w:eastAsia="zh-CN"/>
        </w:rPr>
        <w:t xml:space="preserve">Preparation of alkali-activated biochar. </w:t>
      </w:r>
      <w:r>
        <w:rPr>
          <w:lang w:eastAsia="zh-CN"/>
        </w:rPr>
        <w:t>Biomass originated from municipal sludge (S)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and rice straw (R) was employed as raw materials to synthesize biochar. The above biomass was first crushed to 2 mm, washed with deionized water and then dried in an oven for 24 h at 65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°C. The dried sludge, corn stalk and rice straw powder were then mixed in a certain mass ratio, totaling 5 g. The biomass mixtures were subsequently mixed with 6 g of potassium bicarbonate and dissolved in 50 mL of deionized water. After stirring for 24 hours in a magnetic stirrer, they were dried in an oven at 60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°C to obtain the biochar precursors. Then, the porous activated biochar (BC) samples were acquired by pyrolyzing the precursors for 2 h at 500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lang w:eastAsia="zh-CN"/>
        </w:rPr>
        <w:t>°C in a muffle furnace (SXL-1216, Shanghai Jinghong Experimental Equipment Co., Ltd., China) under nitrogen conditions. Upon cooling to ambient temperature, the samples were rinsed with a 0.1 mol/L HCl solution, subsequently undergoing repeated washings with deionized water until neutrality was achieved. These samples were finally dried at 60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°C and ground to 0.074 mm to produce various alkali-activated biochars, designated as SBC (municipal sludge biochar), RBC (rice straw biochar), S:R (1:1)-BC (municipal sludge and rice stalk with a mass ratio of 1:1), and S:R (4:1)-BC (municipal sludge and rice stalk with a mass ratio of 4:1).</w:t>
      </w:r>
    </w:p>
    <w:p w14:paraId="602644AD">
      <w:pPr>
        <w:pStyle w:val="16"/>
        <w:ind w:firstLine="204"/>
        <w:rPr>
          <w:b/>
          <w:lang w:eastAsia="zh-CN"/>
        </w:rPr>
      </w:pPr>
    </w:p>
    <w:p w14:paraId="37258434">
      <w:pPr>
        <w:pStyle w:val="16"/>
        <w:ind w:left="0" w:leftChars="0" w:firstLine="0" w:firstLineChars="0"/>
        <w:rPr>
          <w:b/>
          <w:lang w:eastAsia="zh-CN"/>
        </w:rPr>
      </w:pPr>
      <w:r>
        <w:rPr>
          <w:rFonts w:hint="eastAsia"/>
          <w:b/>
          <w:lang w:val="en-US" w:eastAsia="zh-CN"/>
        </w:rPr>
        <w:t xml:space="preserve">Text S2 </w:t>
      </w:r>
      <w:r>
        <w:rPr>
          <w:b/>
          <w:lang w:eastAsia="zh-CN"/>
        </w:rPr>
        <w:t>Batch adsorption experiments</w:t>
      </w:r>
      <w:r>
        <w:rPr>
          <w:rFonts w:hint="eastAsia"/>
          <w:b/>
          <w:lang w:eastAsia="zh-CN"/>
        </w:rPr>
        <w:t xml:space="preserve">. </w:t>
      </w:r>
    </w:p>
    <w:p w14:paraId="354D93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/>
          <w:lang w:eastAsia="zh-CN"/>
        </w:rPr>
      </w:pPr>
      <w:r>
        <w:rPr>
          <w:rFonts w:hint="eastAsia"/>
          <w:bCs/>
          <w:lang w:eastAsia="zh-CN"/>
        </w:rPr>
        <w:t xml:space="preserve">A stock solution of Sb(V) with a concentration of 100 mg/L was prepared by dissolving </w:t>
      </w:r>
      <w:r>
        <w:rPr>
          <w:bCs/>
          <w:lang w:eastAsia="zh-CN"/>
        </w:rPr>
        <w:t>potassium</w:t>
      </w:r>
      <w:r>
        <w:rPr>
          <w:rFonts w:hint="eastAsia"/>
          <w:bCs/>
          <w:lang w:eastAsia="zh-CN"/>
        </w:rPr>
        <w:t xml:space="preserve"> pyroantimonate in deionized water. It was stored at </w:t>
      </w:r>
      <w:r>
        <w:rPr>
          <w:bCs/>
          <w:lang w:eastAsia="zh-CN"/>
        </w:rPr>
        <w:t>4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°C</w:t>
      </w:r>
      <w:r>
        <w:rPr>
          <w:rFonts w:hint="eastAsia"/>
          <w:bCs/>
          <w:lang w:eastAsia="zh-CN"/>
        </w:rPr>
        <w:t xml:space="preserve"> in a refrigerator. A working solution of 1 mg/L was subsequently prepared for use in experiments, with the exception of those aimed at investigating the effect of varying initial Sb(V) concentrations.</w:t>
      </w:r>
    </w:p>
    <w:p w14:paraId="7C14592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bCs/>
          <w:lang w:eastAsia="zh-CN"/>
        </w:rPr>
        <w:t>Prior to</w:t>
      </w:r>
      <w:r>
        <w:rPr>
          <w:rFonts w:hint="eastAsia"/>
          <w:bCs/>
          <w:lang w:eastAsia="zh-CN"/>
        </w:rPr>
        <w:t xml:space="preserve"> the batch experiments, pre-screening experiments were conducted to evaluate the removal efficiency of Sb(V) by different types of BCs and MBCs. The material screening experiment was conducted by adding 0.025 g of the adsorbent to 50 mL of 1 mg/L Sb(V) solution, followed by constant temperature shaking for 12 h. The final concentration of Sb(V) was then measured, and calculated the removal efficiency. Based on the preliminary results, the MBC sample named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exhibiting the highest adsorption capacity was selected for subsequent batch adsorption studies. Each experiment was conducted using a thermostatic shaker (ZD-85, Gaoke, China) at 25</w:t>
      </w:r>
      <w:r>
        <w:rPr>
          <w:bCs/>
          <w:lang w:eastAsia="zh-CN"/>
        </w:rPr>
        <w:t>℃</w:t>
      </w:r>
      <w:r>
        <w:rPr>
          <w:rFonts w:hint="eastAsia"/>
          <w:bCs/>
          <w:lang w:eastAsia="zh-CN"/>
        </w:rPr>
        <w:t xml:space="preserve"> and 180 rpm for 12 h.</w:t>
      </w:r>
    </w:p>
    <w:p w14:paraId="33ADEAC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  <w:lang w:eastAsia="zh-CN"/>
        </w:rPr>
        <w:t>Batch adsorption experiments were systematically executed to examine the influences of adsorbent dosage, pH, co-existing substances, contact time, initial concentration, and temperature. The selected MBC (M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 xml:space="preserve">-S/R(4:1)-BC) was introduced at varying dosages (0.005 to 0.05 g) into 50 mL of a 1 mg/L Sb(V) solution to ascertain the optimal adsorption dosage. The initial pH of the solution was altered between 3 and 11 using 1 mol/L NaOH and/or HCl to assess pH-dependent adsorption mechanisms. Common ions and pollutants typically present in textile wastewater were utilized as co-existing substances to assess their influence on Sb(V) removal. Specifically, cations </w:t>
      </w:r>
      <w:r>
        <w:rPr>
          <w:bCs/>
          <w:lang w:eastAsia="zh-CN"/>
        </w:rPr>
        <w:t>(Na</w:t>
      </w:r>
      <w:r>
        <w:rPr>
          <w:rFonts w:hint="eastAsia"/>
          <w:bCs/>
          <w:vertAlign w:val="superscript"/>
          <w:lang w:eastAsia="zh-CN"/>
        </w:rPr>
        <w:t>+</w:t>
      </w:r>
      <w:r>
        <w:rPr>
          <w:bCs/>
          <w:lang w:eastAsia="zh-CN"/>
        </w:rPr>
        <w:t>, K</w:t>
      </w:r>
      <w:r>
        <w:rPr>
          <w:rFonts w:hint="eastAsia"/>
          <w:bCs/>
          <w:vertAlign w:val="superscript"/>
          <w:lang w:eastAsia="zh-CN"/>
        </w:rPr>
        <w:t>+</w:t>
      </w:r>
      <w:r>
        <w:rPr>
          <w:bCs/>
          <w:lang w:eastAsia="zh-CN"/>
        </w:rPr>
        <w:t>, Ca</w:t>
      </w:r>
      <w:r>
        <w:rPr>
          <w:rFonts w:hint="eastAsia"/>
          <w:bCs/>
          <w:vertAlign w:val="superscript"/>
          <w:lang w:eastAsia="zh-CN"/>
        </w:rPr>
        <w:t>2+</w:t>
      </w:r>
      <w:r>
        <w:rPr>
          <w:bCs/>
          <w:lang w:eastAsia="zh-CN"/>
        </w:rPr>
        <w:t>, Mg</w:t>
      </w:r>
      <w:r>
        <w:rPr>
          <w:rFonts w:hint="eastAsia"/>
          <w:bCs/>
          <w:vertAlign w:val="superscript"/>
          <w:lang w:eastAsia="zh-CN"/>
        </w:rPr>
        <w:t>2+</w:t>
      </w:r>
      <w:r>
        <w:rPr>
          <w:bCs/>
          <w:lang w:eastAsia="zh-CN"/>
        </w:rPr>
        <w:t>)</w:t>
      </w:r>
      <w:r>
        <w:rPr>
          <w:rFonts w:hint="eastAsia"/>
          <w:bCs/>
          <w:lang w:eastAsia="zh-CN"/>
        </w:rPr>
        <w:t xml:space="preserve"> and anions </w:t>
      </w:r>
      <w:r>
        <w:rPr>
          <w:bCs/>
          <w:lang w:eastAsia="zh-CN"/>
        </w:rPr>
        <w:t>(Cl</w:t>
      </w:r>
      <w:r>
        <w:rPr>
          <w:rFonts w:hint="eastAsia"/>
          <w:bCs/>
          <w:vertAlign w:val="superscript"/>
          <w:lang w:eastAsia="zh-CN"/>
        </w:rPr>
        <w:t>-</w:t>
      </w:r>
      <w:r>
        <w:rPr>
          <w:bCs/>
          <w:lang w:eastAsia="zh-CN"/>
        </w:rPr>
        <w:t>, NO</w:t>
      </w:r>
      <w:r>
        <w:rPr>
          <w:rFonts w:hint="eastAsia"/>
          <w:bCs/>
          <w:vertAlign w:val="subscript"/>
          <w:lang w:eastAsia="zh-CN"/>
        </w:rPr>
        <w:t>3</w:t>
      </w:r>
      <w:r>
        <w:rPr>
          <w:rFonts w:hint="eastAsia"/>
          <w:bCs/>
          <w:vertAlign w:val="superscript"/>
          <w:lang w:eastAsia="zh-CN"/>
        </w:rPr>
        <w:t>-</w:t>
      </w:r>
      <w:r>
        <w:rPr>
          <w:bCs/>
          <w:lang w:eastAsia="zh-CN"/>
        </w:rPr>
        <w:t>,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HCO</w:t>
      </w:r>
      <w:r>
        <w:rPr>
          <w:rFonts w:hint="eastAsia"/>
          <w:bCs/>
          <w:vertAlign w:val="subscript"/>
          <w:lang w:eastAsia="zh-CN"/>
        </w:rPr>
        <w:t>3</w:t>
      </w:r>
      <w:r>
        <w:rPr>
          <w:rFonts w:hint="eastAsia"/>
          <w:bCs/>
          <w:vertAlign w:val="superscript"/>
          <w:lang w:eastAsia="zh-CN"/>
        </w:rPr>
        <w:t>-</w:t>
      </w:r>
      <w:r>
        <w:rPr>
          <w:bCs/>
          <w:lang w:eastAsia="zh-CN"/>
        </w:rPr>
        <w:t>, SO</w:t>
      </w:r>
      <w:r>
        <w:rPr>
          <w:rFonts w:hint="eastAsia"/>
          <w:bCs/>
          <w:vertAlign w:val="subscript"/>
          <w:lang w:eastAsia="zh-CN"/>
        </w:rPr>
        <w:t>4</w:t>
      </w:r>
      <w:r>
        <w:rPr>
          <w:rFonts w:hint="eastAsia"/>
          <w:bCs/>
          <w:vertAlign w:val="superscript"/>
          <w:lang w:eastAsia="zh-CN"/>
        </w:rPr>
        <w:t>2-</w:t>
      </w:r>
      <w:r>
        <w:rPr>
          <w:bCs/>
          <w:lang w:eastAsia="zh-CN"/>
        </w:rPr>
        <w:t>)</w:t>
      </w:r>
      <w:r>
        <w:rPr>
          <w:rFonts w:hint="eastAsia"/>
          <w:bCs/>
          <w:lang w:eastAsia="zh-CN"/>
        </w:rPr>
        <w:t xml:space="preserve"> with concentrations ranging from 0 to 10 mmol/L; phosphate concentrations were varied from 0 to 5 mg/L; reactive red and disperse orange dyes were tested at concentrations of 0 to 30 mg/L; and humic acid was included at levels of 0 to 15 mg/L. Kinetics experiments involved adding 0.250 g of the selected MBC to 500 mL of Sb(V) working solution at 30, 35, and 40 </w:t>
      </w:r>
      <w:r>
        <w:rPr>
          <w:bCs/>
          <w:lang w:eastAsia="zh-CN"/>
        </w:rPr>
        <w:t>℃</w:t>
      </w:r>
      <w:r>
        <w:rPr>
          <w:rFonts w:hint="eastAsia"/>
          <w:bCs/>
          <w:lang w:eastAsia="zh-CN"/>
        </w:rPr>
        <w:t xml:space="preserve"> while implementing mechanical stirring and interval sampling. Adsorption isotherm studies were conducted by adding 0.025 g of MBC into 50 mL of Sb(V) solution with initial concentrations ranging from 1 to 100 mg/L. Furthermore, the thermodynamics of Sb(V) removal by MBC were studied at 30, 35, and 40 </w:t>
      </w:r>
      <w:r>
        <w:rPr>
          <w:bCs/>
          <w:lang w:eastAsia="zh-CN"/>
        </w:rPr>
        <w:t>℃</w:t>
      </w:r>
      <w:r>
        <w:rPr>
          <w:rFonts w:hint="eastAsia"/>
          <w:bCs/>
          <w:lang w:eastAsia="zh-CN"/>
        </w:rPr>
        <w:t xml:space="preserve">. </w:t>
      </w:r>
    </w:p>
    <w:p w14:paraId="321520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After </w:t>
      </w:r>
      <w:r>
        <w:rPr>
          <w:bCs/>
          <w:lang w:eastAsia="zh-CN"/>
        </w:rPr>
        <w:t>adsorption</w:t>
      </w:r>
      <w:r>
        <w:rPr>
          <w:rFonts w:hint="eastAsia"/>
          <w:bCs/>
          <w:lang w:eastAsia="zh-CN"/>
        </w:rPr>
        <w:t xml:space="preserve">, all samples were passed through a 0.45 </w:t>
      </w:r>
      <w:r>
        <w:rPr>
          <w:bCs/>
          <w:lang w:eastAsia="zh-CN"/>
        </w:rPr>
        <w:t>μm</w:t>
      </w:r>
      <w:r>
        <w:rPr>
          <w:rFonts w:hint="eastAsia"/>
          <w:bCs/>
          <w:lang w:eastAsia="zh-CN"/>
        </w:rPr>
        <w:t xml:space="preserve"> filter for quantitative analysis. The concentration of Sb(V) in the </w:t>
      </w:r>
      <w:r>
        <w:rPr>
          <w:rFonts w:hint="eastAsia"/>
          <w:lang w:eastAsia="zh-CN"/>
        </w:rPr>
        <w:t>supernatant</w:t>
      </w:r>
      <w:r>
        <w:rPr>
          <w:rFonts w:hint="eastAsia"/>
          <w:bCs/>
          <w:lang w:eastAsia="zh-CN"/>
        </w:rPr>
        <w:t xml:space="preserve"> was measured using an inductively coupled plasma-atomic emission spectrometer (ICP-AES, Thermo Fisher Scientific, USA), enabling the calculation of removal efficiency. All adsorption experiments were repeated three times. </w:t>
      </w:r>
      <w:r>
        <w:rPr>
          <w:bCs/>
          <w:lang w:eastAsia="zh-CN"/>
        </w:rPr>
        <w:t xml:space="preserve">To assess the adsorption </w:t>
      </w:r>
      <w:r>
        <w:rPr>
          <w:rFonts w:hint="eastAsia"/>
          <w:bCs/>
          <w:lang w:eastAsia="zh-CN"/>
        </w:rPr>
        <w:t>mechanism</w:t>
      </w:r>
      <w:r>
        <w:rPr>
          <w:bCs/>
          <w:lang w:eastAsia="zh-CN"/>
        </w:rPr>
        <w:t>, the pseudo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first-order and pseudo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second-order kinetic models</w:t>
      </w:r>
      <w:r>
        <w:rPr>
          <w:rFonts w:hint="eastAsia"/>
          <w:bCs/>
          <w:lang w:eastAsia="zh-CN"/>
        </w:rPr>
        <w:t>,</w:t>
      </w:r>
    </w:p>
    <w:p w14:paraId="6F85DAE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bCs/>
          <w:lang w:eastAsia="zh-CN"/>
        </w:rPr>
        <w:t>the Langmuir</w:t>
      </w:r>
      <w:r>
        <w:rPr>
          <w:rFonts w:hint="eastAsia"/>
          <w:bCs/>
          <w:lang w:eastAsia="zh-CN"/>
        </w:rPr>
        <w:t>,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and </w:t>
      </w:r>
      <w:r>
        <w:rPr>
          <w:bCs/>
          <w:lang w:eastAsia="zh-CN"/>
        </w:rPr>
        <w:t>Freundlich isotherm adsorption models</w:t>
      </w:r>
      <w:r>
        <w:rPr>
          <w:rFonts w:hint="eastAsia"/>
          <w:bCs/>
          <w:lang w:eastAsia="zh-CN"/>
        </w:rPr>
        <w:t xml:space="preserve"> and </w:t>
      </w:r>
      <w:r>
        <w:rPr>
          <w:bCs/>
          <w:lang w:eastAsia="zh-CN"/>
        </w:rPr>
        <w:t>the thermodynamic equations</w:t>
      </w:r>
      <w:r>
        <w:rPr>
          <w:rFonts w:hint="eastAsia"/>
          <w:bCs/>
          <w:lang w:eastAsia="zh-CN"/>
        </w:rPr>
        <w:t xml:space="preserve"> were used in this study.</w:t>
      </w:r>
    </w:p>
    <w:p w14:paraId="7D2CC0F0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</w:rPr>
        <w:t xml:space="preserve">Pseudo first-order kinetic </w:t>
      </w:r>
      <w:r>
        <w:rPr>
          <w:bCs/>
        </w:rPr>
        <w:t>equation:</w:t>
      </w:r>
    </w:p>
    <w:p w14:paraId="6A77D9EC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b w:val="0"/>
          <w:i w:val="0"/>
          <w:iCs/>
          <w:lang w:val="en-US" w:eastAsia="zh-CN"/>
        </w:rPr>
      </w:pPr>
      <m:oMathPara>
        <m:oMath>
          <m:eqArr>
            <m:eqArrPr>
              <m:maxDist m:val="1"/>
              <m:ctrlPr>
                <w:rPr>
                  <w:rFonts w:hint="eastAsia"/>
                  <w:iCs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</w:rPr>
                    <m:t>q</m:t>
                  </m:r>
                  <m:ctrlPr>
                    <w:rPr>
                      <w:rFonts w:ascii="Cambria Math" w:hAnsi="Cambria Math"/>
                      <w:i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iCs/>
                    </w:rPr>
                    <m:t>t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  <w:iCs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</w:rPr>
                    <m:t>q</m:t>
                  </m: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iCs/>
                    </w:rPr>
                    <m:t>e</m:t>
                  </m: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  <w:iCs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SupPr>
                <m:e>
                  <m:r>
                    <m:rPr>
                      <m:nor/>
                    </m:rPr>
                    <w:rPr>
                      <w:i/>
                    </w:rPr>
                    <m:t>e</m:t>
                  </m:r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e>
                <m:sup>
                  <m:r>
                    <m:rPr>
                      <m:nor/>
                    </m:rPr>
                    <w:rPr>
                      <w:i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  <w:iCs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sup>
              </m:sSup>
              <m:r>
                <m:rPr>
                  <m:nor/>
                  <m:sty m:val="p"/>
                </m:rPr>
                <w:rPr>
                  <w:b w:val="0"/>
                  <w:i w:val="0"/>
                  <w:iCs/>
                </w:rPr>
                <m:t>)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eastAsia"/>
                  <w:b w:val="0"/>
                  <w:i w:val="0"/>
                  <w:iCs/>
                  <w:lang w:val="en-US" w:eastAsia="zh-CN"/>
                </w:rPr>
                <m:t>Seq</m:t>
              </m:r>
              <m:r>
                <m:rPr>
                  <m:nor/>
                  <m:sty m:val="p"/>
                </m:rPr>
                <w:rPr>
                  <w:rFonts w:hint="default"/>
                  <w:b w:val="0"/>
                  <w:i w:val="0"/>
                  <w:iCs/>
                  <w:lang w:val="en-US" w:eastAsia="zh-CN"/>
                </w:rPr>
                <m:t>.(1)</m:t>
              </m:r>
              <m:ctrlPr>
                <w:rPr>
                  <w:rFonts w:hint="eastAsia"/>
                  <w:iCs/>
                </w:rPr>
              </m:ctrlPr>
            </m:e>
          </m:eqArr>
        </m:oMath>
      </m:oMathPara>
    </w:p>
    <w:p w14:paraId="500B24C0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</w:rPr>
        <w:t xml:space="preserve">Pseudo second-order kinetic </w:t>
      </w:r>
      <w:r>
        <w:rPr>
          <w:bCs/>
        </w:rPr>
        <w:t>equation:</w:t>
      </w:r>
    </w:p>
    <w:p w14:paraId="37D82941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hAnsi="Times New Roman" w:cs="Times New Roman"/>
          <w:bCs/>
          <w:i w:val="0"/>
          <w:iCs/>
          <w:lang w:val="en-US" w:eastAsia="zh-CN"/>
        </w:rPr>
      </w:pPr>
      <m:oMathPara>
        <m:oMath>
          <m:eqArr>
            <m:eqArrPr>
              <m:maxDist m:val="1"/>
              <m:ctrlPr>
                <w:rPr>
                  <w:rFonts w:hint="eastAsia" w:hAnsi="Cambria Math"/>
                  <w:bCs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</w:rPr>
                    <m:t>q</m:t>
                  </m: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t</m:t>
                  </m: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ub>
                  </m:sSub>
                  <m:r>
                    <m:rPr>
                      <m:nor/>
                    </m:rPr>
                    <w:rPr>
                      <w:i/>
                      <w:iCs/>
                    </w:rPr>
                    <m:t>t</m:t>
                  </m:r>
                  <m:ctrlPr>
                    <w:rPr>
                      <w:rFonts w:ascii="Cambria Math" w:hAnsi="Cambria Math"/>
                      <w:bCs/>
                      <w:i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ub>
                  </m:sSub>
                  <m:r>
                    <m:rPr>
                      <m:nor/>
                    </m:rPr>
                    <w:rPr>
                      <w:i/>
                      <w:iCs/>
                    </w:rPr>
                    <m:t>t</m:t>
                  </m: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Seq.(2)</m:t>
              </m:r>
              <m:ctrlPr>
                <w:rPr>
                  <w:rFonts w:hint="eastAsia" w:hAnsi="Cambria Math"/>
                  <w:bCs/>
                </w:rPr>
              </m:ctrlPr>
            </m:e>
          </m:eqArr>
        </m:oMath>
      </m:oMathPara>
    </w:p>
    <w:p w14:paraId="16184F0E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</w:rPr>
      </w:pPr>
      <w:r>
        <w:rPr>
          <w:bCs/>
        </w:rPr>
        <w:t xml:space="preserve">where </w:t>
      </w:r>
      <w:r>
        <w:rPr>
          <w:bCs/>
          <w:i/>
          <w:iCs/>
        </w:rPr>
        <w:t>t</w:t>
      </w:r>
      <w:r>
        <w:rPr>
          <w:bCs/>
        </w:rPr>
        <w:t xml:space="preserve"> represents the adsorption time (min),</w:t>
      </w:r>
      <w:r>
        <w:rPr>
          <w:rFonts w:hint="eastAsia"/>
          <w:bCs/>
        </w:rPr>
        <w:t xml:space="preserve"> </w:t>
      </w:r>
      <w:r>
        <w:rPr>
          <w:bCs/>
          <w:i/>
          <w:iCs/>
        </w:rPr>
        <w:t>k</w:t>
      </w:r>
      <w:r>
        <w:rPr>
          <w:bCs/>
        </w:rPr>
        <w:t xml:space="preserve">₁ (1/min) and </w:t>
      </w:r>
      <w:r>
        <w:rPr>
          <w:bCs/>
          <w:i/>
          <w:iCs/>
        </w:rPr>
        <w:t>k</w:t>
      </w:r>
      <w:r>
        <w:rPr>
          <w:bCs/>
        </w:rPr>
        <w:t>₂ (g·mg/min) are the rate constants for the pseudo</w:t>
      </w:r>
      <w:r>
        <w:rPr>
          <w:rFonts w:hint="eastAsia"/>
          <w:bCs/>
        </w:rPr>
        <w:t xml:space="preserve"> </w:t>
      </w:r>
      <w:r>
        <w:rPr>
          <w:bCs/>
        </w:rPr>
        <w:t>first-order and pseudo</w:t>
      </w:r>
      <w:r>
        <w:rPr>
          <w:rFonts w:hint="eastAsia"/>
          <w:bCs/>
        </w:rPr>
        <w:t xml:space="preserve"> </w:t>
      </w:r>
      <w:r>
        <w:rPr>
          <w:bCs/>
        </w:rPr>
        <w:t xml:space="preserve">second-order kinetic models, respectively, while </w:t>
      </w:r>
      <w:r>
        <w:rPr>
          <w:bCs/>
          <w:i/>
          <w:iCs/>
        </w:rPr>
        <w:t>q</w:t>
      </w:r>
      <w:r>
        <w:rPr>
          <w:bCs/>
        </w:rPr>
        <w:t xml:space="preserve">ₜ and </w:t>
      </w:r>
      <w:r>
        <w:rPr>
          <w:bCs/>
          <w:i/>
          <w:iCs/>
        </w:rPr>
        <w:t>q</w:t>
      </w:r>
      <w:r>
        <w:rPr>
          <w:bCs/>
        </w:rPr>
        <w:t xml:space="preserve">ₑ (mg/g) signify the adsorption capacities of the magnetic </w:t>
      </w:r>
      <w:r>
        <w:rPr>
          <w:rFonts w:hint="eastAsia"/>
          <w:bCs/>
        </w:rPr>
        <w:t xml:space="preserve">modified </w:t>
      </w:r>
      <w:r>
        <w:rPr>
          <w:bCs/>
        </w:rPr>
        <w:t xml:space="preserve">biochar material at time </w:t>
      </w:r>
      <w:r>
        <w:rPr>
          <w:bCs/>
          <w:i/>
          <w:iCs/>
        </w:rPr>
        <w:t>t</w:t>
      </w:r>
      <w:r>
        <w:rPr>
          <w:bCs/>
        </w:rPr>
        <w:t xml:space="preserve"> and at equilibrium, respectively.</w:t>
      </w:r>
    </w:p>
    <w:p w14:paraId="3D9D8A94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</w:rPr>
      </w:pPr>
      <w:r>
        <w:rPr>
          <w:bCs/>
        </w:rPr>
        <w:t>Langmuir model:</w:t>
      </w:r>
    </w:p>
    <w:p w14:paraId="2D467ACA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hAnsi="Times New Roman" w:cs="Times New Roman"/>
          <w:b w:val="0"/>
          <w:bCs/>
          <w:i w:val="0"/>
          <w:iCs/>
          <w:lang w:val="en-US" w:eastAsia="zh-CN"/>
        </w:rPr>
      </w:pPr>
      <m:oMathPara>
        <m:oMath>
          <m:eqArr>
            <m:eqArrPr>
              <m:maxDist m:val="1"/>
              <m:ctrlPr>
                <w:rPr>
                  <w:rFonts w:hint="eastAsia" w:hAnsi="Cambria Math"/>
                  <w:bCs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</w:rPr>
                    <m:t>q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e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L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L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Seq.(3)</m:t>
              </m:r>
              <m:ctrlPr>
                <w:rPr>
                  <w:rFonts w:hint="eastAsia" w:hAnsi="Cambria Math"/>
                  <w:bCs/>
                </w:rPr>
              </m:ctrlPr>
            </m:e>
          </m:eqArr>
        </m:oMath>
      </m:oMathPara>
    </w:p>
    <w:p w14:paraId="4C89D2DD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</w:rPr>
      </w:pPr>
      <w:r>
        <w:rPr>
          <w:bCs/>
        </w:rPr>
        <w:t>Freundlich model:</w:t>
      </w:r>
    </w:p>
    <w:p w14:paraId="2F3E4590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hAnsi="Times New Roman" w:cs="Times New Roman"/>
          <w:b w:val="0"/>
          <w:bCs/>
          <w:i w:val="0"/>
          <w:iCs/>
          <w:lang w:val="en-US" w:eastAsia="zh-CN"/>
        </w:rPr>
      </w:pPr>
      <m:oMathPara>
        <m:oMath>
          <m:eqArr>
            <m:eqArrPr>
              <m:maxDist m:val="1"/>
              <m:ctrlPr>
                <w:rPr>
                  <w:rFonts w:hint="eastAsia" w:hAnsi="Cambria Math"/>
                  <w:bCs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</w:rPr>
                    <m:t>q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e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</w:rPr>
                    <m:t>K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F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b>
              </m:sSub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i/>
                      <w:iCs/>
                    </w:rPr>
                    <m:t>C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e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b>
                <m:sup>
                  <m:box>
                    <m:boxPr>
                      <m:ctrlPr>
                        <w:rPr>
                          <w:rFonts w:ascii="Cambria Math" w:hAnsi="Cambria Math"/>
                          <w:bCs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fPr>
                        <m:num>
                          <m:r>
                            <m:rPr>
                              <m:nor/>
                              <m:sty m:val="p"/>
                            </m:rPr>
                            <w:rPr>
                              <w:b w:val="0"/>
                              <w:i w:val="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num>
                        <m:den>
                          <m:r>
                            <m:rPr>
                              <m:nor/>
                              <m:sty m:val="p"/>
                            </m:rPr>
                            <w:rPr>
                              <w:b w:val="0"/>
                              <w:i w:val="0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bCs/>
                        </w:rPr>
                      </m:ctrlPr>
                    </m:e>
                  </m:box>
                  <m:ctrlPr>
                    <w:rPr>
                      <w:rFonts w:ascii="Cambria Math" w:hAnsi="Cambria Math"/>
                      <w:bCs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Seq.(4)</m:t>
              </m:r>
              <m:ctrlPr>
                <w:rPr>
                  <w:rFonts w:hint="eastAsia" w:hAnsi="Cambria Math"/>
                  <w:bCs/>
                </w:rPr>
              </m:ctrlPr>
            </m:e>
          </m:eqArr>
        </m:oMath>
      </m:oMathPara>
    </w:p>
    <w:p w14:paraId="54980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</w:rPr>
      </w:pPr>
      <w:r>
        <w:rPr>
          <w:bCs/>
        </w:rPr>
        <w:t>Where</w:t>
      </w:r>
      <w:r>
        <w:rPr>
          <w:rFonts w:hint="eastAsia"/>
          <w:bCs/>
        </w:rPr>
        <w:t xml:space="preserve"> </w:t>
      </w:r>
      <w:r>
        <w:rPr>
          <w:bCs/>
          <w:i/>
          <w:iCs/>
        </w:rPr>
        <w:t>K</w:t>
      </w:r>
      <w:r>
        <w:rPr>
          <w:bCs/>
          <w:vertAlign w:val="subscript"/>
        </w:rPr>
        <w:t>L</w:t>
      </w:r>
      <w:r>
        <w:rPr>
          <w:rFonts w:hint="eastAsia"/>
          <w:bCs/>
        </w:rPr>
        <w:t>(</w:t>
      </w:r>
      <w:r>
        <w:rPr>
          <w:bCs/>
        </w:rPr>
        <w:t>L</w:t>
      </w:r>
      <w:r>
        <w:rPr>
          <w:rFonts w:hint="eastAsia"/>
          <w:bCs/>
        </w:rPr>
        <w:t xml:space="preserve">/mg) </w:t>
      </w:r>
      <w:r>
        <w:rPr>
          <w:bCs/>
        </w:rPr>
        <w:t>represents the Langmuir isotherm constant associated with temperature,</w:t>
      </w:r>
      <w:r>
        <w:rPr>
          <w:rFonts w:hint="eastAsia"/>
          <w:bCs/>
        </w:rPr>
        <w:t xml:space="preserve"> </w:t>
      </w:r>
      <w:r>
        <w:rPr>
          <w:bCs/>
          <w:i/>
          <w:iCs/>
        </w:rPr>
        <w:t>K</w:t>
      </w:r>
      <w:r>
        <w:rPr>
          <w:bCs/>
          <w:vertAlign w:val="subscript"/>
        </w:rPr>
        <w:t>F</w:t>
      </w:r>
      <w:r>
        <w:rPr>
          <w:rFonts w:hint="eastAsia"/>
          <w:bCs/>
        </w:rPr>
        <w:t>(</w:t>
      </w:r>
      <w:r>
        <w:rPr>
          <w:bCs/>
        </w:rPr>
        <w:t>mg</w:t>
      </w:r>
      <w:r>
        <w:rPr>
          <w:rFonts w:hint="eastAsia"/>
          <w:bCs/>
        </w:rPr>
        <w:t>/(</w:t>
      </w:r>
      <w:r>
        <w:rPr>
          <w:bCs/>
        </w:rPr>
        <w:t>g·mg</w:t>
      </w:r>
      <w:r>
        <w:rPr>
          <w:bCs/>
          <w:vertAlign w:val="superscript"/>
        </w:rPr>
        <w:t>1/n</w:t>
      </w:r>
      <w:r>
        <w:rPr>
          <w:rFonts w:hint="eastAsia"/>
          <w:bCs/>
        </w:rPr>
        <w:t xml:space="preserve">)) </w:t>
      </w:r>
      <w:r>
        <w:rPr>
          <w:bCs/>
        </w:rPr>
        <w:t>denotes the Freundlich isotherm parameter linked to adsorption capacity,</w:t>
      </w:r>
      <w:r>
        <w:rPr>
          <w:bCs/>
          <w:i/>
          <w:iCs/>
        </w:rPr>
        <w:t xml:space="preserve"> n </w:t>
      </w:r>
      <w:r>
        <w:rPr>
          <w:bCs/>
        </w:rPr>
        <w:t xml:space="preserve">represents the constant associated with adsorption intensity, </w:t>
      </w:r>
      <w:r>
        <w:rPr>
          <w:bCs/>
          <w:i/>
          <w:iCs/>
        </w:rPr>
        <w:t>q</w:t>
      </w:r>
      <w:r>
        <w:rPr>
          <w:bCs/>
        </w:rPr>
        <w:t xml:space="preserve">ₘ (mg/g) signifies the maximum monolayer adsorption capacity of the adsorbent, and </w:t>
      </w:r>
      <w:r>
        <w:rPr>
          <w:bCs/>
          <w:i/>
          <w:iCs/>
        </w:rPr>
        <w:t>C</w:t>
      </w:r>
      <w:r>
        <w:rPr>
          <w:bCs/>
        </w:rPr>
        <w:t>ₑ (mg/L) is defined as the equilibrium concentration of Sb(V).</w:t>
      </w:r>
    </w:p>
    <w:p w14:paraId="68713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Cs/>
          <w:lang w:eastAsia="zh-CN"/>
        </w:rPr>
      </w:pPr>
      <w:r>
        <w:rPr>
          <w:rFonts w:hint="eastAsia"/>
          <w:bCs/>
          <w:lang w:eastAsia="zh-CN"/>
        </w:rPr>
        <w:t>T</w:t>
      </w:r>
      <w:r>
        <w:rPr>
          <w:bCs/>
          <w:lang w:eastAsia="zh-CN"/>
        </w:rPr>
        <w:t>hermodynamic equations</w:t>
      </w:r>
      <w:r>
        <w:rPr>
          <w:rFonts w:hint="eastAsia"/>
          <w:bCs/>
          <w:lang w:eastAsia="zh-CN"/>
        </w:rPr>
        <w:t xml:space="preserve">： </w:t>
      </w:r>
    </w:p>
    <w:p w14:paraId="7BDB3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hAnsi="Times New Roman" w:cs="Times New Roman"/>
          <w:b w:val="0"/>
          <w:bCs/>
          <w:i w:val="0"/>
          <w:iCs/>
          <w:lang w:val="en-US" w:eastAsia="zh-CN"/>
        </w:rPr>
      </w:pPr>
      <m:oMathPara>
        <m:oMathParaPr>
          <m:jc m:val="right"/>
        </m:oMathParaPr>
        <m:oMath>
          <m:eqArr>
            <m:eqArrPr>
              <m:maxDist m:val="1"/>
              <m:ctrlPr>
                <w:rPr>
                  <w:rFonts w:hint="eastAsia" w:hAnsi="Cambria Math"/>
                  <w:bCs/>
                  <w:szCs w:val="24"/>
                </w:rPr>
              </m:ctrlPr>
            </m:eqArrPr>
            <m:e>
              <m:r>
                <m:rPr>
                  <m:nor/>
                  <m:sty m:val="p"/>
                </m:rPr>
                <w:rPr>
                  <w:b w:val="0"/>
                  <w:i w:val="0"/>
                  <w:szCs w:val="24"/>
                </w:rPr>
                <m:t>Δ</m:t>
              </m:r>
              <m:r>
                <m:rPr>
                  <m:nor/>
                </m:rPr>
                <w:rPr>
                  <w:i/>
                  <w:iCs/>
                  <w:szCs w:val="24"/>
                </w:rPr>
                <m:t>G</m:t>
              </m:r>
              <m:r>
                <m:rPr>
                  <m:nor/>
                  <m:sty m:val="p"/>
                </m:rPr>
                <w:rPr>
                  <w:b w:val="0"/>
                  <w:i w:val="0"/>
                  <w:szCs w:val="24"/>
                </w:rPr>
                <m:t>=-</m:t>
              </m:r>
              <m:r>
                <m:rPr>
                  <m:nor/>
                </m:rPr>
                <w:rPr>
                  <w:i/>
                  <w:iCs/>
                  <w:szCs w:val="24"/>
                </w:rPr>
                <m:t>RT</m:t>
              </m:r>
              <m:r>
                <m:rPr>
                  <m:nor/>
                  <m:sty m:val="p"/>
                </m:rPr>
                <w:rPr>
                  <w:b w:val="0"/>
                  <w:i w:val="0"/>
                  <w:szCs w:val="24"/>
                </w:rPr>
                <m:t>ln</m:t>
              </m:r>
              <m:sSub>
                <m:sSubPr>
                  <m:ctrlPr>
                    <w:rPr>
                      <w:rFonts w:ascii="Cambria Math" w:hAnsi="Cambria Math"/>
                      <w:bCs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  <w:szCs w:val="24"/>
                    </w:rPr>
                    <m:t>K</m:t>
                  </m:r>
                  <m:ctrlPr>
                    <w:rPr>
                      <w:rFonts w:ascii="Cambria Math" w:hAnsi="Cambria Math"/>
                      <w:bCs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szCs w:val="24"/>
                    </w:rPr>
                    <m:t>d</m:t>
                  </m:r>
                  <m:ctrlPr>
                    <w:rPr>
                      <w:rFonts w:ascii="Cambria Math" w:hAnsi="Cambria Math"/>
                      <w:bCs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Seq.(5)</m:t>
              </m:r>
              <m:ctrlPr>
                <w:rPr>
                  <w:rFonts w:hint="eastAsia" w:hAnsi="Cambria Math"/>
                  <w:bCs/>
                  <w:szCs w:val="24"/>
                </w:rPr>
              </m:ctrlPr>
            </m:e>
          </m:eqArr>
        </m:oMath>
      </m:oMathPara>
    </w:p>
    <w:p w14:paraId="7B8D9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lang w:val="en-US" w:eastAsia="zh-CN"/>
        </w:rPr>
      </w:pPr>
      <m:oMathPara>
        <m:oMathParaPr>
          <m:jc m:val="right"/>
        </m:oMathParaPr>
        <m:oMath>
          <m:eqArr>
            <m:eqArrPr>
              <m:maxDist m:val="1"/>
              <m:ctrlPr>
                <w:rPr>
                  <w:rFonts w:hint="default" w:ascii="Cambria Math" w:hAnsi="Cambria Math" w:cs="Times New Roman"/>
                  <w:iCs/>
                  <w:szCs w:val="24"/>
                </w:rPr>
              </m:ctrlPr>
            </m:eqArr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Times New Roman" w:cs="Times New Roman"/>
                  <w:b w:val="0"/>
                  <w:i w:val="0"/>
                </w:rPr>
                <m:t>Δ</m:t>
              </m:r>
              <m:r>
                <m:rPr>
                  <m:nor/>
                </m:rPr>
                <w:rPr>
                  <w:rFonts w:hint="default" w:ascii="Times New Roman" w:hAnsi="Times New Roman" w:eastAsia="Times New Roman" w:cs="Times New Roman"/>
                  <w:i/>
                </w:rPr>
                <m:t>G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Times New Roman" w:cs="Times New Roman"/>
                  <w:b w:val="0"/>
                  <w:i w:val="0"/>
                </w:rPr>
                <m:t>=Δ</m:t>
              </m:r>
              <m:r>
                <m:rPr>
                  <m:nor/>
                </m:rPr>
                <w:rPr>
                  <w:rFonts w:hint="default" w:ascii="Times New Roman" w:hAnsi="Times New Roman" w:eastAsia="Times New Roman" w:cs="Times New Roman"/>
                  <w:i/>
                </w:rPr>
                <m:t>H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Times New Roman" w:cs="Times New Roman"/>
                  <w:b w:val="0"/>
                  <w:i w:val="0"/>
                </w:rPr>
                <m:t>−</m:t>
              </m:r>
              <m:r>
                <m:rPr>
                  <m:nor/>
                </m:rPr>
                <w:rPr>
                  <w:rFonts w:hint="default" w:ascii="Times New Roman" w:hAnsi="Times New Roman" w:eastAsia="Times New Roman" w:cs="Times New Roman"/>
                  <w:i/>
                </w:rPr>
                <m:t>T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Times New Roman" w:cs="Times New Roman"/>
                  <w:b w:val="0"/>
                  <w:i w:val="0"/>
                </w:rPr>
                <m:t>Δ</m:t>
              </m:r>
              <m:r>
                <m:rPr>
                  <m:nor/>
                </m:rPr>
                <w:rPr>
                  <w:rFonts w:hint="default" w:ascii="Times New Roman" w:hAnsi="Times New Roman" w:eastAsia="Times New Roman" w:cs="Times New Roman"/>
                  <w:i/>
                </w:rPr>
                <m:t>S</m:t>
              </m:r>
              <m:r>
                <m:rPr>
                  <m:sty m:val="p"/>
                </m:rPr>
                <w:rPr>
                  <w:rFonts w:hint="default" w:ascii="Cambria Math" w:hAnsi="Cambria Math" w:eastAsia="Times New Roman" w:cs="Times New Roman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Seq.(6)</m:t>
              </m:r>
              <m:ctrlPr>
                <w:rPr>
                  <w:rFonts w:hint="default" w:ascii="Cambria Math" w:hAnsi="Cambria Math" w:cs="Times New Roman"/>
                  <w:iCs/>
                  <w:szCs w:val="24"/>
                </w:rPr>
              </m:ctrlPr>
            </m:e>
          </m:eqArr>
        </m:oMath>
      </m:oMathPara>
    </w:p>
    <w:p w14:paraId="23695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41" w:firstLine="480" w:firstLineChars="200"/>
        <w:jc w:val="right"/>
        <w:textAlignment w:val="auto"/>
        <w:rPr>
          <w:rFonts w:hint="default" w:hAnsi="Times New Roman" w:cs="Times New Roman"/>
          <w:b w:val="0"/>
          <w:bCs/>
          <w:i w:val="0"/>
          <w:iCs/>
          <w:lang w:val="en-US" w:eastAsia="zh-CN"/>
        </w:rPr>
      </w:pPr>
      <m:oMathPara>
        <m:oMathParaPr>
          <m:jc m:val="right"/>
        </m:oMathParaPr>
        <m:oMath>
          <m:eqArr>
            <m:eqArrPr>
              <m:maxDist m:val="1"/>
              <m:ctrlPr>
                <w:rPr>
                  <w:rFonts w:hint="eastAsia" w:hAnsi="Cambria Math"/>
                  <w:bCs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iCs/>
                      <w:szCs w:val="24"/>
                    </w:rPr>
                    <m:t>K</m:t>
                  </m: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  <w:szCs w:val="24"/>
                    </w:rPr>
                    <m:t>d</m:t>
                  </m: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b w:val="0"/>
                  <w:i w:val="0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  <w:szCs w:val="24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  <w:szCs w:val="24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  <w:szCs w:val="24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b w:val="0"/>
                          <w:i w:val="0"/>
                          <w:szCs w:val="24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Cambria Math"/>
                  <w:lang w:val="en-US" w:eastAsia="zh-CN"/>
                </w:rPr>
                <m:t>#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bCs/>
                  <w:i w:val="0"/>
                  <w:iCs/>
                  <w:lang w:val="en-US" w:eastAsia="zh-CN"/>
                </w:rPr>
                <m:t>Seq.(7)</m:t>
              </m:r>
              <m:ctrlPr>
                <w:rPr>
                  <w:rFonts w:hint="eastAsia" w:hAnsi="Cambria Math"/>
                  <w:bCs/>
                  <w:szCs w:val="24"/>
                </w:rPr>
              </m:ctrlPr>
            </m:e>
          </m:eqArr>
        </m:oMath>
      </m:oMathPara>
    </w:p>
    <w:p w14:paraId="16298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Cs w:val="24"/>
        </w:rPr>
      </w:pPr>
      <w:r>
        <w:rPr>
          <w:bCs/>
          <w:szCs w:val="24"/>
        </w:rPr>
        <w:t xml:space="preserve">where </w:t>
      </w:r>
      <w:r>
        <w:rPr>
          <w:bCs/>
          <w:i/>
          <w:iCs/>
          <w:szCs w:val="24"/>
        </w:rPr>
        <w:t>R</w:t>
      </w:r>
      <w:r>
        <w:rPr>
          <w:bCs/>
          <w:szCs w:val="24"/>
        </w:rPr>
        <w:t>=8.314</w:t>
      </w:r>
      <w:r>
        <w:rPr>
          <w:rFonts w:hint="eastAsia"/>
          <w:bCs/>
          <w:szCs w:val="24"/>
        </w:rPr>
        <w:t xml:space="preserve"> </w:t>
      </w:r>
      <w:r>
        <w:rPr>
          <w:bCs/>
          <w:szCs w:val="24"/>
        </w:rPr>
        <w:t>J</w:t>
      </w:r>
      <w:r>
        <w:rPr>
          <w:rFonts w:hint="eastAsia"/>
          <w:bCs/>
          <w:szCs w:val="24"/>
          <w:lang w:eastAsia="zh-CN"/>
        </w:rPr>
        <w:t>/(</w:t>
      </w:r>
      <w:r>
        <w:rPr>
          <w:bCs/>
          <w:szCs w:val="24"/>
        </w:rPr>
        <w:t>mol·K</w:t>
      </w:r>
      <w:r>
        <w:rPr>
          <w:rFonts w:hint="eastAsia"/>
          <w:bCs/>
          <w:szCs w:val="24"/>
          <w:lang w:eastAsia="zh-CN"/>
        </w:rPr>
        <w:t>)</w:t>
      </w:r>
      <w:r>
        <w:rPr>
          <w:bCs/>
          <w:szCs w:val="24"/>
        </w:rPr>
        <w:t>, Δ</w:t>
      </w:r>
      <w:r>
        <w:rPr>
          <w:bCs/>
          <w:i/>
          <w:iCs/>
          <w:szCs w:val="24"/>
        </w:rPr>
        <w:t>G</w:t>
      </w:r>
      <w:r>
        <w:rPr>
          <w:bCs/>
          <w:szCs w:val="24"/>
        </w:rPr>
        <w:t xml:space="preserve"> (kJ/mol) signifies the Gibbs free energy, Δ</w:t>
      </w:r>
      <w:r>
        <w:rPr>
          <w:bCs/>
          <w:i/>
          <w:iCs/>
          <w:szCs w:val="24"/>
        </w:rPr>
        <w:t>H</w:t>
      </w:r>
      <w:r>
        <w:rPr>
          <w:bCs/>
          <w:szCs w:val="24"/>
        </w:rPr>
        <w:t xml:space="preserve"> (kJ/mol) indicates the enthalpy, Δ</w:t>
      </w:r>
      <w:r>
        <w:rPr>
          <w:bCs/>
          <w:i/>
          <w:iCs/>
          <w:szCs w:val="24"/>
        </w:rPr>
        <w:t>S</w:t>
      </w:r>
      <w:r>
        <w:rPr>
          <w:bCs/>
          <w:szCs w:val="24"/>
        </w:rPr>
        <w:t xml:space="preserve"> (J/(mol·K)) represents the entropy, </w:t>
      </w:r>
      <w:r>
        <w:rPr>
          <w:rFonts w:hint="eastAsia"/>
          <w:bCs/>
          <w:i/>
          <w:iCs/>
          <w:szCs w:val="24"/>
        </w:rPr>
        <w:t>K</w:t>
      </w:r>
      <w:r>
        <w:rPr>
          <w:rFonts w:hint="eastAsia"/>
          <w:bCs/>
          <w:szCs w:val="24"/>
          <w:vertAlign w:val="subscript"/>
        </w:rPr>
        <w:t xml:space="preserve">d </w:t>
      </w:r>
      <w:r>
        <w:rPr>
          <w:bCs/>
          <w:szCs w:val="24"/>
        </w:rPr>
        <w:t xml:space="preserve">denotes the distribution coefficient, and </w:t>
      </w:r>
      <w:r>
        <w:rPr>
          <w:bCs/>
          <w:i/>
          <w:iCs/>
          <w:szCs w:val="24"/>
        </w:rPr>
        <w:t>q</w:t>
      </w:r>
      <w:r>
        <w:rPr>
          <w:bCs/>
          <w:szCs w:val="24"/>
        </w:rPr>
        <w:t xml:space="preserve">ₑ (mg/g) and </w:t>
      </w:r>
      <w:r>
        <w:rPr>
          <w:bCs/>
          <w:i/>
          <w:iCs/>
          <w:szCs w:val="24"/>
        </w:rPr>
        <w:t>C</w:t>
      </w:r>
      <w:r>
        <w:rPr>
          <w:bCs/>
          <w:szCs w:val="24"/>
        </w:rPr>
        <w:t>ₑ (mg/L) are defined as the adsorption capacity and equilibrium concentration at equilibrium, respectively.</w:t>
      </w:r>
    </w:p>
    <w:p w14:paraId="5254288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  <w:lang w:eastAsia="zh-CN"/>
        </w:rPr>
        <w:t>After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 xml:space="preserve">-S/R(4:1)-BC has adsorbed Sb(V) from the aqueous solution, a desorption-regeneration study was performed. The experiment was performed as follows: the MBC loaded with Sb(V) was isolated from the solution using a magnetic field, washed with deionized water, and then soaked in a 0.1 mol/L NaOH solution at 180 rpm for two hours at 25 </w:t>
      </w:r>
      <w:r>
        <w:rPr>
          <w:bCs/>
          <w:lang w:eastAsia="zh-CN"/>
        </w:rPr>
        <w:t>℃</w:t>
      </w:r>
      <w:r>
        <w:rPr>
          <w:rFonts w:hint="eastAsia"/>
          <w:bCs/>
          <w:lang w:eastAsia="zh-CN"/>
        </w:rPr>
        <w:t xml:space="preserve"> to facilitate the desorption of Sb(V). After this 2-hour period, solid-liquid separation was performed to isolate the mixture. The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was extensively rinsed with deionized water until the pH of the rinse reached neutrality. The desorbed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was reintroduced into a 1 mg/L Sb(V) solution and allowed to react for 12 hours, and then the concentration of Sb(V) in the supernatant was measured by ICP-AES. To assess the performance and reusability of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in adsorption applications, this process was repeated five times.</w:t>
      </w:r>
    </w:p>
    <w:p w14:paraId="01A4389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Cs/>
          <w:lang w:eastAsia="zh-CN"/>
        </w:rPr>
      </w:pPr>
      <w:r>
        <w:rPr>
          <w:rFonts w:hint="eastAsia"/>
          <w:bCs/>
          <w:lang w:eastAsia="zh-CN"/>
        </w:rPr>
        <w:t>Experiments of Sb(V) removal in the actual wastewater were conducted by adding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into the wastewater of a certain textile company in Zhejiang Province, China. The water quality of the tested was as follows: pH = 6.8, total P (TP) = 0.</w:t>
      </w:r>
      <w:r>
        <w:rPr>
          <w:rFonts w:hint="eastAsia"/>
          <w:bCs/>
          <w:lang w:val="en-US" w:eastAsia="zh-CN"/>
        </w:rPr>
        <w:t>17</w:t>
      </w:r>
      <w:r>
        <w:rPr>
          <w:rFonts w:hint="eastAsia"/>
          <w:bCs/>
          <w:lang w:eastAsia="zh-CN"/>
        </w:rPr>
        <w:t xml:space="preserve"> mg/L, COD=</w:t>
      </w:r>
      <w:r>
        <w:rPr>
          <w:rFonts w:hint="eastAsia"/>
          <w:bCs/>
          <w:lang w:val="en-US" w:eastAsia="zh-CN"/>
        </w:rPr>
        <w:t>1</w:t>
      </w:r>
      <w:r>
        <w:rPr>
          <w:rFonts w:hint="eastAsia"/>
          <w:bCs/>
          <w:lang w:eastAsia="zh-CN"/>
        </w:rPr>
        <w:t>53 mg/L, Sb(V) concentration = 0.335 mg/L. Specifically, different masses of M</w:t>
      </w:r>
      <w:r>
        <w:rPr>
          <w:rFonts w:hint="eastAsia"/>
          <w:bCs/>
          <w:vertAlign w:val="subscript"/>
          <w:lang w:eastAsia="zh-CN"/>
        </w:rPr>
        <w:t>0.3</w:t>
      </w:r>
      <w:r>
        <w:rPr>
          <w:rFonts w:hint="eastAsia"/>
          <w:bCs/>
          <w:lang w:eastAsia="zh-CN"/>
        </w:rPr>
        <w:t>-S/R(4:1)-BC (0.025, 0.050 and 0.100 g) were added into 50 mL of the tested wastewater and stirred at 150 rpm and 298 K for adsorption experiments. After a reaction period of 12 hours, the residual concentrations of Sb(V) were measured for each sample in order to evaluate the Sb removal performance of actual wastewater.</w:t>
      </w:r>
    </w:p>
    <w:p w14:paraId="141B8F0A">
      <w:pPr>
        <w:pStyle w:val="36"/>
        <w:spacing w:after="240"/>
        <w:jc w:val="left"/>
        <w:rPr>
          <w:lang w:eastAsia="zh-CN"/>
        </w:rPr>
      </w:pPr>
    </w:p>
    <w:sectPr>
      <w:footerReference r:id="rId4" w:type="default"/>
      <w:footerReference r:id="rId5" w:type="even"/>
      <w:type w:val="continuous"/>
      <w:pgSz w:w="12240" w:h="15840"/>
      <w:pgMar w:top="1440" w:right="1440" w:bottom="1440" w:left="1440" w:header="0" w:footer="0" w:gutter="0"/>
      <w:cols w:space="47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CMR1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dvOT2e364b1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335F"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2BA7A78B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B7A7"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182F7882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0"/>
  <w:doNotHyphenateCaps/>
  <w:drawingGridHorizontalSpacing w:val="0"/>
  <w:drawingGridVerticalSpacing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E"/>
    <w:rsid w:val="000002F2"/>
    <w:rsid w:val="0005660F"/>
    <w:rsid w:val="000702AD"/>
    <w:rsid w:val="000B2EEB"/>
    <w:rsid w:val="000B5610"/>
    <w:rsid w:val="000C05CC"/>
    <w:rsid w:val="00101860"/>
    <w:rsid w:val="00132F1A"/>
    <w:rsid w:val="0013375F"/>
    <w:rsid w:val="00195ACA"/>
    <w:rsid w:val="001A5EEE"/>
    <w:rsid w:val="001A7A90"/>
    <w:rsid w:val="002111B5"/>
    <w:rsid w:val="00212B1D"/>
    <w:rsid w:val="002462D3"/>
    <w:rsid w:val="00271A02"/>
    <w:rsid w:val="002A7493"/>
    <w:rsid w:val="002C3431"/>
    <w:rsid w:val="0031373B"/>
    <w:rsid w:val="00324128"/>
    <w:rsid w:val="00361E35"/>
    <w:rsid w:val="003664E9"/>
    <w:rsid w:val="003679A1"/>
    <w:rsid w:val="00373547"/>
    <w:rsid w:val="003A42F0"/>
    <w:rsid w:val="003B4AF3"/>
    <w:rsid w:val="003E1F76"/>
    <w:rsid w:val="00475FD2"/>
    <w:rsid w:val="004D403C"/>
    <w:rsid w:val="004E283C"/>
    <w:rsid w:val="004E7185"/>
    <w:rsid w:val="004F6E4D"/>
    <w:rsid w:val="0055049B"/>
    <w:rsid w:val="005553EF"/>
    <w:rsid w:val="00567E81"/>
    <w:rsid w:val="00586BB6"/>
    <w:rsid w:val="00591A57"/>
    <w:rsid w:val="005A4231"/>
    <w:rsid w:val="005A4E80"/>
    <w:rsid w:val="005C3466"/>
    <w:rsid w:val="005D0C10"/>
    <w:rsid w:val="006455A5"/>
    <w:rsid w:val="00683131"/>
    <w:rsid w:val="006A3E34"/>
    <w:rsid w:val="006A44DC"/>
    <w:rsid w:val="006B2581"/>
    <w:rsid w:val="006E49D5"/>
    <w:rsid w:val="007000D9"/>
    <w:rsid w:val="00747701"/>
    <w:rsid w:val="007629D3"/>
    <w:rsid w:val="007924EB"/>
    <w:rsid w:val="00794616"/>
    <w:rsid w:val="007A11AD"/>
    <w:rsid w:val="008047DE"/>
    <w:rsid w:val="00837801"/>
    <w:rsid w:val="008633FA"/>
    <w:rsid w:val="008655C0"/>
    <w:rsid w:val="008D30F9"/>
    <w:rsid w:val="008D53B2"/>
    <w:rsid w:val="00912169"/>
    <w:rsid w:val="0092037A"/>
    <w:rsid w:val="009246AD"/>
    <w:rsid w:val="00941E7D"/>
    <w:rsid w:val="009668D3"/>
    <w:rsid w:val="009F2E7E"/>
    <w:rsid w:val="00A02D62"/>
    <w:rsid w:val="00A20EB5"/>
    <w:rsid w:val="00A764EF"/>
    <w:rsid w:val="00AB34C5"/>
    <w:rsid w:val="00AC3585"/>
    <w:rsid w:val="00AC3713"/>
    <w:rsid w:val="00AF2F2E"/>
    <w:rsid w:val="00AF4F6D"/>
    <w:rsid w:val="00AF7F6A"/>
    <w:rsid w:val="00B05A88"/>
    <w:rsid w:val="00B44641"/>
    <w:rsid w:val="00B71498"/>
    <w:rsid w:val="00B7618D"/>
    <w:rsid w:val="00BC5774"/>
    <w:rsid w:val="00BD2C44"/>
    <w:rsid w:val="00BF432C"/>
    <w:rsid w:val="00C10EE0"/>
    <w:rsid w:val="00C12556"/>
    <w:rsid w:val="00C300DE"/>
    <w:rsid w:val="00C6170A"/>
    <w:rsid w:val="00C7482A"/>
    <w:rsid w:val="00C93595"/>
    <w:rsid w:val="00D318E5"/>
    <w:rsid w:val="00D32E24"/>
    <w:rsid w:val="00DD16CA"/>
    <w:rsid w:val="00DD6DBB"/>
    <w:rsid w:val="00E074F2"/>
    <w:rsid w:val="00E32EBC"/>
    <w:rsid w:val="00E67E47"/>
    <w:rsid w:val="00E91482"/>
    <w:rsid w:val="00E96302"/>
    <w:rsid w:val="00ED3717"/>
    <w:rsid w:val="00F134F5"/>
    <w:rsid w:val="00F36299"/>
    <w:rsid w:val="00F47B85"/>
    <w:rsid w:val="00F54BDD"/>
    <w:rsid w:val="00F5645C"/>
    <w:rsid w:val="00F65805"/>
    <w:rsid w:val="00FD239F"/>
    <w:rsid w:val="00FD29A9"/>
    <w:rsid w:val="00FD4593"/>
    <w:rsid w:val="00FD5CFE"/>
    <w:rsid w:val="00FE6219"/>
    <w:rsid w:val="00FF2D4B"/>
    <w:rsid w:val="07677669"/>
    <w:rsid w:val="07B73957"/>
    <w:rsid w:val="0826030F"/>
    <w:rsid w:val="1ED80866"/>
    <w:rsid w:val="31B73F91"/>
    <w:rsid w:val="3F00481A"/>
    <w:rsid w:val="400608E9"/>
    <w:rsid w:val="4124300D"/>
    <w:rsid w:val="46586879"/>
    <w:rsid w:val="4A0D5B10"/>
    <w:rsid w:val="4A0E73B9"/>
    <w:rsid w:val="65596179"/>
    <w:rsid w:val="6AE56D07"/>
    <w:rsid w:val="6E2B60B3"/>
    <w:rsid w:val="7DD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Times" w:hAnsi="Times" w:cs="Times New Roman" w:eastAsiaTheme="minorEastAsia"/>
      <w:sz w:val="24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40"/>
    </w:rPr>
  </w:style>
  <w:style w:type="paragraph" w:styleId="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next w:val="7"/>
    <w:semiHidden/>
    <w:qFormat/>
    <w:uiPriority w:val="0"/>
  </w:style>
  <w:style w:type="paragraph" w:customStyle="1" w:styleId="7">
    <w:name w:val="TF_References_Section"/>
    <w:basedOn w:val="1"/>
    <w:qFormat/>
    <w:uiPriority w:val="0"/>
    <w:pPr>
      <w:spacing w:line="480" w:lineRule="auto"/>
      <w:ind w:firstLine="187"/>
    </w:pPr>
  </w:style>
  <w:style w:type="paragraph" w:styleId="8">
    <w:name w:val="Normal (Web)"/>
    <w:basedOn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A_Main_Text"/>
    <w:basedOn w:val="1"/>
    <w:qFormat/>
    <w:uiPriority w:val="0"/>
    <w:pPr>
      <w:spacing w:after="0" w:line="480" w:lineRule="auto"/>
      <w:ind w:firstLine="202"/>
    </w:pPr>
  </w:style>
  <w:style w:type="paragraph" w:customStyle="1" w:styleId="17">
    <w:name w:val="BA_Title"/>
    <w:basedOn w:val="1"/>
    <w:next w:val="18"/>
    <w:qFormat/>
    <w:uiPriority w:val="0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18">
    <w:name w:val="BB_Author_Name"/>
    <w:basedOn w:val="1"/>
    <w:next w:val="19"/>
    <w:qFormat/>
    <w:uiPriority w:val="0"/>
    <w:pPr>
      <w:spacing w:after="240" w:line="480" w:lineRule="auto"/>
      <w:jc w:val="center"/>
    </w:pPr>
    <w:rPr>
      <w:i/>
    </w:rPr>
  </w:style>
  <w:style w:type="paragraph" w:customStyle="1" w:styleId="19">
    <w:name w:val="BC_Author_Address"/>
    <w:basedOn w:val="1"/>
    <w:next w:val="20"/>
    <w:qFormat/>
    <w:uiPriority w:val="0"/>
    <w:pPr>
      <w:spacing w:after="240" w:line="480" w:lineRule="auto"/>
      <w:jc w:val="center"/>
    </w:pPr>
  </w:style>
  <w:style w:type="paragraph" w:customStyle="1" w:styleId="20">
    <w:name w:val="BI_Email_Address"/>
    <w:basedOn w:val="1"/>
    <w:next w:val="21"/>
    <w:qFormat/>
    <w:uiPriority w:val="0"/>
    <w:pPr>
      <w:spacing w:line="480" w:lineRule="auto"/>
    </w:pPr>
  </w:style>
  <w:style w:type="paragraph" w:customStyle="1" w:styleId="21">
    <w:name w:val="AI_Received_Date"/>
    <w:basedOn w:val="1"/>
    <w:next w:val="22"/>
    <w:qFormat/>
    <w:uiPriority w:val="0"/>
    <w:pPr>
      <w:spacing w:after="240" w:line="480" w:lineRule="auto"/>
    </w:pPr>
    <w:rPr>
      <w:b/>
    </w:rPr>
  </w:style>
  <w:style w:type="paragraph" w:customStyle="1" w:styleId="22">
    <w:name w:val="BD_Abstract"/>
    <w:basedOn w:val="1"/>
    <w:next w:val="16"/>
    <w:qFormat/>
    <w:uiPriority w:val="0"/>
    <w:pPr>
      <w:spacing w:before="360" w:after="360" w:line="480" w:lineRule="auto"/>
    </w:pPr>
  </w:style>
  <w:style w:type="paragraph" w:customStyle="1" w:styleId="23">
    <w:name w:val="TD_Acknowledgments"/>
    <w:basedOn w:val="1"/>
    <w:next w:val="1"/>
    <w:qFormat/>
    <w:uiPriority w:val="0"/>
    <w:pPr>
      <w:spacing w:before="200" w:line="480" w:lineRule="auto"/>
      <w:ind w:firstLine="202"/>
    </w:pPr>
  </w:style>
  <w:style w:type="paragraph" w:customStyle="1" w:styleId="24">
    <w:name w:val="TE_Supporting_Information"/>
    <w:basedOn w:val="1"/>
    <w:next w:val="1"/>
    <w:qFormat/>
    <w:uiPriority w:val="0"/>
    <w:pPr>
      <w:spacing w:line="480" w:lineRule="auto"/>
      <w:ind w:firstLine="187"/>
    </w:pPr>
  </w:style>
  <w:style w:type="paragraph" w:customStyle="1" w:styleId="25">
    <w:name w:val="VC_Scheme_Title"/>
    <w:basedOn w:val="1"/>
    <w:next w:val="1"/>
    <w:qFormat/>
    <w:uiPriority w:val="0"/>
    <w:pPr>
      <w:spacing w:line="480" w:lineRule="auto"/>
    </w:pPr>
  </w:style>
  <w:style w:type="paragraph" w:customStyle="1" w:styleId="26">
    <w:name w:val="VD_Table_Title"/>
    <w:basedOn w:val="1"/>
    <w:next w:val="1"/>
    <w:qFormat/>
    <w:uiPriority w:val="0"/>
    <w:pPr>
      <w:spacing w:line="480" w:lineRule="auto"/>
    </w:pPr>
  </w:style>
  <w:style w:type="paragraph" w:customStyle="1" w:styleId="27">
    <w:name w:val="VA_Figure_Caption"/>
    <w:basedOn w:val="1"/>
    <w:next w:val="1"/>
    <w:qFormat/>
    <w:uiPriority w:val="0"/>
    <w:pPr>
      <w:spacing w:line="480" w:lineRule="auto"/>
    </w:pPr>
  </w:style>
  <w:style w:type="paragraph" w:customStyle="1" w:styleId="28">
    <w:name w:val="VB_Chart_Title"/>
    <w:basedOn w:val="1"/>
    <w:next w:val="1"/>
    <w:qFormat/>
    <w:uiPriority w:val="0"/>
    <w:pPr>
      <w:spacing w:line="480" w:lineRule="auto"/>
    </w:pPr>
  </w:style>
  <w:style w:type="paragraph" w:customStyle="1" w:styleId="29">
    <w:name w:val="FE_Table_Footnote"/>
    <w:basedOn w:val="1"/>
    <w:next w:val="1"/>
    <w:qFormat/>
    <w:uiPriority w:val="0"/>
    <w:pPr>
      <w:ind w:firstLine="187"/>
    </w:pPr>
  </w:style>
  <w:style w:type="paragraph" w:customStyle="1" w:styleId="30">
    <w:name w:val="FC_Chart_Footnote"/>
    <w:basedOn w:val="1"/>
    <w:next w:val="1"/>
    <w:qFormat/>
    <w:uiPriority w:val="0"/>
    <w:pPr>
      <w:ind w:firstLine="187"/>
    </w:pPr>
  </w:style>
  <w:style w:type="paragraph" w:customStyle="1" w:styleId="31">
    <w:name w:val="FD_Scheme_Footnote"/>
    <w:basedOn w:val="1"/>
    <w:next w:val="1"/>
    <w:qFormat/>
    <w:uiPriority w:val="0"/>
    <w:pPr>
      <w:ind w:firstLine="187"/>
    </w:pPr>
  </w:style>
  <w:style w:type="paragraph" w:customStyle="1" w:styleId="32">
    <w:name w:val="TC_Table_Body"/>
    <w:basedOn w:val="1"/>
    <w:qFormat/>
    <w:uiPriority w:val="0"/>
  </w:style>
  <w:style w:type="paragraph" w:customStyle="1" w:styleId="33">
    <w:name w:val="AF_Title_Running_Head"/>
    <w:basedOn w:val="1"/>
    <w:next w:val="16"/>
    <w:qFormat/>
    <w:uiPriority w:val="0"/>
    <w:pPr>
      <w:spacing w:line="480" w:lineRule="auto"/>
    </w:pPr>
  </w:style>
  <w:style w:type="paragraph" w:customStyle="1" w:styleId="34">
    <w:name w:val="BE_Author_Biography"/>
    <w:basedOn w:val="1"/>
    <w:qFormat/>
    <w:uiPriority w:val="0"/>
    <w:pPr>
      <w:spacing w:line="480" w:lineRule="auto"/>
    </w:pPr>
  </w:style>
  <w:style w:type="paragraph" w:customStyle="1" w:styleId="35">
    <w:name w:val="FA_Corresponding_Author_Footnote"/>
    <w:basedOn w:val="1"/>
    <w:next w:val="16"/>
    <w:qFormat/>
    <w:uiPriority w:val="0"/>
    <w:pPr>
      <w:spacing w:line="480" w:lineRule="auto"/>
    </w:pPr>
  </w:style>
  <w:style w:type="paragraph" w:customStyle="1" w:styleId="36">
    <w:name w:val="SN_Synopsis_TOC"/>
    <w:basedOn w:val="1"/>
    <w:qFormat/>
    <w:uiPriority w:val="0"/>
    <w:pPr>
      <w:spacing w:line="480" w:lineRule="auto"/>
    </w:pPr>
  </w:style>
  <w:style w:type="paragraph" w:customStyle="1" w:styleId="37">
    <w:name w:val="BG_Keywords"/>
    <w:basedOn w:val="1"/>
    <w:qFormat/>
    <w:uiPriority w:val="0"/>
    <w:pPr>
      <w:spacing w:line="480" w:lineRule="auto"/>
    </w:pPr>
  </w:style>
  <w:style w:type="paragraph" w:customStyle="1" w:styleId="38">
    <w:name w:val="BH_Briefs"/>
    <w:basedOn w:val="1"/>
    <w:qFormat/>
    <w:uiPriority w:val="0"/>
    <w:pPr>
      <w:spacing w:line="480" w:lineRule="auto"/>
    </w:pPr>
  </w:style>
  <w:style w:type="paragraph" w:customStyle="1" w:styleId="39">
    <w:name w:val="Style FA_Corresponding_Author_Footnote + 7 pt"/>
    <w:basedOn w:val="1"/>
    <w:next w:val="37"/>
    <w:link w:val="40"/>
    <w:autoRedefine/>
    <w:qFormat/>
    <w:uiPriority w:val="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40">
    <w:name w:val="Style FA_Corresponding_Author_Footnote + 7 pt Char"/>
    <w:link w:val="39"/>
    <w:qFormat/>
    <w:uiPriority w:val="0"/>
    <w:rPr>
      <w:rFonts w:ascii="Arno Pro" w:hAnsi="Arno Pro"/>
      <w:kern w:val="20"/>
      <w:sz w:val="18"/>
    </w:rPr>
  </w:style>
  <w:style w:type="paragraph" w:customStyle="1" w:styleId="41">
    <w:name w:val="FA_Author_Info_Subtitle"/>
    <w:basedOn w:val="1"/>
    <w:link w:val="42"/>
    <w:autoRedefine/>
    <w:qFormat/>
    <w:uiPriority w:val="0"/>
    <w:pPr>
      <w:spacing w:before="120" w:after="60" w:line="480" w:lineRule="auto"/>
      <w:jc w:val="left"/>
    </w:pPr>
    <w:rPr>
      <w:b/>
    </w:rPr>
  </w:style>
  <w:style w:type="character" w:customStyle="1" w:styleId="42">
    <w:name w:val="FA_Author_Info_Subtitle Char"/>
    <w:link w:val="41"/>
    <w:qFormat/>
    <w:uiPriority w:val="0"/>
    <w:rPr>
      <w:rFonts w:ascii="Times" w:hAnsi="Times"/>
      <w:b/>
      <w:sz w:val="24"/>
    </w:rPr>
  </w:style>
  <w:style w:type="paragraph" w:customStyle="1" w:styleId="43">
    <w:name w:val="Default"/>
    <w:qFormat/>
    <w:uiPriority w:val="0"/>
    <w:pPr>
      <w:autoSpaceDE w:val="0"/>
      <w:autoSpaceDN w:val="0"/>
      <w:adjustRightInd w:val="0"/>
    </w:pPr>
    <w:rPr>
      <w:rFonts w:ascii="Symbol" w:hAnsi="Symbol" w:cs="Symbol" w:eastAsiaTheme="minorEastAsia"/>
      <w:color w:val="000000"/>
      <w:sz w:val="24"/>
      <w:szCs w:val="24"/>
      <w:lang w:val="en-US" w:eastAsia="en-US" w:bidi="ar-SA"/>
    </w:rPr>
  </w:style>
  <w:style w:type="character" w:customStyle="1" w:styleId="44">
    <w:name w:val="页眉 字符"/>
    <w:basedOn w:val="11"/>
    <w:link w:val="5"/>
    <w:qFormat/>
    <w:uiPriority w:val="0"/>
    <w:rPr>
      <w:rFonts w:ascii="Times" w:hAnsi="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Downloads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2C3C-E9F3-4891-9DA8-269575298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acstemplate_msw2010.dotx</Template>
  <Company>ACS</Company>
  <Pages>7</Pages>
  <Words>1385</Words>
  <Characters>7918</Characters>
  <Lines>250</Lines>
  <Paragraphs>168</Paragraphs>
  <TotalTime>4</TotalTime>
  <ScaleCrop>false</ScaleCrop>
  <LinksUpToDate>false</LinksUpToDate>
  <CharactersWithSpaces>9171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2025-11-01T08:45:00Z</dcterms:created>
  <dc:creator>HUAWEI</dc:creator>
  <cp:lastModifiedBy>向sunny而生</cp:lastModifiedBy>
  <cp:lastPrinted>2025-12-31T13:16:00Z</cp:lastPrinted>
  <dcterms:modified xsi:type="dcterms:W3CDTF">2026-03-03T14:53:06Z</dcterms:modified>
  <dc:title>Template for Electronic Submission to ACS Journals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eyJoZGlkIjoiMzEwNTM5NzYwMDRjMzkwZTVkZjY2ODkwMGIxNGU0OTUiLCJ1c2VySWQiOiIxMDYyMDYyNjczIn0=</vt:lpwstr>
  </property>
  <property fmtid="{D5CDD505-2E9C-101B-9397-08002B2CF9AE}" pid="3" name="KSOProductBuildVer">
    <vt:lpwstr>2052-12.1.0.24657</vt:lpwstr>
  </property>
  <property fmtid="{D5CDD505-2E9C-101B-9397-08002B2CF9AE}" pid="4" name="ICV">
    <vt:lpwstr>6E4F78859FB943A39D092CCEE2FE3AC9_13</vt:lpwstr>
  </property>
</Properties>
</file>