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42B3" w14:textId="77777777" w:rsidR="00D60873" w:rsidRPr="00E77A4C" w:rsidRDefault="00000000" w:rsidP="00470735">
      <w:pPr>
        <w:spacing w:line="360" w:lineRule="auto"/>
        <w:jc w:val="center"/>
        <w:rPr>
          <w:rFonts w:ascii="Times New Roman" w:eastAsia="宋体" w:hAnsi="Times New Roman" w:cs="Times New Roman"/>
          <w:sz w:val="24"/>
          <w:szCs w:val="24"/>
          <w:lang w:eastAsia="zh-CN"/>
        </w:rPr>
      </w:pPr>
      <w:bookmarkStart w:id="0" w:name="OLE_LINK1"/>
      <w:r w:rsidRPr="00E77A4C">
        <w:rPr>
          <w:rFonts w:ascii="Times New Roman" w:hAnsi="Times New Roman" w:cs="Times New Roman"/>
          <w:b/>
          <w:bCs/>
          <w:sz w:val="24"/>
          <w:szCs w:val="24"/>
        </w:rPr>
        <w:t>Supplementary</w:t>
      </w:r>
      <w:bookmarkEnd w:id="0"/>
      <w:r w:rsidRPr="00E77A4C">
        <w:rPr>
          <w:rFonts w:ascii="Times New Roman" w:hAnsi="Times New Roman" w:cs="Times New Roman"/>
          <w:b/>
          <w:bCs/>
          <w:sz w:val="24"/>
          <w:szCs w:val="24"/>
        </w:rPr>
        <w:t xml:space="preserve"> </w:t>
      </w:r>
      <w:r w:rsidRPr="00E77A4C">
        <w:rPr>
          <w:rFonts w:ascii="Times New Roman" w:eastAsia="宋体" w:hAnsi="Times New Roman" w:cs="Times New Roman"/>
          <w:b/>
          <w:bCs/>
          <w:sz w:val="24"/>
          <w:szCs w:val="24"/>
          <w:lang w:eastAsia="zh-CN"/>
        </w:rPr>
        <w:t>Tables</w:t>
      </w:r>
    </w:p>
    <w:p w14:paraId="33B2BD70" w14:textId="77777777" w:rsidR="00E77A4C" w:rsidRPr="00E77A4C" w:rsidRDefault="00E77A4C" w:rsidP="00E77A4C">
      <w:pPr>
        <w:spacing w:line="360" w:lineRule="auto"/>
        <w:rPr>
          <w:rStyle w:val="afc"/>
          <w:rFonts w:ascii="Times New Roman" w:eastAsia="宋体" w:hAnsi="Times New Roman" w:cs="Times New Roman"/>
          <w:sz w:val="24"/>
          <w:szCs w:val="24"/>
          <w:lang w:eastAsia="zh-CN"/>
        </w:rPr>
      </w:pPr>
    </w:p>
    <w:p w14:paraId="6A4296C1" w14:textId="5121A3C6" w:rsidR="00D60873" w:rsidRPr="00E77A4C" w:rsidRDefault="00E77A4C" w:rsidP="00E77A4C">
      <w:pPr>
        <w:spacing w:line="360" w:lineRule="auto"/>
        <w:jc w:val="center"/>
        <w:rPr>
          <w:rStyle w:val="afc"/>
          <w:rFonts w:ascii="Times New Roman" w:eastAsia="宋体" w:hAnsi="Times New Roman" w:cs="Times New Roman"/>
          <w:sz w:val="24"/>
          <w:szCs w:val="24"/>
          <w:lang w:eastAsia="zh-CN"/>
        </w:rPr>
      </w:pPr>
      <w:r w:rsidRPr="00E77A4C">
        <w:rPr>
          <w:rStyle w:val="afc"/>
          <w:rFonts w:ascii="Times New Roman" w:hAnsi="Times New Roman" w:cs="Times New Roman"/>
          <w:sz w:val="24"/>
          <w:szCs w:val="24"/>
        </w:rPr>
        <w:t>Table S1. Model fit criteria for latent class mixed modeling (LCMM) of longitudinal phosphate trajectories in the MIMIC-IV derivation cohort</w:t>
      </w:r>
    </w:p>
    <w:p w14:paraId="71A44602" w14:textId="77777777" w:rsidR="00E77A4C" w:rsidRPr="00E77A4C" w:rsidRDefault="00E77A4C" w:rsidP="00E77A4C">
      <w:pPr>
        <w:spacing w:line="360" w:lineRule="auto"/>
        <w:jc w:val="center"/>
        <w:rPr>
          <w:rFonts w:ascii="Times New Roman" w:eastAsia="宋体" w:hAnsi="Times New Roman" w:cs="Times New Roman"/>
          <w:sz w:val="24"/>
          <w:szCs w:val="24"/>
          <w:lang w:eastAsia="zh-CN"/>
        </w:rPr>
      </w:pP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814"/>
        <w:gridCol w:w="1276"/>
        <w:gridCol w:w="1276"/>
        <w:gridCol w:w="1560"/>
        <w:gridCol w:w="1135"/>
        <w:gridCol w:w="1276"/>
        <w:gridCol w:w="1273"/>
        <w:gridCol w:w="1278"/>
        <w:gridCol w:w="1128"/>
      </w:tblGrid>
      <w:tr w:rsidR="00D60873" w:rsidRPr="00E77A4C" w14:paraId="7E551F75" w14:textId="77777777">
        <w:trPr>
          <w:trHeight w:val="280"/>
        </w:trPr>
        <w:tc>
          <w:tcPr>
            <w:tcW w:w="370" w:type="pct"/>
            <w:tcBorders>
              <w:bottom w:val="single" w:sz="4" w:space="0" w:color="auto"/>
            </w:tcBorders>
            <w:noWrap/>
            <w:vAlign w:val="center"/>
          </w:tcPr>
          <w:p w14:paraId="179E6021"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Number of Classes</w:t>
            </w:r>
          </w:p>
        </w:tc>
        <w:tc>
          <w:tcPr>
            <w:tcW w:w="579" w:type="pct"/>
            <w:tcBorders>
              <w:bottom w:val="single" w:sz="4" w:space="0" w:color="auto"/>
            </w:tcBorders>
            <w:noWrap/>
            <w:vAlign w:val="center"/>
          </w:tcPr>
          <w:p w14:paraId="31DA88B0"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Bayesian Information Criterion (BIC)</w:t>
            </w:r>
          </w:p>
        </w:tc>
        <w:tc>
          <w:tcPr>
            <w:tcW w:w="579" w:type="pct"/>
            <w:tcBorders>
              <w:bottom w:val="single" w:sz="4" w:space="0" w:color="auto"/>
            </w:tcBorders>
            <w:noWrap/>
            <w:vAlign w:val="center"/>
          </w:tcPr>
          <w:p w14:paraId="27BA9258"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Akaike Information Criterion (AIC)</w:t>
            </w:r>
          </w:p>
        </w:tc>
        <w:tc>
          <w:tcPr>
            <w:tcW w:w="708" w:type="pct"/>
            <w:tcBorders>
              <w:bottom w:val="single" w:sz="4" w:space="0" w:color="auto"/>
            </w:tcBorders>
            <w:noWrap/>
            <w:vAlign w:val="center"/>
          </w:tcPr>
          <w:p w14:paraId="3B8CFB9B"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Average Maximum Posterior Probability (AveMaxPP)</w:t>
            </w:r>
          </w:p>
        </w:tc>
        <w:tc>
          <w:tcPr>
            <w:tcW w:w="515" w:type="pct"/>
            <w:tcBorders>
              <w:bottom w:val="single" w:sz="4" w:space="0" w:color="auto"/>
            </w:tcBorders>
            <w:noWrap/>
            <w:vAlign w:val="center"/>
          </w:tcPr>
          <w:p w14:paraId="2A9D47A5"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Log Likelihood</w:t>
            </w:r>
          </w:p>
        </w:tc>
        <w:tc>
          <w:tcPr>
            <w:tcW w:w="579" w:type="pct"/>
            <w:tcBorders>
              <w:bottom w:val="single" w:sz="4" w:space="0" w:color="auto"/>
            </w:tcBorders>
            <w:noWrap/>
            <w:vAlign w:val="center"/>
          </w:tcPr>
          <w:p w14:paraId="6ED252B7"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%class1</w:t>
            </w:r>
          </w:p>
        </w:tc>
        <w:tc>
          <w:tcPr>
            <w:tcW w:w="578" w:type="pct"/>
            <w:tcBorders>
              <w:bottom w:val="single" w:sz="4" w:space="0" w:color="auto"/>
            </w:tcBorders>
            <w:noWrap/>
            <w:vAlign w:val="center"/>
          </w:tcPr>
          <w:p w14:paraId="15BC2527"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%class2</w:t>
            </w:r>
          </w:p>
        </w:tc>
        <w:tc>
          <w:tcPr>
            <w:tcW w:w="580" w:type="pct"/>
            <w:tcBorders>
              <w:bottom w:val="single" w:sz="4" w:space="0" w:color="auto"/>
            </w:tcBorders>
            <w:noWrap/>
            <w:vAlign w:val="center"/>
          </w:tcPr>
          <w:p w14:paraId="6DEA0795"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%class3</w:t>
            </w:r>
          </w:p>
        </w:tc>
        <w:tc>
          <w:tcPr>
            <w:tcW w:w="512" w:type="pct"/>
            <w:tcBorders>
              <w:bottom w:val="single" w:sz="4" w:space="0" w:color="auto"/>
            </w:tcBorders>
            <w:noWrap/>
            <w:vAlign w:val="center"/>
          </w:tcPr>
          <w:p w14:paraId="4631C4BB" w14:textId="77777777" w:rsidR="00D60873" w:rsidRPr="00E77A4C" w:rsidRDefault="00000000" w:rsidP="00470735">
            <w:pPr>
              <w:spacing w:after="0" w:line="360" w:lineRule="auto"/>
              <w:rPr>
                <w:rFonts w:ascii="Times New Roman" w:eastAsia="等线" w:hAnsi="Times New Roman" w:cs="Times New Roman"/>
                <w:b/>
                <w:bCs/>
                <w:color w:val="000000"/>
                <w:sz w:val="24"/>
                <w:szCs w:val="24"/>
                <w:lang w:eastAsia="zh-CN"/>
              </w:rPr>
            </w:pPr>
            <w:r w:rsidRPr="00E77A4C">
              <w:rPr>
                <w:rFonts w:ascii="Times New Roman" w:eastAsia="等线" w:hAnsi="Times New Roman" w:cs="Times New Roman"/>
                <w:b/>
                <w:bCs/>
                <w:color w:val="000000"/>
                <w:sz w:val="24"/>
                <w:szCs w:val="24"/>
                <w:lang w:eastAsia="zh-CN"/>
              </w:rPr>
              <w:t>%class4</w:t>
            </w:r>
          </w:p>
        </w:tc>
      </w:tr>
      <w:tr w:rsidR="00D60873" w:rsidRPr="00E77A4C" w14:paraId="4AE1619A" w14:textId="77777777">
        <w:trPr>
          <w:trHeight w:val="280"/>
        </w:trPr>
        <w:tc>
          <w:tcPr>
            <w:tcW w:w="370" w:type="pct"/>
            <w:tcBorders>
              <w:top w:val="single" w:sz="4" w:space="0" w:color="auto"/>
              <w:tl2br w:val="nil"/>
              <w:tr2bl w:val="nil"/>
            </w:tcBorders>
            <w:noWrap/>
            <w:vAlign w:val="center"/>
          </w:tcPr>
          <w:p w14:paraId="22A4D06E"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w:t>
            </w:r>
          </w:p>
        </w:tc>
        <w:tc>
          <w:tcPr>
            <w:tcW w:w="579" w:type="pct"/>
            <w:tcBorders>
              <w:top w:val="single" w:sz="4" w:space="0" w:color="auto"/>
              <w:tl2br w:val="nil"/>
              <w:tr2bl w:val="nil"/>
            </w:tcBorders>
            <w:noWrap/>
            <w:vAlign w:val="center"/>
          </w:tcPr>
          <w:p w14:paraId="27DCC86E"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166645.4</w:t>
            </w:r>
          </w:p>
        </w:tc>
        <w:tc>
          <w:tcPr>
            <w:tcW w:w="579" w:type="pct"/>
            <w:tcBorders>
              <w:top w:val="single" w:sz="4" w:space="0" w:color="auto"/>
              <w:tl2br w:val="nil"/>
              <w:tr2bl w:val="nil"/>
            </w:tcBorders>
            <w:noWrap/>
            <w:vAlign w:val="center"/>
          </w:tcPr>
          <w:p w14:paraId="5C01EDD7"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166617.4</w:t>
            </w:r>
          </w:p>
        </w:tc>
        <w:tc>
          <w:tcPr>
            <w:tcW w:w="708" w:type="pct"/>
            <w:tcBorders>
              <w:top w:val="single" w:sz="4" w:space="0" w:color="auto"/>
              <w:tl2br w:val="nil"/>
              <w:tr2bl w:val="nil"/>
            </w:tcBorders>
            <w:noWrap/>
            <w:vAlign w:val="center"/>
          </w:tcPr>
          <w:p w14:paraId="510E2EB1"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w:t>
            </w:r>
          </w:p>
        </w:tc>
        <w:tc>
          <w:tcPr>
            <w:tcW w:w="515" w:type="pct"/>
            <w:tcBorders>
              <w:top w:val="single" w:sz="4" w:space="0" w:color="auto"/>
              <w:tl2br w:val="nil"/>
              <w:tr2bl w:val="nil"/>
            </w:tcBorders>
            <w:noWrap/>
            <w:vAlign w:val="center"/>
          </w:tcPr>
          <w:p w14:paraId="2822111F"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-83304.7</w:t>
            </w:r>
          </w:p>
        </w:tc>
        <w:tc>
          <w:tcPr>
            <w:tcW w:w="579" w:type="pct"/>
            <w:tcBorders>
              <w:top w:val="single" w:sz="4" w:space="0" w:color="auto"/>
              <w:tl2br w:val="nil"/>
              <w:tr2bl w:val="nil"/>
            </w:tcBorders>
            <w:noWrap/>
            <w:vAlign w:val="center"/>
          </w:tcPr>
          <w:p w14:paraId="3DF79D6A"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100</w:t>
            </w:r>
          </w:p>
        </w:tc>
        <w:tc>
          <w:tcPr>
            <w:tcW w:w="578" w:type="pct"/>
            <w:tcBorders>
              <w:top w:val="single" w:sz="4" w:space="0" w:color="auto"/>
              <w:tl2br w:val="nil"/>
              <w:tr2bl w:val="nil"/>
            </w:tcBorders>
            <w:noWrap/>
            <w:vAlign w:val="center"/>
          </w:tcPr>
          <w:p w14:paraId="5F5ECC77"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NA</w:t>
            </w:r>
          </w:p>
        </w:tc>
        <w:tc>
          <w:tcPr>
            <w:tcW w:w="580" w:type="pct"/>
            <w:tcBorders>
              <w:top w:val="single" w:sz="4" w:space="0" w:color="auto"/>
              <w:tl2br w:val="nil"/>
              <w:tr2bl w:val="nil"/>
            </w:tcBorders>
            <w:noWrap/>
            <w:vAlign w:val="center"/>
          </w:tcPr>
          <w:p w14:paraId="52D6CCB8"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NA</w:t>
            </w:r>
          </w:p>
        </w:tc>
        <w:tc>
          <w:tcPr>
            <w:tcW w:w="512" w:type="pct"/>
            <w:tcBorders>
              <w:top w:val="single" w:sz="4" w:space="0" w:color="auto"/>
              <w:tl2br w:val="nil"/>
              <w:tr2bl w:val="nil"/>
            </w:tcBorders>
            <w:noWrap/>
            <w:vAlign w:val="center"/>
          </w:tcPr>
          <w:p w14:paraId="1578805E"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NA</w:t>
            </w:r>
          </w:p>
        </w:tc>
      </w:tr>
      <w:tr w:rsidR="00D60873" w:rsidRPr="00E77A4C" w14:paraId="031C9F6E" w14:textId="77777777">
        <w:trPr>
          <w:trHeight w:val="280"/>
        </w:trPr>
        <w:tc>
          <w:tcPr>
            <w:tcW w:w="370" w:type="pct"/>
            <w:tcBorders>
              <w:tl2br w:val="nil"/>
              <w:tr2bl w:val="nil"/>
            </w:tcBorders>
            <w:noWrap/>
            <w:vAlign w:val="center"/>
          </w:tcPr>
          <w:p w14:paraId="436A276A"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2</w:t>
            </w:r>
          </w:p>
        </w:tc>
        <w:tc>
          <w:tcPr>
            <w:tcW w:w="579" w:type="pct"/>
            <w:tcBorders>
              <w:tl2br w:val="nil"/>
              <w:tr2bl w:val="nil"/>
            </w:tcBorders>
            <w:noWrap/>
            <w:vAlign w:val="center"/>
          </w:tcPr>
          <w:p w14:paraId="5A76D882"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150956.9</w:t>
            </w:r>
          </w:p>
        </w:tc>
        <w:tc>
          <w:tcPr>
            <w:tcW w:w="579" w:type="pct"/>
            <w:tcBorders>
              <w:tl2br w:val="nil"/>
              <w:tr2bl w:val="nil"/>
            </w:tcBorders>
            <w:noWrap/>
            <w:vAlign w:val="center"/>
          </w:tcPr>
          <w:p w14:paraId="1C5CEC9D"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150901</w:t>
            </w:r>
          </w:p>
        </w:tc>
        <w:tc>
          <w:tcPr>
            <w:tcW w:w="708" w:type="pct"/>
            <w:tcBorders>
              <w:tl2br w:val="nil"/>
              <w:tr2bl w:val="nil"/>
            </w:tcBorders>
            <w:noWrap/>
            <w:vAlign w:val="center"/>
          </w:tcPr>
          <w:p w14:paraId="33EE0067"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0.98</w:t>
            </w:r>
          </w:p>
        </w:tc>
        <w:tc>
          <w:tcPr>
            <w:tcW w:w="515" w:type="pct"/>
            <w:tcBorders>
              <w:tl2br w:val="nil"/>
              <w:tr2bl w:val="nil"/>
            </w:tcBorders>
            <w:noWrap/>
            <w:vAlign w:val="center"/>
          </w:tcPr>
          <w:p w14:paraId="4C924031"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-75442.5</w:t>
            </w:r>
          </w:p>
        </w:tc>
        <w:tc>
          <w:tcPr>
            <w:tcW w:w="579" w:type="pct"/>
            <w:tcBorders>
              <w:tl2br w:val="nil"/>
              <w:tr2bl w:val="nil"/>
            </w:tcBorders>
            <w:noWrap/>
            <w:vAlign w:val="center"/>
          </w:tcPr>
          <w:p w14:paraId="21B56A4D"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88.97</w:t>
            </w:r>
          </w:p>
        </w:tc>
        <w:tc>
          <w:tcPr>
            <w:tcW w:w="578" w:type="pct"/>
            <w:tcBorders>
              <w:tl2br w:val="nil"/>
              <w:tr2bl w:val="nil"/>
            </w:tcBorders>
            <w:noWrap/>
            <w:vAlign w:val="center"/>
          </w:tcPr>
          <w:p w14:paraId="47BBBEEC"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11.02</w:t>
            </w:r>
          </w:p>
        </w:tc>
        <w:tc>
          <w:tcPr>
            <w:tcW w:w="580" w:type="pct"/>
            <w:tcBorders>
              <w:tl2br w:val="nil"/>
              <w:tr2bl w:val="nil"/>
            </w:tcBorders>
            <w:noWrap/>
            <w:vAlign w:val="center"/>
          </w:tcPr>
          <w:p w14:paraId="0898515C"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NA</w:t>
            </w:r>
          </w:p>
        </w:tc>
        <w:tc>
          <w:tcPr>
            <w:tcW w:w="512" w:type="pct"/>
            <w:tcBorders>
              <w:tl2br w:val="nil"/>
              <w:tr2bl w:val="nil"/>
            </w:tcBorders>
            <w:noWrap/>
            <w:vAlign w:val="center"/>
          </w:tcPr>
          <w:p w14:paraId="5675DFEE"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NA</w:t>
            </w:r>
          </w:p>
        </w:tc>
      </w:tr>
      <w:tr w:rsidR="00D60873" w:rsidRPr="00E77A4C" w14:paraId="30137309" w14:textId="77777777">
        <w:trPr>
          <w:trHeight w:val="280"/>
        </w:trPr>
        <w:tc>
          <w:tcPr>
            <w:tcW w:w="370" w:type="pct"/>
            <w:tcBorders>
              <w:tl2br w:val="nil"/>
              <w:tr2bl w:val="nil"/>
            </w:tcBorders>
            <w:noWrap/>
            <w:vAlign w:val="center"/>
          </w:tcPr>
          <w:p w14:paraId="7C1CFD00"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3</w:t>
            </w:r>
          </w:p>
        </w:tc>
        <w:tc>
          <w:tcPr>
            <w:tcW w:w="579" w:type="pct"/>
            <w:tcBorders>
              <w:tl2br w:val="nil"/>
              <w:tr2bl w:val="nil"/>
            </w:tcBorders>
            <w:noWrap/>
            <w:vAlign w:val="center"/>
          </w:tcPr>
          <w:p w14:paraId="7F22D220"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143336</w:t>
            </w:r>
          </w:p>
        </w:tc>
        <w:tc>
          <w:tcPr>
            <w:tcW w:w="579" w:type="pct"/>
            <w:tcBorders>
              <w:tl2br w:val="nil"/>
              <w:tr2bl w:val="nil"/>
            </w:tcBorders>
            <w:noWrap/>
            <w:vAlign w:val="center"/>
          </w:tcPr>
          <w:p w14:paraId="75E40065"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143252.1</w:t>
            </w:r>
          </w:p>
        </w:tc>
        <w:tc>
          <w:tcPr>
            <w:tcW w:w="708" w:type="pct"/>
            <w:tcBorders>
              <w:tl2br w:val="nil"/>
              <w:tr2bl w:val="nil"/>
            </w:tcBorders>
            <w:noWrap/>
            <w:vAlign w:val="center"/>
          </w:tcPr>
          <w:p w14:paraId="46F01CC0"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0.93</w:t>
            </w:r>
          </w:p>
        </w:tc>
        <w:tc>
          <w:tcPr>
            <w:tcW w:w="515" w:type="pct"/>
            <w:tcBorders>
              <w:tl2br w:val="nil"/>
              <w:tr2bl w:val="nil"/>
            </w:tcBorders>
            <w:noWrap/>
            <w:vAlign w:val="center"/>
          </w:tcPr>
          <w:p w14:paraId="048BC78C"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-71614</w:t>
            </w:r>
          </w:p>
        </w:tc>
        <w:tc>
          <w:tcPr>
            <w:tcW w:w="579" w:type="pct"/>
            <w:tcBorders>
              <w:tl2br w:val="nil"/>
              <w:tr2bl w:val="nil"/>
            </w:tcBorders>
            <w:noWrap/>
            <w:vAlign w:val="center"/>
          </w:tcPr>
          <w:p w14:paraId="0172F884"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3.07</w:t>
            </w:r>
          </w:p>
        </w:tc>
        <w:tc>
          <w:tcPr>
            <w:tcW w:w="578" w:type="pct"/>
            <w:tcBorders>
              <w:tl2br w:val="nil"/>
              <w:tr2bl w:val="nil"/>
            </w:tcBorders>
            <w:noWrap/>
            <w:vAlign w:val="center"/>
          </w:tcPr>
          <w:p w14:paraId="32B48B56"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29.63</w:t>
            </w:r>
          </w:p>
        </w:tc>
        <w:tc>
          <w:tcPr>
            <w:tcW w:w="580" w:type="pct"/>
            <w:tcBorders>
              <w:tl2br w:val="nil"/>
              <w:tr2bl w:val="nil"/>
            </w:tcBorders>
            <w:noWrap/>
            <w:vAlign w:val="center"/>
          </w:tcPr>
          <w:p w14:paraId="5352429A"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67.28717</w:t>
            </w:r>
          </w:p>
        </w:tc>
        <w:tc>
          <w:tcPr>
            <w:tcW w:w="512" w:type="pct"/>
            <w:tcBorders>
              <w:tl2br w:val="nil"/>
              <w:tr2bl w:val="nil"/>
            </w:tcBorders>
            <w:noWrap/>
            <w:vAlign w:val="center"/>
          </w:tcPr>
          <w:p w14:paraId="15D1E38E"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NA</w:t>
            </w:r>
          </w:p>
        </w:tc>
      </w:tr>
      <w:tr w:rsidR="00D60873" w:rsidRPr="00E77A4C" w14:paraId="4231E2A1" w14:textId="77777777">
        <w:trPr>
          <w:trHeight w:val="280"/>
        </w:trPr>
        <w:tc>
          <w:tcPr>
            <w:tcW w:w="370" w:type="pct"/>
            <w:tcBorders>
              <w:tl2br w:val="nil"/>
              <w:tr2bl w:val="nil"/>
            </w:tcBorders>
            <w:noWrap/>
            <w:vAlign w:val="center"/>
          </w:tcPr>
          <w:p w14:paraId="7530FFCD"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4</w:t>
            </w:r>
          </w:p>
        </w:tc>
        <w:tc>
          <w:tcPr>
            <w:tcW w:w="579" w:type="pct"/>
            <w:tcBorders>
              <w:tl2br w:val="nil"/>
              <w:tr2bl w:val="nil"/>
            </w:tcBorders>
            <w:noWrap/>
            <w:vAlign w:val="center"/>
          </w:tcPr>
          <w:p w14:paraId="73D24C03"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140019.5</w:t>
            </w:r>
          </w:p>
        </w:tc>
        <w:tc>
          <w:tcPr>
            <w:tcW w:w="579" w:type="pct"/>
            <w:tcBorders>
              <w:tl2br w:val="nil"/>
              <w:tr2bl w:val="nil"/>
            </w:tcBorders>
            <w:noWrap/>
            <w:vAlign w:val="center"/>
          </w:tcPr>
          <w:p w14:paraId="65BB08B2"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139907.6</w:t>
            </w:r>
          </w:p>
        </w:tc>
        <w:tc>
          <w:tcPr>
            <w:tcW w:w="708" w:type="pct"/>
            <w:tcBorders>
              <w:tl2br w:val="nil"/>
              <w:tr2bl w:val="nil"/>
            </w:tcBorders>
            <w:noWrap/>
            <w:vAlign w:val="center"/>
          </w:tcPr>
          <w:p w14:paraId="53498D5F"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0.90</w:t>
            </w:r>
          </w:p>
        </w:tc>
        <w:tc>
          <w:tcPr>
            <w:tcW w:w="515" w:type="pct"/>
            <w:tcBorders>
              <w:tl2br w:val="nil"/>
              <w:tr2bl w:val="nil"/>
            </w:tcBorders>
            <w:noWrap/>
            <w:vAlign w:val="center"/>
          </w:tcPr>
          <w:p w14:paraId="47C16741"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-69937.8</w:t>
            </w:r>
          </w:p>
        </w:tc>
        <w:tc>
          <w:tcPr>
            <w:tcW w:w="579" w:type="pct"/>
            <w:tcBorders>
              <w:tl2br w:val="nil"/>
              <w:tr2bl w:val="nil"/>
            </w:tcBorders>
            <w:noWrap/>
            <w:vAlign w:val="center"/>
          </w:tcPr>
          <w:p w14:paraId="61A2F81C"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1.98</w:t>
            </w:r>
          </w:p>
        </w:tc>
        <w:tc>
          <w:tcPr>
            <w:tcW w:w="578" w:type="pct"/>
            <w:tcBorders>
              <w:tl2br w:val="nil"/>
              <w:tr2bl w:val="nil"/>
            </w:tcBorders>
            <w:noWrap/>
            <w:vAlign w:val="center"/>
          </w:tcPr>
          <w:p w14:paraId="44153FA9"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38.81</w:t>
            </w:r>
          </w:p>
        </w:tc>
        <w:tc>
          <w:tcPr>
            <w:tcW w:w="580" w:type="pct"/>
            <w:tcBorders>
              <w:tl2br w:val="nil"/>
              <w:tr2bl w:val="nil"/>
            </w:tcBorders>
            <w:noWrap/>
            <w:vAlign w:val="center"/>
          </w:tcPr>
          <w:p w14:paraId="7E380909"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7.930007</w:t>
            </w:r>
          </w:p>
        </w:tc>
        <w:tc>
          <w:tcPr>
            <w:tcW w:w="512" w:type="pct"/>
            <w:tcBorders>
              <w:tl2br w:val="nil"/>
              <w:tr2bl w:val="nil"/>
            </w:tcBorders>
            <w:noWrap/>
            <w:vAlign w:val="center"/>
          </w:tcPr>
          <w:p w14:paraId="46BFABE2" w14:textId="77777777" w:rsidR="00D60873" w:rsidRPr="00E77A4C" w:rsidRDefault="00000000" w:rsidP="00470735">
            <w:pPr>
              <w:spacing w:after="0" w:line="360" w:lineRule="auto"/>
              <w:rPr>
                <w:rFonts w:ascii="Times New Roman" w:eastAsia="等线" w:hAnsi="Times New Roman" w:cs="Times New Roman"/>
                <w:color w:val="000000"/>
                <w:sz w:val="24"/>
                <w:szCs w:val="24"/>
                <w:lang w:eastAsia="zh-CN"/>
              </w:rPr>
            </w:pPr>
            <w:r w:rsidRPr="00E77A4C">
              <w:rPr>
                <w:rFonts w:ascii="Times New Roman" w:eastAsia="等线" w:hAnsi="Times New Roman" w:cs="Times New Roman"/>
                <w:color w:val="000000"/>
                <w:sz w:val="24"/>
                <w:szCs w:val="24"/>
                <w:lang w:eastAsia="zh-CN"/>
              </w:rPr>
              <w:t>51.26582</w:t>
            </w:r>
          </w:p>
        </w:tc>
      </w:tr>
    </w:tbl>
    <w:p w14:paraId="0ED0190D" w14:textId="77777777" w:rsidR="00D60873" w:rsidRPr="00E77A4C" w:rsidRDefault="00D60873" w:rsidP="00470735">
      <w:pPr>
        <w:spacing w:line="360" w:lineRule="auto"/>
        <w:rPr>
          <w:rStyle w:val="afc"/>
          <w:rFonts w:ascii="Times New Roman" w:eastAsia="宋体" w:hAnsi="Times New Roman" w:cs="Times New Roman"/>
          <w:sz w:val="24"/>
          <w:szCs w:val="24"/>
          <w:lang w:eastAsia="zh-CN"/>
        </w:rPr>
      </w:pPr>
    </w:p>
    <w:p w14:paraId="26AD7A3C" w14:textId="77777777" w:rsidR="0005748D" w:rsidRPr="0005748D" w:rsidRDefault="0005748D" w:rsidP="0005748D">
      <w:pPr>
        <w:spacing w:line="360" w:lineRule="auto"/>
        <w:rPr>
          <w:rFonts w:ascii="Times New Roman" w:hAnsi="Times New Roman" w:cs="Times New Roman"/>
          <w:sz w:val="24"/>
          <w:szCs w:val="24"/>
        </w:rPr>
      </w:pPr>
      <w:r w:rsidRPr="0005748D">
        <w:rPr>
          <w:rFonts w:ascii="Times New Roman" w:hAnsi="Times New Roman" w:cs="Times New Roman"/>
          <w:sz w:val="24"/>
          <w:szCs w:val="24"/>
        </w:rPr>
        <w:t>Model fit statistics for latent class mixed models with 1 to 4 classes in the derivation cohort are presented. The three-class solution was selected as the optimal model based on the lowest Bayesian Information Criterion (BIC) among models with adequate class size and acceptable classification performance. Although the four-class model showed further reduction in BIC and AIC, it yielded a very small class (&lt;5%) and reduced classification certainty (AveMaxPP = 0.90). The three-class model demonstrated good discrimination (AveMaxPP = 0.93) with clinically interpretable class distribution.</w:t>
      </w:r>
    </w:p>
    <w:p w14:paraId="68370A2A" w14:textId="77777777" w:rsidR="0005748D" w:rsidRPr="0005748D" w:rsidRDefault="0005748D" w:rsidP="0005748D">
      <w:pPr>
        <w:spacing w:line="360" w:lineRule="auto"/>
        <w:rPr>
          <w:rFonts w:ascii="Times New Roman" w:hAnsi="Times New Roman" w:cs="Times New Roman"/>
          <w:sz w:val="24"/>
          <w:szCs w:val="24"/>
        </w:rPr>
      </w:pPr>
    </w:p>
    <w:p w14:paraId="032A5705" w14:textId="228DDA35" w:rsidR="00E77A4C" w:rsidRDefault="0005748D" w:rsidP="0005748D">
      <w:pPr>
        <w:spacing w:line="360" w:lineRule="auto"/>
        <w:rPr>
          <w:rFonts w:ascii="Times New Roman" w:eastAsia="宋体" w:hAnsi="Times New Roman" w:cs="Times New Roman"/>
          <w:sz w:val="24"/>
          <w:szCs w:val="24"/>
          <w:lang w:eastAsia="zh-CN"/>
        </w:rPr>
      </w:pPr>
      <w:r w:rsidRPr="0005748D">
        <w:rPr>
          <w:rFonts w:ascii="Times New Roman" w:hAnsi="Times New Roman" w:cs="Times New Roman"/>
          <w:sz w:val="24"/>
          <w:szCs w:val="24"/>
        </w:rPr>
        <w:t>Abbreviations: BIC, Bayesian Information Criterion; AIC, Akaike Information Criterion; AveMaxPP, Average Maximum Posterior Probability; LCMM, latent class mixed model.</w:t>
      </w:r>
    </w:p>
    <w:p w14:paraId="03EDCEA0" w14:textId="77777777" w:rsidR="0005748D" w:rsidRPr="0005748D" w:rsidRDefault="0005748D" w:rsidP="0005748D">
      <w:pPr>
        <w:spacing w:line="360" w:lineRule="auto"/>
        <w:rPr>
          <w:rStyle w:val="afc"/>
          <w:rFonts w:ascii="Times New Roman" w:eastAsia="宋体" w:hAnsi="Times New Roman" w:cs="Times New Roman"/>
          <w:sz w:val="24"/>
          <w:szCs w:val="24"/>
          <w:lang w:eastAsia="zh-CN"/>
        </w:rPr>
      </w:pPr>
    </w:p>
    <w:p w14:paraId="224CA15A" w14:textId="16DE1AFE" w:rsidR="00E77A4C" w:rsidRPr="00E77A4C" w:rsidRDefault="0005748D" w:rsidP="00E77A4C">
      <w:pPr>
        <w:spacing w:line="360" w:lineRule="auto"/>
        <w:jc w:val="center"/>
        <w:rPr>
          <w:rFonts w:ascii="Times New Roman" w:eastAsia="宋体" w:hAnsi="Times New Roman" w:cs="Times New Roman"/>
          <w:sz w:val="24"/>
          <w:szCs w:val="24"/>
          <w:lang w:eastAsia="zh-CN"/>
        </w:rPr>
      </w:pPr>
      <w:r w:rsidRPr="0005748D">
        <w:rPr>
          <w:rStyle w:val="afc"/>
          <w:rFonts w:ascii="Times New Roman" w:hAnsi="Times New Roman" w:cs="Times New Roman"/>
          <w:sz w:val="24"/>
          <w:szCs w:val="24"/>
        </w:rPr>
        <w:t>Table S2. Baseline characteristics of the eICU-CRD validation cohort according to phosphate trajectory pattern</w:t>
      </w:r>
    </w:p>
    <w:tbl>
      <w:tblPr>
        <w:tblW w:w="11161" w:type="dxa"/>
        <w:tblInd w:w="98" w:type="dxa"/>
        <w:tblBorders>
          <w:top w:val="single" w:sz="12" w:space="0" w:color="auto"/>
          <w:bottom w:val="single" w:sz="12" w:space="0" w:color="auto"/>
        </w:tblBorders>
        <w:tblLayout w:type="fixed"/>
        <w:tblLook w:val="04A0" w:firstRow="1" w:lastRow="0" w:firstColumn="1" w:lastColumn="0" w:noHBand="0" w:noVBand="1"/>
      </w:tblPr>
      <w:tblGrid>
        <w:gridCol w:w="2112"/>
        <w:gridCol w:w="2020"/>
        <w:gridCol w:w="2021"/>
        <w:gridCol w:w="2021"/>
        <w:gridCol w:w="1985"/>
        <w:gridCol w:w="1002"/>
      </w:tblGrid>
      <w:tr w:rsidR="00D60873" w:rsidRPr="00E77A4C" w14:paraId="1ACB7648" w14:textId="77777777">
        <w:trPr>
          <w:trHeight w:val="280"/>
          <w:tblHeader/>
        </w:trPr>
        <w:tc>
          <w:tcPr>
            <w:tcW w:w="2112" w:type="dxa"/>
            <w:tcBorders>
              <w:bottom w:val="single" w:sz="4" w:space="0" w:color="auto"/>
            </w:tcBorders>
            <w:noWrap/>
            <w:vAlign w:val="center"/>
          </w:tcPr>
          <w:p w14:paraId="592EEDE0" w14:textId="77777777" w:rsidR="00D60873" w:rsidRPr="00E77A4C" w:rsidRDefault="00D60873" w:rsidP="00470735">
            <w:pPr>
              <w:spacing w:line="360" w:lineRule="auto"/>
              <w:rPr>
                <w:rFonts w:ascii="Times New Roman" w:eastAsia="宋体" w:hAnsi="Times New Roman" w:cs="Times New Roman"/>
                <w:b/>
                <w:bCs/>
                <w:color w:val="000000"/>
                <w:sz w:val="24"/>
                <w:szCs w:val="24"/>
              </w:rPr>
            </w:pPr>
          </w:p>
        </w:tc>
        <w:tc>
          <w:tcPr>
            <w:tcW w:w="2020" w:type="dxa"/>
            <w:tcBorders>
              <w:bottom w:val="single" w:sz="4" w:space="0" w:color="auto"/>
            </w:tcBorders>
            <w:noWrap/>
            <w:vAlign w:val="center"/>
          </w:tcPr>
          <w:p w14:paraId="78688E2D"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Overall</w:t>
            </w:r>
          </w:p>
          <w:p w14:paraId="5E235273"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(n=12049)</w:t>
            </w:r>
          </w:p>
        </w:tc>
        <w:tc>
          <w:tcPr>
            <w:tcW w:w="2021" w:type="dxa"/>
            <w:tcBorders>
              <w:bottom w:val="single" w:sz="4" w:space="0" w:color="auto"/>
            </w:tcBorders>
            <w:noWrap/>
            <w:vAlign w:val="center"/>
          </w:tcPr>
          <w:p w14:paraId="0C1EFA98"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Low</w:t>
            </w:r>
          </w:p>
          <w:p w14:paraId="1B805384"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(n=8153)</w:t>
            </w:r>
          </w:p>
        </w:tc>
        <w:tc>
          <w:tcPr>
            <w:tcW w:w="2021" w:type="dxa"/>
            <w:tcBorders>
              <w:bottom w:val="single" w:sz="4" w:space="0" w:color="auto"/>
            </w:tcBorders>
            <w:noWrap/>
            <w:vAlign w:val="center"/>
          </w:tcPr>
          <w:p w14:paraId="2510AE92"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Normal</w:t>
            </w:r>
          </w:p>
          <w:p w14:paraId="0C05D2AF"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(n=3091)</w:t>
            </w:r>
          </w:p>
        </w:tc>
        <w:tc>
          <w:tcPr>
            <w:tcW w:w="1985" w:type="dxa"/>
            <w:tcBorders>
              <w:bottom w:val="single" w:sz="4" w:space="0" w:color="auto"/>
            </w:tcBorders>
            <w:noWrap/>
            <w:vAlign w:val="center"/>
          </w:tcPr>
          <w:p w14:paraId="56704D87"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Persistent High(n=805)</w:t>
            </w:r>
          </w:p>
        </w:tc>
        <w:tc>
          <w:tcPr>
            <w:tcW w:w="1002" w:type="dxa"/>
            <w:tcBorders>
              <w:bottom w:val="single" w:sz="4" w:space="0" w:color="auto"/>
            </w:tcBorders>
            <w:noWrap/>
            <w:vAlign w:val="center"/>
          </w:tcPr>
          <w:p w14:paraId="2D5B1899" w14:textId="77777777" w:rsidR="00D60873" w:rsidRPr="00E77A4C" w:rsidRDefault="00000000" w:rsidP="00470735">
            <w:pPr>
              <w:spacing w:line="360" w:lineRule="auto"/>
              <w:rPr>
                <w:rFonts w:ascii="Times New Roman" w:eastAsia="宋体" w:hAnsi="Times New Roman" w:cs="Times New Roman"/>
                <w:b/>
                <w:bCs/>
                <w:color w:val="000000"/>
                <w:sz w:val="24"/>
                <w:szCs w:val="24"/>
              </w:rPr>
            </w:pPr>
            <w:r w:rsidRPr="00E77A4C">
              <w:rPr>
                <w:rFonts w:ascii="Times New Roman" w:eastAsia="宋体" w:hAnsi="Times New Roman" w:cs="Times New Roman"/>
                <w:b/>
                <w:bCs/>
                <w:color w:val="000000"/>
                <w:sz w:val="24"/>
                <w:szCs w:val="24"/>
                <w:lang w:eastAsia="zh-CN"/>
              </w:rPr>
              <w:t xml:space="preserve">P </w:t>
            </w:r>
          </w:p>
        </w:tc>
      </w:tr>
      <w:tr w:rsidR="00D60873" w:rsidRPr="00E77A4C" w14:paraId="157B8CA6" w14:textId="77777777">
        <w:trPr>
          <w:trHeight w:val="280"/>
        </w:trPr>
        <w:tc>
          <w:tcPr>
            <w:tcW w:w="2112" w:type="dxa"/>
            <w:tcBorders>
              <w:tl2br w:val="nil"/>
              <w:tr2bl w:val="nil"/>
            </w:tcBorders>
            <w:noWrap/>
            <w:vAlign w:val="center"/>
          </w:tcPr>
          <w:p w14:paraId="0A8573B0"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Age (years)</w:t>
            </w:r>
          </w:p>
        </w:tc>
        <w:tc>
          <w:tcPr>
            <w:tcW w:w="2020" w:type="dxa"/>
            <w:tcBorders>
              <w:tl2br w:val="nil"/>
              <w:tr2bl w:val="nil"/>
            </w:tcBorders>
            <w:noWrap/>
            <w:vAlign w:val="center"/>
          </w:tcPr>
          <w:p w14:paraId="3CB3DE0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64.00 [53.00, 75.00]</w:t>
            </w:r>
          </w:p>
        </w:tc>
        <w:tc>
          <w:tcPr>
            <w:tcW w:w="2021" w:type="dxa"/>
            <w:tcBorders>
              <w:tl2br w:val="nil"/>
              <w:tr2bl w:val="nil"/>
            </w:tcBorders>
            <w:noWrap/>
            <w:vAlign w:val="center"/>
          </w:tcPr>
          <w:p w14:paraId="5B58DFF8"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64.00 [53.00, 75.00]</w:t>
            </w:r>
          </w:p>
        </w:tc>
        <w:tc>
          <w:tcPr>
            <w:tcW w:w="2021" w:type="dxa"/>
            <w:tcBorders>
              <w:tl2br w:val="nil"/>
              <w:tr2bl w:val="nil"/>
            </w:tcBorders>
            <w:noWrap/>
            <w:vAlign w:val="center"/>
          </w:tcPr>
          <w:p w14:paraId="7B9526D9"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64.00 [53.00, 75.00]</w:t>
            </w:r>
          </w:p>
        </w:tc>
        <w:tc>
          <w:tcPr>
            <w:tcW w:w="1985" w:type="dxa"/>
            <w:tcBorders>
              <w:tl2br w:val="nil"/>
              <w:tr2bl w:val="nil"/>
            </w:tcBorders>
            <w:noWrap/>
            <w:vAlign w:val="center"/>
          </w:tcPr>
          <w:p w14:paraId="24005968"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62.00 [52.00, 72.00]</w:t>
            </w:r>
          </w:p>
        </w:tc>
        <w:tc>
          <w:tcPr>
            <w:tcW w:w="1002" w:type="dxa"/>
            <w:tcBorders>
              <w:tl2br w:val="nil"/>
              <w:tr2bl w:val="nil"/>
            </w:tcBorders>
            <w:noWrap/>
            <w:vAlign w:val="center"/>
          </w:tcPr>
          <w:p w14:paraId="3C72A6F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0.001</w:t>
            </w:r>
          </w:p>
        </w:tc>
      </w:tr>
      <w:tr w:rsidR="00D60873" w:rsidRPr="00E77A4C" w14:paraId="34B21C7B" w14:textId="77777777">
        <w:trPr>
          <w:trHeight w:val="280"/>
        </w:trPr>
        <w:tc>
          <w:tcPr>
            <w:tcW w:w="2112" w:type="dxa"/>
            <w:tcBorders>
              <w:tl2br w:val="nil"/>
              <w:tr2bl w:val="nil"/>
            </w:tcBorders>
            <w:noWrap/>
            <w:vAlign w:val="center"/>
          </w:tcPr>
          <w:p w14:paraId="3FCF840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Male (%)</w:t>
            </w:r>
          </w:p>
        </w:tc>
        <w:tc>
          <w:tcPr>
            <w:tcW w:w="2020" w:type="dxa"/>
            <w:tcBorders>
              <w:tl2br w:val="nil"/>
              <w:tr2bl w:val="nil"/>
            </w:tcBorders>
            <w:noWrap/>
            <w:vAlign w:val="center"/>
          </w:tcPr>
          <w:p w14:paraId="17083A6A"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6641 (55.1)</w:t>
            </w:r>
          </w:p>
        </w:tc>
        <w:tc>
          <w:tcPr>
            <w:tcW w:w="2021" w:type="dxa"/>
            <w:tcBorders>
              <w:tl2br w:val="nil"/>
              <w:tr2bl w:val="nil"/>
            </w:tcBorders>
            <w:noWrap/>
            <w:vAlign w:val="center"/>
          </w:tcPr>
          <w:p w14:paraId="31B5A76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4379 (53.7)</w:t>
            </w:r>
          </w:p>
        </w:tc>
        <w:tc>
          <w:tcPr>
            <w:tcW w:w="2021" w:type="dxa"/>
            <w:tcBorders>
              <w:tl2br w:val="nil"/>
              <w:tr2bl w:val="nil"/>
            </w:tcBorders>
            <w:noWrap/>
            <w:vAlign w:val="center"/>
          </w:tcPr>
          <w:p w14:paraId="20E34141"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1770 (57.3)</w:t>
            </w:r>
          </w:p>
        </w:tc>
        <w:tc>
          <w:tcPr>
            <w:tcW w:w="1985" w:type="dxa"/>
            <w:tcBorders>
              <w:tl2br w:val="nil"/>
              <w:tr2bl w:val="nil"/>
            </w:tcBorders>
            <w:noWrap/>
            <w:vAlign w:val="center"/>
          </w:tcPr>
          <w:p w14:paraId="494B2E9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492 (61.1)</w:t>
            </w:r>
          </w:p>
        </w:tc>
        <w:tc>
          <w:tcPr>
            <w:tcW w:w="1002" w:type="dxa"/>
            <w:tcBorders>
              <w:tl2br w:val="nil"/>
              <w:tr2bl w:val="nil"/>
            </w:tcBorders>
            <w:noWrap/>
            <w:vAlign w:val="center"/>
          </w:tcPr>
          <w:p w14:paraId="6447E1E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0C45EE21" w14:textId="77777777">
        <w:trPr>
          <w:trHeight w:val="280"/>
        </w:trPr>
        <w:tc>
          <w:tcPr>
            <w:tcW w:w="2112" w:type="dxa"/>
            <w:tcBorders>
              <w:tl2br w:val="nil"/>
              <w:tr2bl w:val="nil"/>
            </w:tcBorders>
            <w:noWrap/>
            <w:vAlign w:val="center"/>
          </w:tcPr>
          <w:p w14:paraId="2FFB720D"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APACHE IV score</w:t>
            </w:r>
          </w:p>
        </w:tc>
        <w:tc>
          <w:tcPr>
            <w:tcW w:w="2020" w:type="dxa"/>
            <w:tcBorders>
              <w:tl2br w:val="nil"/>
              <w:tr2bl w:val="nil"/>
            </w:tcBorders>
            <w:noWrap/>
            <w:vAlign w:val="center"/>
          </w:tcPr>
          <w:p w14:paraId="5C532E9E"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78.00 [59.00, 98.00]</w:t>
            </w:r>
          </w:p>
        </w:tc>
        <w:tc>
          <w:tcPr>
            <w:tcW w:w="2021" w:type="dxa"/>
            <w:tcBorders>
              <w:tl2br w:val="nil"/>
              <w:tr2bl w:val="nil"/>
            </w:tcBorders>
            <w:noWrap/>
            <w:vAlign w:val="center"/>
          </w:tcPr>
          <w:p w14:paraId="7E3051B0"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75.00 [57.00, 94.00]</w:t>
            </w:r>
          </w:p>
        </w:tc>
        <w:tc>
          <w:tcPr>
            <w:tcW w:w="2021" w:type="dxa"/>
            <w:tcBorders>
              <w:tl2br w:val="nil"/>
              <w:tr2bl w:val="nil"/>
            </w:tcBorders>
            <w:noWrap/>
            <w:vAlign w:val="center"/>
          </w:tcPr>
          <w:p w14:paraId="1EBADB87"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83.00 [63.00, 106.00]</w:t>
            </w:r>
          </w:p>
        </w:tc>
        <w:tc>
          <w:tcPr>
            <w:tcW w:w="1985" w:type="dxa"/>
            <w:tcBorders>
              <w:tl2br w:val="nil"/>
              <w:tr2bl w:val="nil"/>
            </w:tcBorders>
            <w:noWrap/>
            <w:vAlign w:val="center"/>
          </w:tcPr>
          <w:p w14:paraId="01849700"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90.00 [69.00, 110.00]</w:t>
            </w:r>
          </w:p>
        </w:tc>
        <w:tc>
          <w:tcPr>
            <w:tcW w:w="1002" w:type="dxa"/>
            <w:tcBorders>
              <w:tl2br w:val="nil"/>
              <w:tr2bl w:val="nil"/>
            </w:tcBorders>
            <w:noWrap/>
            <w:vAlign w:val="center"/>
          </w:tcPr>
          <w:p w14:paraId="56A17D04"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6B1FFFE3" w14:textId="77777777">
        <w:trPr>
          <w:trHeight w:val="280"/>
        </w:trPr>
        <w:tc>
          <w:tcPr>
            <w:tcW w:w="2112" w:type="dxa"/>
            <w:tcBorders>
              <w:tl2br w:val="nil"/>
              <w:tr2bl w:val="nil"/>
            </w:tcBorders>
            <w:noWrap/>
            <w:vAlign w:val="center"/>
          </w:tcPr>
          <w:p w14:paraId="71CD279A"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Creatinine</w:t>
            </w:r>
            <w:r w:rsidRPr="00E77A4C">
              <w:rPr>
                <w:rFonts w:ascii="Times New Roman" w:eastAsia="宋体" w:hAnsi="Times New Roman" w:cs="Times New Roman"/>
                <w:color w:val="000000"/>
                <w:sz w:val="24"/>
                <w:szCs w:val="24"/>
                <w:lang w:bidi="ar"/>
              </w:rPr>
              <w:t xml:space="preserve"> (mg/dL) </w:t>
            </w:r>
            <w:r w:rsidRPr="00E77A4C">
              <w:rPr>
                <w:rFonts w:ascii="Times New Roman" w:eastAsia="宋体" w:hAnsi="Times New Roman" w:cs="Times New Roman"/>
                <w:color w:val="000000"/>
                <w:sz w:val="24"/>
                <w:szCs w:val="24"/>
                <w:lang w:eastAsia="zh-CN" w:bidi="ar"/>
              </w:rPr>
              <w:t xml:space="preserve"> </w:t>
            </w:r>
          </w:p>
        </w:tc>
        <w:tc>
          <w:tcPr>
            <w:tcW w:w="2020" w:type="dxa"/>
            <w:tcBorders>
              <w:tl2br w:val="nil"/>
              <w:tr2bl w:val="nil"/>
            </w:tcBorders>
            <w:noWrap/>
            <w:vAlign w:val="center"/>
          </w:tcPr>
          <w:p w14:paraId="667520F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1.19 [0.80, 2.10]</w:t>
            </w:r>
          </w:p>
        </w:tc>
        <w:tc>
          <w:tcPr>
            <w:tcW w:w="2021" w:type="dxa"/>
            <w:tcBorders>
              <w:tl2br w:val="nil"/>
              <w:tr2bl w:val="nil"/>
            </w:tcBorders>
            <w:noWrap/>
            <w:vAlign w:val="center"/>
          </w:tcPr>
          <w:p w14:paraId="367DFA99"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1.00 [0.70, 1.50]</w:t>
            </w:r>
          </w:p>
        </w:tc>
        <w:tc>
          <w:tcPr>
            <w:tcW w:w="2021" w:type="dxa"/>
            <w:tcBorders>
              <w:tl2br w:val="nil"/>
              <w:tr2bl w:val="nil"/>
            </w:tcBorders>
            <w:noWrap/>
            <w:vAlign w:val="center"/>
          </w:tcPr>
          <w:p w14:paraId="1A037DC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1.90 [1.14, 3.11]</w:t>
            </w:r>
          </w:p>
        </w:tc>
        <w:tc>
          <w:tcPr>
            <w:tcW w:w="1985" w:type="dxa"/>
            <w:tcBorders>
              <w:tl2br w:val="nil"/>
              <w:tr2bl w:val="nil"/>
            </w:tcBorders>
            <w:noWrap/>
            <w:vAlign w:val="center"/>
          </w:tcPr>
          <w:p w14:paraId="12FCE5A1"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3.76 [2.28, 5.90]</w:t>
            </w:r>
          </w:p>
        </w:tc>
        <w:tc>
          <w:tcPr>
            <w:tcW w:w="1002" w:type="dxa"/>
            <w:tcBorders>
              <w:tl2br w:val="nil"/>
              <w:tr2bl w:val="nil"/>
            </w:tcBorders>
            <w:noWrap/>
            <w:vAlign w:val="center"/>
          </w:tcPr>
          <w:p w14:paraId="0B021D05"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438700FA" w14:textId="77777777">
        <w:trPr>
          <w:trHeight w:val="280"/>
        </w:trPr>
        <w:tc>
          <w:tcPr>
            <w:tcW w:w="2112" w:type="dxa"/>
            <w:tcBorders>
              <w:tl2br w:val="nil"/>
              <w:tr2bl w:val="nil"/>
            </w:tcBorders>
            <w:noWrap/>
            <w:vAlign w:val="center"/>
          </w:tcPr>
          <w:p w14:paraId="45A894B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Albumin (g/dL)</w:t>
            </w:r>
          </w:p>
        </w:tc>
        <w:tc>
          <w:tcPr>
            <w:tcW w:w="2020" w:type="dxa"/>
            <w:tcBorders>
              <w:tl2br w:val="nil"/>
              <w:tr2bl w:val="nil"/>
            </w:tcBorders>
            <w:noWrap/>
            <w:vAlign w:val="center"/>
          </w:tcPr>
          <w:p w14:paraId="6F5DDDA9"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2.82 (2.05)</w:t>
            </w:r>
          </w:p>
        </w:tc>
        <w:tc>
          <w:tcPr>
            <w:tcW w:w="2021" w:type="dxa"/>
            <w:tcBorders>
              <w:tl2br w:val="nil"/>
              <w:tr2bl w:val="nil"/>
            </w:tcBorders>
            <w:noWrap/>
            <w:vAlign w:val="center"/>
          </w:tcPr>
          <w:p w14:paraId="7F0D8A89"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2.86 (2.02)</w:t>
            </w:r>
          </w:p>
        </w:tc>
        <w:tc>
          <w:tcPr>
            <w:tcW w:w="2021" w:type="dxa"/>
            <w:tcBorders>
              <w:tl2br w:val="nil"/>
              <w:tr2bl w:val="nil"/>
            </w:tcBorders>
            <w:noWrap/>
            <w:vAlign w:val="center"/>
          </w:tcPr>
          <w:p w14:paraId="4588AA92"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2.78 (2.08)</w:t>
            </w:r>
          </w:p>
        </w:tc>
        <w:tc>
          <w:tcPr>
            <w:tcW w:w="1985" w:type="dxa"/>
            <w:tcBorders>
              <w:tl2br w:val="nil"/>
              <w:tr2bl w:val="nil"/>
            </w:tcBorders>
            <w:noWrap/>
            <w:vAlign w:val="center"/>
          </w:tcPr>
          <w:p w14:paraId="2704862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2.68 (2.22)</w:t>
            </w:r>
          </w:p>
        </w:tc>
        <w:tc>
          <w:tcPr>
            <w:tcW w:w="1002" w:type="dxa"/>
            <w:tcBorders>
              <w:tl2br w:val="nil"/>
              <w:tr2bl w:val="nil"/>
            </w:tcBorders>
            <w:noWrap/>
            <w:vAlign w:val="center"/>
          </w:tcPr>
          <w:p w14:paraId="739C055F"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0.091</w:t>
            </w:r>
          </w:p>
        </w:tc>
      </w:tr>
      <w:tr w:rsidR="00D60873" w:rsidRPr="00E77A4C" w14:paraId="5E6E9183" w14:textId="77777777">
        <w:trPr>
          <w:trHeight w:val="280"/>
        </w:trPr>
        <w:tc>
          <w:tcPr>
            <w:tcW w:w="2112" w:type="dxa"/>
            <w:tcBorders>
              <w:tl2br w:val="nil"/>
              <w:tr2bl w:val="nil"/>
            </w:tcBorders>
            <w:noWrap/>
            <w:vAlign w:val="center"/>
          </w:tcPr>
          <w:p w14:paraId="2D3D4D37"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Total calcium (mg/dL)</w:t>
            </w:r>
          </w:p>
        </w:tc>
        <w:tc>
          <w:tcPr>
            <w:tcW w:w="2020" w:type="dxa"/>
            <w:tcBorders>
              <w:tl2br w:val="nil"/>
              <w:tr2bl w:val="nil"/>
            </w:tcBorders>
            <w:noWrap/>
            <w:vAlign w:val="center"/>
          </w:tcPr>
          <w:p w14:paraId="23C7FB04"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7.90 (0.89)</w:t>
            </w:r>
          </w:p>
        </w:tc>
        <w:tc>
          <w:tcPr>
            <w:tcW w:w="2021" w:type="dxa"/>
            <w:tcBorders>
              <w:tl2br w:val="nil"/>
              <w:tr2bl w:val="nil"/>
            </w:tcBorders>
            <w:noWrap/>
            <w:vAlign w:val="center"/>
          </w:tcPr>
          <w:p w14:paraId="49F59F98"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7.90 (0.85)</w:t>
            </w:r>
          </w:p>
        </w:tc>
        <w:tc>
          <w:tcPr>
            <w:tcW w:w="2021" w:type="dxa"/>
            <w:tcBorders>
              <w:tl2br w:val="nil"/>
              <w:tr2bl w:val="nil"/>
            </w:tcBorders>
            <w:noWrap/>
            <w:vAlign w:val="center"/>
          </w:tcPr>
          <w:p w14:paraId="6EF86D92"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7.93 (0.93)</w:t>
            </w:r>
          </w:p>
        </w:tc>
        <w:tc>
          <w:tcPr>
            <w:tcW w:w="1985" w:type="dxa"/>
            <w:tcBorders>
              <w:tl2br w:val="nil"/>
              <w:tr2bl w:val="nil"/>
            </w:tcBorders>
            <w:noWrap/>
            <w:vAlign w:val="center"/>
          </w:tcPr>
          <w:p w14:paraId="4B9074B2"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7.75 (1.00)</w:t>
            </w:r>
          </w:p>
        </w:tc>
        <w:tc>
          <w:tcPr>
            <w:tcW w:w="1002" w:type="dxa"/>
            <w:tcBorders>
              <w:tl2br w:val="nil"/>
              <w:tr2bl w:val="nil"/>
            </w:tcBorders>
            <w:noWrap/>
            <w:vAlign w:val="center"/>
          </w:tcPr>
          <w:p w14:paraId="7FD9B7D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543C9FB7" w14:textId="77777777">
        <w:trPr>
          <w:trHeight w:val="280"/>
        </w:trPr>
        <w:tc>
          <w:tcPr>
            <w:tcW w:w="2112" w:type="dxa"/>
            <w:tcBorders>
              <w:tl2br w:val="nil"/>
              <w:tr2bl w:val="nil"/>
            </w:tcBorders>
            <w:noWrap/>
            <w:vAlign w:val="center"/>
          </w:tcPr>
          <w:p w14:paraId="52D149B2"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bidi="ar"/>
              </w:rPr>
              <w:t xml:space="preserve">pH </w:t>
            </w:r>
          </w:p>
        </w:tc>
        <w:tc>
          <w:tcPr>
            <w:tcW w:w="2020" w:type="dxa"/>
            <w:tcBorders>
              <w:tl2br w:val="nil"/>
              <w:tr2bl w:val="nil"/>
            </w:tcBorders>
            <w:noWrap/>
            <w:vAlign w:val="center"/>
          </w:tcPr>
          <w:p w14:paraId="42051C3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7.31 (0.15)</w:t>
            </w:r>
          </w:p>
        </w:tc>
        <w:tc>
          <w:tcPr>
            <w:tcW w:w="2021" w:type="dxa"/>
            <w:tcBorders>
              <w:tl2br w:val="nil"/>
              <w:tr2bl w:val="nil"/>
            </w:tcBorders>
            <w:noWrap/>
            <w:vAlign w:val="center"/>
          </w:tcPr>
          <w:p w14:paraId="591828B2"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7.33 (0.13)</w:t>
            </w:r>
          </w:p>
        </w:tc>
        <w:tc>
          <w:tcPr>
            <w:tcW w:w="2021" w:type="dxa"/>
            <w:tcBorders>
              <w:tl2br w:val="nil"/>
              <w:tr2bl w:val="nil"/>
            </w:tcBorders>
            <w:noWrap/>
            <w:vAlign w:val="center"/>
          </w:tcPr>
          <w:p w14:paraId="0EDE0FC8"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7.29 (0.16)</w:t>
            </w:r>
          </w:p>
        </w:tc>
        <w:tc>
          <w:tcPr>
            <w:tcW w:w="1985" w:type="dxa"/>
            <w:tcBorders>
              <w:tl2br w:val="nil"/>
              <w:tr2bl w:val="nil"/>
            </w:tcBorders>
            <w:noWrap/>
            <w:vAlign w:val="center"/>
          </w:tcPr>
          <w:p w14:paraId="78101A55"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7.22 (0.18)</w:t>
            </w:r>
          </w:p>
        </w:tc>
        <w:tc>
          <w:tcPr>
            <w:tcW w:w="1002" w:type="dxa"/>
            <w:tcBorders>
              <w:tl2br w:val="nil"/>
              <w:tr2bl w:val="nil"/>
            </w:tcBorders>
            <w:noWrap/>
            <w:vAlign w:val="center"/>
          </w:tcPr>
          <w:p w14:paraId="1CCF354E"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419BF3C6" w14:textId="77777777">
        <w:trPr>
          <w:trHeight w:val="280"/>
        </w:trPr>
        <w:tc>
          <w:tcPr>
            <w:tcW w:w="2112" w:type="dxa"/>
            <w:tcBorders>
              <w:tl2br w:val="nil"/>
              <w:tr2bl w:val="nil"/>
            </w:tcBorders>
            <w:noWrap/>
            <w:vAlign w:val="center"/>
          </w:tcPr>
          <w:p w14:paraId="34C81A08"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bidi="ar"/>
              </w:rPr>
              <w:t xml:space="preserve">Lactate (mmol/L) </w:t>
            </w:r>
          </w:p>
        </w:tc>
        <w:tc>
          <w:tcPr>
            <w:tcW w:w="2020" w:type="dxa"/>
            <w:tcBorders>
              <w:tl2br w:val="nil"/>
              <w:tr2bl w:val="nil"/>
            </w:tcBorders>
            <w:noWrap/>
            <w:vAlign w:val="center"/>
          </w:tcPr>
          <w:p w14:paraId="7B9B639E"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2.10 [1.30, 3.80]</w:t>
            </w:r>
          </w:p>
        </w:tc>
        <w:tc>
          <w:tcPr>
            <w:tcW w:w="2021" w:type="dxa"/>
            <w:tcBorders>
              <w:tl2br w:val="nil"/>
              <w:tr2bl w:val="nil"/>
            </w:tcBorders>
            <w:noWrap/>
            <w:vAlign w:val="center"/>
          </w:tcPr>
          <w:p w14:paraId="1349A5E1"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2.00 [1.30, 3.40]</w:t>
            </w:r>
          </w:p>
        </w:tc>
        <w:tc>
          <w:tcPr>
            <w:tcW w:w="2021" w:type="dxa"/>
            <w:tcBorders>
              <w:tl2br w:val="nil"/>
              <w:tr2bl w:val="nil"/>
            </w:tcBorders>
            <w:noWrap/>
            <w:vAlign w:val="center"/>
          </w:tcPr>
          <w:p w14:paraId="0B6D576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2.20 [1.30, 4.80]</w:t>
            </w:r>
          </w:p>
        </w:tc>
        <w:tc>
          <w:tcPr>
            <w:tcW w:w="1985" w:type="dxa"/>
            <w:tcBorders>
              <w:tl2br w:val="nil"/>
              <w:tr2bl w:val="nil"/>
            </w:tcBorders>
            <w:noWrap/>
            <w:vAlign w:val="center"/>
          </w:tcPr>
          <w:p w14:paraId="7CBF83ED"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2.40 [1.30, 5.70]</w:t>
            </w:r>
          </w:p>
        </w:tc>
        <w:tc>
          <w:tcPr>
            <w:tcW w:w="1002" w:type="dxa"/>
            <w:tcBorders>
              <w:tl2br w:val="nil"/>
              <w:tr2bl w:val="nil"/>
            </w:tcBorders>
            <w:noWrap/>
            <w:vAlign w:val="center"/>
          </w:tcPr>
          <w:p w14:paraId="5A35160E"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6AE7BEEC" w14:textId="77777777">
        <w:trPr>
          <w:trHeight w:val="280"/>
        </w:trPr>
        <w:tc>
          <w:tcPr>
            <w:tcW w:w="2112" w:type="dxa"/>
            <w:tcBorders>
              <w:tl2br w:val="nil"/>
              <w:tr2bl w:val="nil"/>
            </w:tcBorders>
            <w:noWrap/>
            <w:vAlign w:val="center"/>
          </w:tcPr>
          <w:p w14:paraId="16E3C0D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PaO₂ (mmHg)</w:t>
            </w:r>
          </w:p>
        </w:tc>
        <w:tc>
          <w:tcPr>
            <w:tcW w:w="2020" w:type="dxa"/>
            <w:tcBorders>
              <w:tl2br w:val="nil"/>
              <w:tr2bl w:val="nil"/>
            </w:tcBorders>
            <w:noWrap/>
            <w:vAlign w:val="center"/>
          </w:tcPr>
          <w:p w14:paraId="3A6A67CD"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84.80 [66.88, 118.00]</w:t>
            </w:r>
          </w:p>
        </w:tc>
        <w:tc>
          <w:tcPr>
            <w:tcW w:w="2021" w:type="dxa"/>
            <w:tcBorders>
              <w:tl2br w:val="nil"/>
              <w:tr2bl w:val="nil"/>
            </w:tcBorders>
            <w:noWrap/>
            <w:vAlign w:val="center"/>
          </w:tcPr>
          <w:p w14:paraId="1F1CFFF0"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86.00 [67.00, 120.00]</w:t>
            </w:r>
          </w:p>
        </w:tc>
        <w:tc>
          <w:tcPr>
            <w:tcW w:w="2021" w:type="dxa"/>
            <w:tcBorders>
              <w:tl2br w:val="nil"/>
              <w:tr2bl w:val="nil"/>
            </w:tcBorders>
            <w:noWrap/>
            <w:vAlign w:val="center"/>
          </w:tcPr>
          <w:p w14:paraId="36935335"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82.00 [66.00, 114.10]</w:t>
            </w:r>
          </w:p>
        </w:tc>
        <w:tc>
          <w:tcPr>
            <w:tcW w:w="1985" w:type="dxa"/>
            <w:tcBorders>
              <w:tl2br w:val="nil"/>
              <w:tr2bl w:val="nil"/>
            </w:tcBorders>
            <w:noWrap/>
            <w:vAlign w:val="center"/>
          </w:tcPr>
          <w:p w14:paraId="4CEBFAD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83.00 [67.00, 109.35]</w:t>
            </w:r>
          </w:p>
        </w:tc>
        <w:tc>
          <w:tcPr>
            <w:tcW w:w="1002" w:type="dxa"/>
            <w:tcBorders>
              <w:tl2br w:val="nil"/>
              <w:tr2bl w:val="nil"/>
            </w:tcBorders>
            <w:noWrap/>
            <w:vAlign w:val="center"/>
          </w:tcPr>
          <w:p w14:paraId="1403A54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51FA40AA" w14:textId="77777777">
        <w:trPr>
          <w:trHeight w:val="280"/>
        </w:trPr>
        <w:tc>
          <w:tcPr>
            <w:tcW w:w="2112" w:type="dxa"/>
            <w:tcBorders>
              <w:tl2br w:val="nil"/>
              <w:tr2bl w:val="nil"/>
            </w:tcBorders>
            <w:noWrap/>
            <w:vAlign w:val="center"/>
          </w:tcPr>
          <w:p w14:paraId="57945DCB"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PEEP (cmH₂O)</w:t>
            </w:r>
          </w:p>
        </w:tc>
        <w:tc>
          <w:tcPr>
            <w:tcW w:w="2020" w:type="dxa"/>
            <w:tcBorders>
              <w:tl2br w:val="nil"/>
              <w:tr2bl w:val="nil"/>
            </w:tcBorders>
            <w:noWrap/>
            <w:vAlign w:val="center"/>
          </w:tcPr>
          <w:p w14:paraId="71DF0A89"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5.00 [5.00, 7.14]</w:t>
            </w:r>
          </w:p>
        </w:tc>
        <w:tc>
          <w:tcPr>
            <w:tcW w:w="2021" w:type="dxa"/>
            <w:tcBorders>
              <w:tl2br w:val="nil"/>
              <w:tr2bl w:val="nil"/>
            </w:tcBorders>
            <w:noWrap/>
            <w:vAlign w:val="center"/>
          </w:tcPr>
          <w:p w14:paraId="14A42927"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5.00 [5.00, 6.67]</w:t>
            </w:r>
          </w:p>
        </w:tc>
        <w:tc>
          <w:tcPr>
            <w:tcW w:w="2021" w:type="dxa"/>
            <w:tcBorders>
              <w:tl2br w:val="nil"/>
              <w:tr2bl w:val="nil"/>
            </w:tcBorders>
            <w:noWrap/>
            <w:vAlign w:val="center"/>
          </w:tcPr>
          <w:p w14:paraId="78CB688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5.00 [5.00, 8.00]</w:t>
            </w:r>
          </w:p>
        </w:tc>
        <w:tc>
          <w:tcPr>
            <w:tcW w:w="1985" w:type="dxa"/>
            <w:tcBorders>
              <w:tl2br w:val="nil"/>
              <w:tr2bl w:val="nil"/>
            </w:tcBorders>
            <w:noWrap/>
            <w:vAlign w:val="center"/>
          </w:tcPr>
          <w:p w14:paraId="2E76C995"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5.00 [5.00, 8.00]</w:t>
            </w:r>
          </w:p>
        </w:tc>
        <w:tc>
          <w:tcPr>
            <w:tcW w:w="1002" w:type="dxa"/>
            <w:tcBorders>
              <w:tl2br w:val="nil"/>
              <w:tr2bl w:val="nil"/>
            </w:tcBorders>
            <w:noWrap/>
            <w:vAlign w:val="center"/>
          </w:tcPr>
          <w:p w14:paraId="1E20236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00095C73" w14:textId="77777777">
        <w:trPr>
          <w:trHeight w:val="280"/>
        </w:trPr>
        <w:tc>
          <w:tcPr>
            <w:tcW w:w="2112" w:type="dxa"/>
            <w:tcBorders>
              <w:tl2br w:val="nil"/>
              <w:tr2bl w:val="nil"/>
            </w:tcBorders>
            <w:noWrap/>
            <w:vAlign w:val="center"/>
          </w:tcPr>
          <w:p w14:paraId="088FA057"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FiO₂ (%)</w:t>
            </w:r>
          </w:p>
        </w:tc>
        <w:tc>
          <w:tcPr>
            <w:tcW w:w="2020" w:type="dxa"/>
            <w:tcBorders>
              <w:tl2br w:val="nil"/>
              <w:tr2bl w:val="nil"/>
            </w:tcBorders>
            <w:noWrap/>
            <w:vAlign w:val="center"/>
          </w:tcPr>
          <w:p w14:paraId="0906D04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50.00 [40.00, 61.43]</w:t>
            </w:r>
          </w:p>
        </w:tc>
        <w:tc>
          <w:tcPr>
            <w:tcW w:w="2021" w:type="dxa"/>
            <w:tcBorders>
              <w:tl2br w:val="nil"/>
              <w:tr2bl w:val="nil"/>
            </w:tcBorders>
            <w:noWrap/>
            <w:vAlign w:val="center"/>
          </w:tcPr>
          <w:p w14:paraId="6570B66A"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48.75 [40.00, 60.00]</w:t>
            </w:r>
          </w:p>
        </w:tc>
        <w:tc>
          <w:tcPr>
            <w:tcW w:w="2021" w:type="dxa"/>
            <w:tcBorders>
              <w:tl2br w:val="nil"/>
              <w:tr2bl w:val="nil"/>
            </w:tcBorders>
            <w:noWrap/>
            <w:vAlign w:val="center"/>
          </w:tcPr>
          <w:p w14:paraId="3012E80F"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50.32 [41.25, 65.89]</w:t>
            </w:r>
          </w:p>
        </w:tc>
        <w:tc>
          <w:tcPr>
            <w:tcW w:w="1985" w:type="dxa"/>
            <w:tcBorders>
              <w:tl2br w:val="nil"/>
              <w:tr2bl w:val="nil"/>
            </w:tcBorders>
            <w:noWrap/>
            <w:vAlign w:val="center"/>
          </w:tcPr>
          <w:p w14:paraId="605D625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51.10 [42.54, 66.67]</w:t>
            </w:r>
          </w:p>
        </w:tc>
        <w:tc>
          <w:tcPr>
            <w:tcW w:w="1002" w:type="dxa"/>
            <w:tcBorders>
              <w:tl2br w:val="nil"/>
              <w:tr2bl w:val="nil"/>
            </w:tcBorders>
            <w:noWrap/>
            <w:vAlign w:val="center"/>
          </w:tcPr>
          <w:p w14:paraId="799263BE"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0A4FFDDE" w14:textId="77777777">
        <w:trPr>
          <w:trHeight w:val="280"/>
        </w:trPr>
        <w:tc>
          <w:tcPr>
            <w:tcW w:w="2112" w:type="dxa"/>
            <w:tcBorders>
              <w:tl2br w:val="nil"/>
              <w:tr2bl w:val="nil"/>
            </w:tcBorders>
            <w:noWrap/>
            <w:vAlign w:val="center"/>
          </w:tcPr>
          <w:p w14:paraId="022C54F7"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Vasopressor use (%)</w:t>
            </w:r>
          </w:p>
        </w:tc>
        <w:tc>
          <w:tcPr>
            <w:tcW w:w="2020" w:type="dxa"/>
            <w:tcBorders>
              <w:tl2br w:val="nil"/>
              <w:tr2bl w:val="nil"/>
            </w:tcBorders>
            <w:noWrap/>
            <w:vAlign w:val="center"/>
          </w:tcPr>
          <w:p w14:paraId="79C4292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4116 (34.2)</w:t>
            </w:r>
          </w:p>
        </w:tc>
        <w:tc>
          <w:tcPr>
            <w:tcW w:w="2021" w:type="dxa"/>
            <w:tcBorders>
              <w:tl2br w:val="nil"/>
              <w:tr2bl w:val="nil"/>
            </w:tcBorders>
            <w:noWrap/>
            <w:vAlign w:val="center"/>
          </w:tcPr>
          <w:p w14:paraId="756B7EBF"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2690 (33.0)</w:t>
            </w:r>
          </w:p>
        </w:tc>
        <w:tc>
          <w:tcPr>
            <w:tcW w:w="2021" w:type="dxa"/>
            <w:tcBorders>
              <w:tl2br w:val="nil"/>
              <w:tr2bl w:val="nil"/>
            </w:tcBorders>
            <w:noWrap/>
            <w:vAlign w:val="center"/>
          </w:tcPr>
          <w:p w14:paraId="37EA5B66"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1119 (36.2)</w:t>
            </w:r>
          </w:p>
        </w:tc>
        <w:tc>
          <w:tcPr>
            <w:tcW w:w="1985" w:type="dxa"/>
            <w:tcBorders>
              <w:tl2br w:val="nil"/>
              <w:tr2bl w:val="nil"/>
            </w:tcBorders>
            <w:noWrap/>
            <w:vAlign w:val="center"/>
          </w:tcPr>
          <w:p w14:paraId="34C13531"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307 (38.1)</w:t>
            </w:r>
          </w:p>
        </w:tc>
        <w:tc>
          <w:tcPr>
            <w:tcW w:w="1002" w:type="dxa"/>
            <w:tcBorders>
              <w:tl2br w:val="nil"/>
              <w:tr2bl w:val="nil"/>
            </w:tcBorders>
            <w:noWrap/>
            <w:vAlign w:val="center"/>
          </w:tcPr>
          <w:p w14:paraId="73226A2C"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r w:rsidR="00D60873" w:rsidRPr="00E77A4C" w14:paraId="58868E90" w14:textId="77777777">
        <w:trPr>
          <w:trHeight w:val="280"/>
        </w:trPr>
        <w:tc>
          <w:tcPr>
            <w:tcW w:w="2112" w:type="dxa"/>
            <w:tcBorders>
              <w:tl2br w:val="nil"/>
              <w:tr2bl w:val="nil"/>
            </w:tcBorders>
            <w:noWrap/>
            <w:vAlign w:val="center"/>
          </w:tcPr>
          <w:p w14:paraId="39CAE612"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Hospital mortality (%)</w:t>
            </w:r>
          </w:p>
        </w:tc>
        <w:tc>
          <w:tcPr>
            <w:tcW w:w="2020" w:type="dxa"/>
            <w:tcBorders>
              <w:tl2br w:val="nil"/>
              <w:tr2bl w:val="nil"/>
            </w:tcBorders>
            <w:noWrap/>
            <w:vAlign w:val="center"/>
          </w:tcPr>
          <w:p w14:paraId="37E911C3"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2796 (23.2)</w:t>
            </w:r>
          </w:p>
        </w:tc>
        <w:tc>
          <w:tcPr>
            <w:tcW w:w="2021" w:type="dxa"/>
            <w:tcBorders>
              <w:tl2br w:val="nil"/>
              <w:tr2bl w:val="nil"/>
            </w:tcBorders>
            <w:noWrap/>
            <w:vAlign w:val="center"/>
          </w:tcPr>
          <w:p w14:paraId="035B3BC9"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1646 (20.2)</w:t>
            </w:r>
          </w:p>
        </w:tc>
        <w:tc>
          <w:tcPr>
            <w:tcW w:w="2021" w:type="dxa"/>
            <w:tcBorders>
              <w:tl2br w:val="nil"/>
              <w:tr2bl w:val="nil"/>
            </w:tcBorders>
            <w:noWrap/>
            <w:vAlign w:val="center"/>
          </w:tcPr>
          <w:p w14:paraId="5E114E9B"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842 (27.2)</w:t>
            </w:r>
          </w:p>
        </w:tc>
        <w:tc>
          <w:tcPr>
            <w:tcW w:w="1985" w:type="dxa"/>
            <w:tcBorders>
              <w:tl2br w:val="nil"/>
              <w:tr2bl w:val="nil"/>
            </w:tcBorders>
            <w:noWrap/>
            <w:vAlign w:val="center"/>
          </w:tcPr>
          <w:p w14:paraId="5901802D"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308 (38.3)</w:t>
            </w:r>
          </w:p>
        </w:tc>
        <w:tc>
          <w:tcPr>
            <w:tcW w:w="1002" w:type="dxa"/>
            <w:tcBorders>
              <w:tl2br w:val="nil"/>
              <w:tr2bl w:val="nil"/>
            </w:tcBorders>
            <w:noWrap/>
            <w:vAlign w:val="center"/>
          </w:tcPr>
          <w:p w14:paraId="299F1F75" w14:textId="77777777" w:rsidR="00D60873" w:rsidRPr="00E77A4C" w:rsidRDefault="00000000" w:rsidP="00470735">
            <w:pPr>
              <w:spacing w:line="360" w:lineRule="auto"/>
              <w:textAlignment w:val="center"/>
              <w:rPr>
                <w:rFonts w:ascii="Times New Roman" w:eastAsia="宋体" w:hAnsi="Times New Roman" w:cs="Times New Roman"/>
                <w:color w:val="000000"/>
                <w:sz w:val="24"/>
                <w:szCs w:val="24"/>
                <w:lang w:bidi="ar"/>
              </w:rPr>
            </w:pPr>
            <w:r w:rsidRPr="00E77A4C">
              <w:rPr>
                <w:rFonts w:ascii="Times New Roman" w:eastAsia="宋体" w:hAnsi="Times New Roman" w:cs="Times New Roman"/>
                <w:color w:val="000000"/>
                <w:sz w:val="24"/>
                <w:szCs w:val="24"/>
                <w:lang w:eastAsia="zh-CN" w:bidi="ar"/>
              </w:rPr>
              <w:t>&lt;0.001</w:t>
            </w:r>
          </w:p>
        </w:tc>
      </w:tr>
    </w:tbl>
    <w:p w14:paraId="65EAFE4A" w14:textId="77777777" w:rsidR="00E77A4C" w:rsidRPr="00E77A4C" w:rsidRDefault="00E77A4C" w:rsidP="00470735">
      <w:pPr>
        <w:spacing w:line="360" w:lineRule="auto"/>
        <w:rPr>
          <w:rFonts w:ascii="Times New Roman" w:eastAsia="宋体" w:hAnsi="Times New Roman" w:cs="Times New Roman"/>
          <w:sz w:val="24"/>
          <w:szCs w:val="24"/>
          <w:lang w:eastAsia="zh-CN"/>
        </w:rPr>
      </w:pPr>
    </w:p>
    <w:p w14:paraId="4C9DB473" w14:textId="77777777" w:rsidR="0005748D" w:rsidRDefault="0005748D" w:rsidP="00470735">
      <w:pPr>
        <w:spacing w:line="360" w:lineRule="auto"/>
        <w:rPr>
          <w:rFonts w:ascii="Times New Roman" w:eastAsia="宋体" w:hAnsi="Times New Roman" w:cs="Times New Roman"/>
          <w:sz w:val="24"/>
          <w:szCs w:val="24"/>
          <w:lang w:eastAsia="zh-CN"/>
        </w:rPr>
      </w:pPr>
      <w:r w:rsidRPr="0005748D">
        <w:rPr>
          <w:rFonts w:ascii="Times New Roman" w:hAnsi="Times New Roman" w:cs="Times New Roman"/>
          <w:sz w:val="24"/>
          <w:szCs w:val="24"/>
        </w:rPr>
        <w:t xml:space="preserve">Baseline variables include demographic characteristics, illness severity (APACHE IV), renal and hepatic biomarkers, acid–base parameters, oxygenation indices, ventilatory settings, vasopressor use, and hospital </w:t>
      </w:r>
      <w:r w:rsidRPr="0005748D">
        <w:rPr>
          <w:rFonts w:ascii="Times New Roman" w:hAnsi="Times New Roman" w:cs="Times New Roman"/>
          <w:sz w:val="24"/>
          <w:szCs w:val="24"/>
        </w:rPr>
        <w:lastRenderedPageBreak/>
        <w:t>mortality. All measurements were obtained near Time Zero (T₀), defined as initiation of respiratory support. Continuous variables are presented as median [IQR] or mean (SD), as appropriate; categorical variables are expressed as counts (%). P values represent comparisons across the Low, Normal, and Persistent High trajectory patterns.</w:t>
      </w:r>
    </w:p>
    <w:p w14:paraId="77CC2FC4" w14:textId="77777777" w:rsidR="009E4AA8" w:rsidRPr="009E4AA8" w:rsidRDefault="009E4AA8" w:rsidP="00470735">
      <w:pPr>
        <w:spacing w:line="360" w:lineRule="auto"/>
        <w:rPr>
          <w:rFonts w:ascii="Times New Roman" w:eastAsia="宋体" w:hAnsi="Times New Roman" w:cs="Times New Roman"/>
          <w:sz w:val="24"/>
          <w:szCs w:val="24"/>
          <w:lang w:eastAsia="zh-CN"/>
        </w:rPr>
      </w:pPr>
    </w:p>
    <w:p w14:paraId="3B7DAFD3" w14:textId="68C7C217" w:rsidR="00E77A4C" w:rsidRPr="0005748D" w:rsidRDefault="0005748D" w:rsidP="00470735">
      <w:pPr>
        <w:spacing w:line="360" w:lineRule="auto"/>
        <w:rPr>
          <w:rStyle w:val="afc"/>
          <w:rFonts w:ascii="Times New Roman" w:eastAsia="宋体" w:hAnsi="Times New Roman" w:cs="Times New Roman"/>
          <w:b w:val="0"/>
          <w:bCs w:val="0"/>
          <w:sz w:val="24"/>
          <w:szCs w:val="24"/>
          <w:lang w:eastAsia="zh-CN"/>
        </w:rPr>
      </w:pPr>
      <w:r w:rsidRPr="0005748D">
        <w:rPr>
          <w:rStyle w:val="afc"/>
          <w:rFonts w:ascii="Times New Roman" w:hAnsi="Times New Roman" w:cs="Times New Roman"/>
          <w:b w:val="0"/>
          <w:bCs w:val="0"/>
          <w:sz w:val="24"/>
          <w:szCs w:val="24"/>
        </w:rPr>
        <w:t>Abbreviations: APACHE IV, Acute Physiology and Chronic Health Evaluation IV; ARDS, acute respiratory distress syndrome; eICU-CRD, eICU Collaborative Research Database; FiO₂, fraction of inspired oxygen; PEEP, positive end-expiratory pressure; T₀, time zero (initiation of respiratory support).</w:t>
      </w:r>
    </w:p>
    <w:p w14:paraId="5AA3A374" w14:textId="77777777" w:rsidR="0005748D" w:rsidRPr="0005748D" w:rsidRDefault="0005748D" w:rsidP="00470735">
      <w:pPr>
        <w:spacing w:line="360" w:lineRule="auto"/>
        <w:rPr>
          <w:rStyle w:val="afc"/>
          <w:rFonts w:ascii="Times New Roman" w:eastAsia="宋体" w:hAnsi="Times New Roman" w:cs="Times New Roman"/>
          <w:sz w:val="24"/>
          <w:szCs w:val="24"/>
          <w:lang w:eastAsia="zh-CN"/>
        </w:rPr>
      </w:pPr>
    </w:p>
    <w:p w14:paraId="69118162" w14:textId="7FCA1414" w:rsidR="00470735" w:rsidRPr="00E77A4C" w:rsidRDefault="009E4AA8" w:rsidP="009E4AA8">
      <w:pPr>
        <w:spacing w:line="360" w:lineRule="auto"/>
        <w:jc w:val="center"/>
        <w:rPr>
          <w:rFonts w:ascii="Times New Roman" w:eastAsia="宋体" w:hAnsi="Times New Roman" w:cs="Times New Roman"/>
          <w:sz w:val="24"/>
          <w:szCs w:val="24"/>
          <w:lang w:eastAsia="zh-CN"/>
        </w:rPr>
      </w:pPr>
      <w:r w:rsidRPr="009E4AA8">
        <w:rPr>
          <w:rStyle w:val="afc"/>
          <w:rFonts w:ascii="Times New Roman" w:hAnsi="Times New Roman" w:cs="Times New Roman"/>
          <w:sz w:val="24"/>
          <w:szCs w:val="24"/>
        </w:rPr>
        <w:t>Table S3. Baseline characteristics in the propensity score–matched cohort comparing Persistent High and Normal phosphate trajectory patterns (MIMIC-IV)</w:t>
      </w:r>
    </w:p>
    <w:tbl>
      <w:tblPr>
        <w:tblW w:w="0" w:type="auto"/>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2661"/>
        <w:gridCol w:w="2129"/>
        <w:gridCol w:w="2663"/>
        <w:gridCol w:w="1813"/>
        <w:gridCol w:w="1444"/>
      </w:tblGrid>
      <w:tr w:rsidR="00D60873" w:rsidRPr="00E77A4C" w14:paraId="2597E7DD" w14:textId="77777777">
        <w:trPr>
          <w:trHeight w:val="1281"/>
          <w:tblHeader/>
        </w:trPr>
        <w:tc>
          <w:tcPr>
            <w:tcW w:w="2661" w:type="dxa"/>
            <w:tcBorders>
              <w:top w:val="single" w:sz="12" w:space="0" w:color="000000"/>
              <w:bottom w:val="single" w:sz="4" w:space="0" w:color="000000"/>
              <w:tl2br w:val="nil"/>
            </w:tcBorders>
            <w:shd w:val="clear" w:color="auto" w:fill="FFFFFF"/>
            <w:vAlign w:val="center"/>
          </w:tcPr>
          <w:p w14:paraId="15647EE3"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Variable</w:t>
            </w:r>
          </w:p>
        </w:tc>
        <w:tc>
          <w:tcPr>
            <w:tcW w:w="2129" w:type="dxa"/>
            <w:tcBorders>
              <w:top w:val="single" w:sz="12" w:space="0" w:color="000000"/>
              <w:bottom w:val="single" w:sz="4" w:space="0" w:color="000000"/>
            </w:tcBorders>
            <w:shd w:val="clear" w:color="auto" w:fill="FFFFFF"/>
            <w:vAlign w:val="center"/>
          </w:tcPr>
          <w:p w14:paraId="4B648D13"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 xml:space="preserve">Normal </w:t>
            </w:r>
            <w:r w:rsidRPr="00E77A4C">
              <w:rPr>
                <w:rFonts w:ascii="Times New Roman" w:hAnsi="Times New Roman" w:cs="Times New Roman"/>
                <w:b/>
                <w:color w:val="000000"/>
                <w:sz w:val="24"/>
                <w:szCs w:val="24"/>
              </w:rPr>
              <w:br/>
            </w:r>
            <w:r w:rsidRPr="00E77A4C">
              <w:rPr>
                <w:rFonts w:ascii="Times New Roman" w:eastAsia="宋体" w:hAnsi="Times New Roman" w:cs="Times New Roman"/>
                <w:b/>
                <w:color w:val="000000"/>
                <w:sz w:val="24"/>
                <w:szCs w:val="24"/>
                <w:lang w:eastAsia="zh-CN"/>
              </w:rPr>
              <w:t xml:space="preserve"> (n = 248)</w:t>
            </w:r>
          </w:p>
        </w:tc>
        <w:tc>
          <w:tcPr>
            <w:tcW w:w="2663" w:type="dxa"/>
            <w:tcBorders>
              <w:top w:val="single" w:sz="12" w:space="0" w:color="000000"/>
              <w:bottom w:val="single" w:sz="4" w:space="0" w:color="000000"/>
            </w:tcBorders>
            <w:shd w:val="clear" w:color="auto" w:fill="FFFFFF"/>
            <w:vAlign w:val="center"/>
          </w:tcPr>
          <w:p w14:paraId="6B84FE19"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 xml:space="preserve">Persistent-High </w:t>
            </w:r>
            <w:r w:rsidRPr="00E77A4C">
              <w:rPr>
                <w:rFonts w:ascii="Times New Roman" w:hAnsi="Times New Roman" w:cs="Times New Roman"/>
                <w:b/>
                <w:color w:val="000000"/>
                <w:sz w:val="24"/>
                <w:szCs w:val="24"/>
              </w:rPr>
              <w:br/>
            </w:r>
            <w:r w:rsidRPr="00E77A4C">
              <w:rPr>
                <w:rFonts w:ascii="Times New Roman" w:eastAsia="宋体" w:hAnsi="Times New Roman" w:cs="Times New Roman"/>
                <w:b/>
                <w:color w:val="000000"/>
                <w:sz w:val="24"/>
                <w:szCs w:val="24"/>
                <w:lang w:eastAsia="zh-CN"/>
              </w:rPr>
              <w:t xml:space="preserve"> (n = 248)</w:t>
            </w:r>
          </w:p>
        </w:tc>
        <w:tc>
          <w:tcPr>
            <w:tcW w:w="1813" w:type="dxa"/>
            <w:tcBorders>
              <w:top w:val="single" w:sz="12" w:space="0" w:color="000000"/>
              <w:bottom w:val="single" w:sz="4" w:space="0" w:color="000000"/>
            </w:tcBorders>
            <w:shd w:val="clear" w:color="auto" w:fill="FFFFFF"/>
            <w:vAlign w:val="center"/>
          </w:tcPr>
          <w:p w14:paraId="6814EA02"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 xml:space="preserve">P </w:t>
            </w:r>
          </w:p>
        </w:tc>
        <w:tc>
          <w:tcPr>
            <w:tcW w:w="1444" w:type="dxa"/>
            <w:tcBorders>
              <w:top w:val="single" w:sz="12" w:space="0" w:color="000000"/>
              <w:bottom w:val="single" w:sz="4" w:space="0" w:color="000000"/>
            </w:tcBorders>
            <w:shd w:val="clear" w:color="auto" w:fill="FFFFFF"/>
            <w:vAlign w:val="center"/>
          </w:tcPr>
          <w:p w14:paraId="05624258"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Standardized Mean Difference</w:t>
            </w:r>
          </w:p>
        </w:tc>
      </w:tr>
      <w:tr w:rsidR="00D60873" w:rsidRPr="00E77A4C" w14:paraId="74129DD8" w14:textId="77777777">
        <w:tc>
          <w:tcPr>
            <w:tcW w:w="2661" w:type="dxa"/>
            <w:tcBorders>
              <w:top w:val="single" w:sz="4" w:space="0" w:color="000000"/>
              <w:tl2br w:val="nil"/>
              <w:tr2bl w:val="nil"/>
            </w:tcBorders>
            <w:shd w:val="clear" w:color="auto" w:fill="FFFFFF"/>
            <w:vAlign w:val="center"/>
          </w:tcPr>
          <w:p w14:paraId="4FA6BE1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Age (years)</w:t>
            </w:r>
          </w:p>
        </w:tc>
        <w:tc>
          <w:tcPr>
            <w:tcW w:w="2129" w:type="dxa"/>
            <w:tcBorders>
              <w:top w:val="single" w:sz="4" w:space="0" w:color="000000"/>
              <w:tl2br w:val="nil"/>
              <w:tr2bl w:val="nil"/>
            </w:tcBorders>
            <w:shd w:val="clear" w:color="auto" w:fill="FFFFFF"/>
            <w:vAlign w:val="center"/>
          </w:tcPr>
          <w:p w14:paraId="4AD8142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64.67 (13.92)</w:t>
            </w:r>
          </w:p>
        </w:tc>
        <w:tc>
          <w:tcPr>
            <w:tcW w:w="2663" w:type="dxa"/>
            <w:tcBorders>
              <w:top w:val="single" w:sz="4" w:space="0" w:color="000000"/>
              <w:tl2br w:val="nil"/>
              <w:tr2bl w:val="nil"/>
            </w:tcBorders>
            <w:shd w:val="clear" w:color="auto" w:fill="FFFFFF"/>
            <w:vAlign w:val="center"/>
          </w:tcPr>
          <w:p w14:paraId="5E8B2B02"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65.27 (13.95)</w:t>
            </w:r>
          </w:p>
        </w:tc>
        <w:tc>
          <w:tcPr>
            <w:tcW w:w="1813" w:type="dxa"/>
            <w:tcBorders>
              <w:top w:val="single" w:sz="4" w:space="0" w:color="000000"/>
              <w:tl2br w:val="nil"/>
              <w:tr2bl w:val="nil"/>
            </w:tcBorders>
            <w:shd w:val="clear" w:color="auto" w:fill="FFFFFF"/>
            <w:vAlign w:val="center"/>
          </w:tcPr>
          <w:p w14:paraId="1BFDE710"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0.634</w:t>
            </w:r>
          </w:p>
        </w:tc>
        <w:tc>
          <w:tcPr>
            <w:tcW w:w="1444" w:type="dxa"/>
            <w:tcBorders>
              <w:top w:val="single" w:sz="4" w:space="0" w:color="000000"/>
              <w:tl2br w:val="nil"/>
              <w:tr2bl w:val="nil"/>
            </w:tcBorders>
            <w:shd w:val="clear" w:color="auto" w:fill="FFFFFF"/>
            <w:vAlign w:val="center"/>
          </w:tcPr>
          <w:p w14:paraId="76960389"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0.043</w:t>
            </w:r>
          </w:p>
        </w:tc>
      </w:tr>
      <w:tr w:rsidR="00D60873" w:rsidRPr="00E77A4C" w14:paraId="7695739C" w14:textId="77777777">
        <w:tc>
          <w:tcPr>
            <w:tcW w:w="2661" w:type="dxa"/>
            <w:tcBorders>
              <w:tl2br w:val="nil"/>
              <w:tr2bl w:val="nil"/>
            </w:tcBorders>
            <w:shd w:val="clear" w:color="auto" w:fill="FFFFFF"/>
            <w:vAlign w:val="center"/>
          </w:tcPr>
          <w:p w14:paraId="093E6A13"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Male (%)</w:t>
            </w:r>
          </w:p>
        </w:tc>
        <w:tc>
          <w:tcPr>
            <w:tcW w:w="2129" w:type="dxa"/>
            <w:tcBorders>
              <w:tl2br w:val="nil"/>
              <w:tr2bl w:val="nil"/>
            </w:tcBorders>
            <w:shd w:val="clear" w:color="auto" w:fill="FFFFFF"/>
            <w:vAlign w:val="center"/>
          </w:tcPr>
          <w:p w14:paraId="3A77FF18"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183 (73.8)</w:t>
            </w:r>
          </w:p>
        </w:tc>
        <w:tc>
          <w:tcPr>
            <w:tcW w:w="2663" w:type="dxa"/>
            <w:tcBorders>
              <w:tl2br w:val="nil"/>
              <w:tr2bl w:val="nil"/>
            </w:tcBorders>
            <w:shd w:val="clear" w:color="auto" w:fill="FFFFFF"/>
            <w:vAlign w:val="center"/>
          </w:tcPr>
          <w:p w14:paraId="28820B4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180 (72.6)</w:t>
            </w:r>
          </w:p>
        </w:tc>
        <w:tc>
          <w:tcPr>
            <w:tcW w:w="1813" w:type="dxa"/>
            <w:tcBorders>
              <w:tl2br w:val="nil"/>
              <w:tr2bl w:val="nil"/>
            </w:tcBorders>
            <w:shd w:val="clear" w:color="auto" w:fill="FFFFFF"/>
            <w:vAlign w:val="center"/>
          </w:tcPr>
          <w:p w14:paraId="1FF81257"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0.839</w:t>
            </w:r>
          </w:p>
        </w:tc>
        <w:tc>
          <w:tcPr>
            <w:tcW w:w="1444" w:type="dxa"/>
            <w:tcBorders>
              <w:tl2br w:val="nil"/>
              <w:tr2bl w:val="nil"/>
            </w:tcBorders>
            <w:shd w:val="clear" w:color="auto" w:fill="FFFFFF"/>
            <w:vAlign w:val="center"/>
          </w:tcPr>
          <w:p w14:paraId="0AE46222"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0.027</w:t>
            </w:r>
          </w:p>
        </w:tc>
      </w:tr>
      <w:tr w:rsidR="00D60873" w:rsidRPr="00E77A4C" w14:paraId="7E76051A" w14:textId="77777777">
        <w:tc>
          <w:tcPr>
            <w:tcW w:w="2661" w:type="dxa"/>
            <w:tcBorders>
              <w:tl2br w:val="nil"/>
              <w:tr2bl w:val="nil"/>
            </w:tcBorders>
            <w:shd w:val="clear" w:color="auto" w:fill="FFFFFF"/>
            <w:vAlign w:val="center"/>
          </w:tcPr>
          <w:p w14:paraId="5E812FE4"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SOFA score</w:t>
            </w:r>
          </w:p>
        </w:tc>
        <w:tc>
          <w:tcPr>
            <w:tcW w:w="2129" w:type="dxa"/>
            <w:tcBorders>
              <w:tl2br w:val="nil"/>
              <w:tr2bl w:val="nil"/>
            </w:tcBorders>
            <w:shd w:val="clear" w:color="auto" w:fill="FFFFFF"/>
            <w:vAlign w:val="center"/>
          </w:tcPr>
          <w:p w14:paraId="1D17205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3 [1, 6]</w:t>
            </w:r>
          </w:p>
        </w:tc>
        <w:tc>
          <w:tcPr>
            <w:tcW w:w="2663" w:type="dxa"/>
            <w:tcBorders>
              <w:tl2br w:val="nil"/>
              <w:tr2bl w:val="nil"/>
            </w:tcBorders>
            <w:shd w:val="clear" w:color="auto" w:fill="FFFFFF"/>
            <w:vAlign w:val="center"/>
          </w:tcPr>
          <w:p w14:paraId="1B413DC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3 [1, 6]</w:t>
            </w:r>
          </w:p>
        </w:tc>
        <w:tc>
          <w:tcPr>
            <w:tcW w:w="1813" w:type="dxa"/>
            <w:tcBorders>
              <w:tl2br w:val="nil"/>
              <w:tr2bl w:val="nil"/>
            </w:tcBorders>
            <w:shd w:val="clear" w:color="auto" w:fill="FFFFFF"/>
            <w:vAlign w:val="center"/>
          </w:tcPr>
          <w:p w14:paraId="30EC5C74"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0.537</w:t>
            </w:r>
          </w:p>
        </w:tc>
        <w:tc>
          <w:tcPr>
            <w:tcW w:w="1444" w:type="dxa"/>
            <w:tcBorders>
              <w:tl2br w:val="nil"/>
              <w:tr2bl w:val="nil"/>
            </w:tcBorders>
            <w:shd w:val="clear" w:color="auto" w:fill="FFFFFF"/>
            <w:vAlign w:val="center"/>
          </w:tcPr>
          <w:p w14:paraId="76A3A175"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0.015</w:t>
            </w:r>
          </w:p>
        </w:tc>
      </w:tr>
      <w:tr w:rsidR="00D60873" w:rsidRPr="00E77A4C" w14:paraId="1366BFF7" w14:textId="77777777">
        <w:tc>
          <w:tcPr>
            <w:tcW w:w="2661" w:type="dxa"/>
            <w:tcBorders>
              <w:tl2br w:val="nil"/>
              <w:tr2bl w:val="nil"/>
            </w:tcBorders>
            <w:shd w:val="clear" w:color="auto" w:fill="FFFFFF"/>
            <w:vAlign w:val="center"/>
          </w:tcPr>
          <w:p w14:paraId="10AEC38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Charlson Comorbidity Index</w:t>
            </w:r>
          </w:p>
        </w:tc>
        <w:tc>
          <w:tcPr>
            <w:tcW w:w="2129" w:type="dxa"/>
            <w:tcBorders>
              <w:tl2br w:val="nil"/>
              <w:tr2bl w:val="nil"/>
            </w:tcBorders>
            <w:shd w:val="clear" w:color="auto" w:fill="FFFFFF"/>
            <w:vAlign w:val="center"/>
          </w:tcPr>
          <w:p w14:paraId="1B9039C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 [4, 8]</w:t>
            </w:r>
          </w:p>
        </w:tc>
        <w:tc>
          <w:tcPr>
            <w:tcW w:w="2663" w:type="dxa"/>
            <w:tcBorders>
              <w:tl2br w:val="nil"/>
              <w:tr2bl w:val="nil"/>
            </w:tcBorders>
            <w:shd w:val="clear" w:color="auto" w:fill="FFFFFF"/>
            <w:vAlign w:val="center"/>
          </w:tcPr>
          <w:p w14:paraId="07068847"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 [4, 8]</w:t>
            </w:r>
          </w:p>
        </w:tc>
        <w:tc>
          <w:tcPr>
            <w:tcW w:w="1813" w:type="dxa"/>
            <w:tcBorders>
              <w:tl2br w:val="nil"/>
              <w:tr2bl w:val="nil"/>
            </w:tcBorders>
            <w:shd w:val="clear" w:color="auto" w:fill="FFFFFF"/>
            <w:vAlign w:val="center"/>
          </w:tcPr>
          <w:p w14:paraId="20A6C99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0.790</w:t>
            </w:r>
          </w:p>
        </w:tc>
        <w:tc>
          <w:tcPr>
            <w:tcW w:w="1444" w:type="dxa"/>
            <w:tcBorders>
              <w:tl2br w:val="nil"/>
              <w:tr2bl w:val="nil"/>
            </w:tcBorders>
            <w:shd w:val="clear" w:color="auto" w:fill="FFFFFF"/>
            <w:vAlign w:val="center"/>
          </w:tcPr>
          <w:p w14:paraId="399139E4"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0.004</w:t>
            </w:r>
          </w:p>
        </w:tc>
      </w:tr>
      <w:tr w:rsidR="00D60873" w:rsidRPr="00E77A4C" w14:paraId="245C26EC" w14:textId="77777777">
        <w:tc>
          <w:tcPr>
            <w:tcW w:w="2661" w:type="dxa"/>
            <w:tcBorders>
              <w:tl2br w:val="nil"/>
              <w:tr2bl w:val="nil"/>
            </w:tcBorders>
            <w:shd w:val="clear" w:color="auto" w:fill="FFFFFF"/>
            <w:vAlign w:val="center"/>
          </w:tcPr>
          <w:p w14:paraId="67DF1BED"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Creatinine (mg/dL)</w:t>
            </w:r>
          </w:p>
        </w:tc>
        <w:tc>
          <w:tcPr>
            <w:tcW w:w="2129" w:type="dxa"/>
            <w:tcBorders>
              <w:tl2br w:val="nil"/>
              <w:tr2bl w:val="nil"/>
            </w:tcBorders>
            <w:shd w:val="clear" w:color="auto" w:fill="FFFFFF"/>
            <w:vAlign w:val="center"/>
          </w:tcPr>
          <w:p w14:paraId="753F51F3"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1.60 [1.00, 2.60]</w:t>
            </w:r>
          </w:p>
        </w:tc>
        <w:tc>
          <w:tcPr>
            <w:tcW w:w="2663" w:type="dxa"/>
            <w:tcBorders>
              <w:tl2br w:val="nil"/>
              <w:tr2bl w:val="nil"/>
            </w:tcBorders>
            <w:shd w:val="clear" w:color="auto" w:fill="FFFFFF"/>
            <w:vAlign w:val="center"/>
          </w:tcPr>
          <w:p w14:paraId="1937C4F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1.60 [1.00, 2.60]</w:t>
            </w:r>
          </w:p>
        </w:tc>
        <w:tc>
          <w:tcPr>
            <w:tcW w:w="1813" w:type="dxa"/>
            <w:tcBorders>
              <w:tl2br w:val="nil"/>
              <w:tr2bl w:val="nil"/>
            </w:tcBorders>
            <w:shd w:val="clear" w:color="auto" w:fill="FFFFFF"/>
            <w:vAlign w:val="center"/>
          </w:tcPr>
          <w:p w14:paraId="0B8C5B4D"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0.529</w:t>
            </w:r>
          </w:p>
        </w:tc>
        <w:tc>
          <w:tcPr>
            <w:tcW w:w="1444" w:type="dxa"/>
            <w:tcBorders>
              <w:tl2br w:val="nil"/>
              <w:tr2bl w:val="nil"/>
            </w:tcBorders>
            <w:shd w:val="clear" w:color="auto" w:fill="FFFFFF"/>
            <w:vAlign w:val="center"/>
          </w:tcPr>
          <w:p w14:paraId="22976075"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0.076</w:t>
            </w:r>
          </w:p>
        </w:tc>
      </w:tr>
      <w:tr w:rsidR="00D60873" w:rsidRPr="00E77A4C" w14:paraId="52169A83" w14:textId="77777777">
        <w:tc>
          <w:tcPr>
            <w:tcW w:w="2661" w:type="dxa"/>
            <w:tcBorders>
              <w:tl2br w:val="nil"/>
              <w:tr2bl w:val="nil"/>
            </w:tcBorders>
            <w:shd w:val="clear" w:color="auto" w:fill="FFFFFF"/>
            <w:vAlign w:val="center"/>
          </w:tcPr>
          <w:p w14:paraId="7E4DEAF8"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Total calcium (mg/dL)</w:t>
            </w:r>
          </w:p>
        </w:tc>
        <w:tc>
          <w:tcPr>
            <w:tcW w:w="2129" w:type="dxa"/>
            <w:tcBorders>
              <w:tl2br w:val="nil"/>
              <w:tr2bl w:val="nil"/>
            </w:tcBorders>
            <w:shd w:val="clear" w:color="auto" w:fill="FFFFFF"/>
            <w:vAlign w:val="center"/>
          </w:tcPr>
          <w:p w14:paraId="0E3C37FD"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8.64 (1.10)</w:t>
            </w:r>
          </w:p>
        </w:tc>
        <w:tc>
          <w:tcPr>
            <w:tcW w:w="2663" w:type="dxa"/>
            <w:tcBorders>
              <w:tl2br w:val="nil"/>
              <w:tr2bl w:val="nil"/>
            </w:tcBorders>
            <w:shd w:val="clear" w:color="auto" w:fill="FFFFFF"/>
            <w:vAlign w:val="center"/>
          </w:tcPr>
          <w:p w14:paraId="373C9D2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8.64 (1.10)</w:t>
            </w:r>
          </w:p>
        </w:tc>
        <w:tc>
          <w:tcPr>
            <w:tcW w:w="1813" w:type="dxa"/>
            <w:tcBorders>
              <w:tl2br w:val="nil"/>
              <w:tr2bl w:val="nil"/>
            </w:tcBorders>
            <w:shd w:val="clear" w:color="auto" w:fill="FFFFFF"/>
            <w:vAlign w:val="center"/>
          </w:tcPr>
          <w:p w14:paraId="2B66D75D"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0.949</w:t>
            </w:r>
          </w:p>
        </w:tc>
        <w:tc>
          <w:tcPr>
            <w:tcW w:w="1444" w:type="dxa"/>
            <w:tcBorders>
              <w:tl2br w:val="nil"/>
              <w:tr2bl w:val="nil"/>
            </w:tcBorders>
            <w:shd w:val="clear" w:color="auto" w:fill="FFFFFF"/>
            <w:vAlign w:val="center"/>
          </w:tcPr>
          <w:p w14:paraId="2360C29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0.006</w:t>
            </w:r>
          </w:p>
        </w:tc>
      </w:tr>
      <w:tr w:rsidR="00D60873" w:rsidRPr="00E77A4C" w14:paraId="79A3A370" w14:textId="77777777">
        <w:tc>
          <w:tcPr>
            <w:tcW w:w="2661" w:type="dxa"/>
            <w:tcBorders>
              <w:tl2br w:val="nil"/>
              <w:tr2bl w:val="nil"/>
            </w:tcBorders>
            <w:shd w:val="clear" w:color="auto" w:fill="FFFFFF"/>
            <w:vAlign w:val="center"/>
          </w:tcPr>
          <w:p w14:paraId="48326423"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 xml:space="preserve">pH </w:t>
            </w:r>
          </w:p>
        </w:tc>
        <w:tc>
          <w:tcPr>
            <w:tcW w:w="2129" w:type="dxa"/>
            <w:tcBorders>
              <w:tl2br w:val="nil"/>
              <w:tr2bl w:val="nil"/>
            </w:tcBorders>
            <w:shd w:val="clear" w:color="auto" w:fill="FFFFFF"/>
            <w:vAlign w:val="center"/>
          </w:tcPr>
          <w:p w14:paraId="503876A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7.31 (0.10)</w:t>
            </w:r>
          </w:p>
        </w:tc>
        <w:tc>
          <w:tcPr>
            <w:tcW w:w="2663" w:type="dxa"/>
            <w:tcBorders>
              <w:tl2br w:val="nil"/>
              <w:tr2bl w:val="nil"/>
            </w:tcBorders>
            <w:shd w:val="clear" w:color="auto" w:fill="FFFFFF"/>
            <w:vAlign w:val="center"/>
          </w:tcPr>
          <w:p w14:paraId="212D63CD"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7.31 (0.10)</w:t>
            </w:r>
          </w:p>
        </w:tc>
        <w:tc>
          <w:tcPr>
            <w:tcW w:w="1813" w:type="dxa"/>
            <w:tcBorders>
              <w:tl2br w:val="nil"/>
              <w:tr2bl w:val="nil"/>
            </w:tcBorders>
            <w:shd w:val="clear" w:color="auto" w:fill="FFFFFF"/>
            <w:vAlign w:val="center"/>
          </w:tcPr>
          <w:p w14:paraId="655A759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0.785</w:t>
            </w:r>
          </w:p>
        </w:tc>
        <w:tc>
          <w:tcPr>
            <w:tcW w:w="1444" w:type="dxa"/>
            <w:tcBorders>
              <w:tl2br w:val="nil"/>
              <w:tr2bl w:val="nil"/>
            </w:tcBorders>
            <w:shd w:val="clear" w:color="auto" w:fill="FFFFFF"/>
            <w:vAlign w:val="center"/>
          </w:tcPr>
          <w:p w14:paraId="5A5E95B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0.025</w:t>
            </w:r>
          </w:p>
        </w:tc>
      </w:tr>
      <w:tr w:rsidR="00D60873" w:rsidRPr="00E77A4C" w14:paraId="7BDA4225" w14:textId="77777777">
        <w:tc>
          <w:tcPr>
            <w:tcW w:w="2661" w:type="dxa"/>
            <w:tcBorders>
              <w:tl2br w:val="nil"/>
              <w:tr2bl w:val="nil"/>
            </w:tcBorders>
            <w:shd w:val="clear" w:color="auto" w:fill="FFFFFF"/>
            <w:vAlign w:val="center"/>
          </w:tcPr>
          <w:p w14:paraId="15C204D7"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Lactate (mmol/L)</w:t>
            </w:r>
          </w:p>
        </w:tc>
        <w:tc>
          <w:tcPr>
            <w:tcW w:w="2129" w:type="dxa"/>
            <w:tcBorders>
              <w:tl2br w:val="nil"/>
              <w:tr2bl w:val="nil"/>
            </w:tcBorders>
            <w:shd w:val="clear" w:color="auto" w:fill="FFFFFF"/>
            <w:vAlign w:val="center"/>
          </w:tcPr>
          <w:p w14:paraId="4F40570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2.05 [1.50, 3.32]</w:t>
            </w:r>
          </w:p>
        </w:tc>
        <w:tc>
          <w:tcPr>
            <w:tcW w:w="2663" w:type="dxa"/>
            <w:tcBorders>
              <w:tl2br w:val="nil"/>
              <w:tr2bl w:val="nil"/>
            </w:tcBorders>
            <w:shd w:val="clear" w:color="auto" w:fill="FFFFFF"/>
            <w:vAlign w:val="center"/>
          </w:tcPr>
          <w:p w14:paraId="7257F78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2.05 [1.50, 3.32]</w:t>
            </w:r>
          </w:p>
        </w:tc>
        <w:tc>
          <w:tcPr>
            <w:tcW w:w="1813" w:type="dxa"/>
            <w:tcBorders>
              <w:tl2br w:val="nil"/>
              <w:tr2bl w:val="nil"/>
            </w:tcBorders>
            <w:shd w:val="clear" w:color="auto" w:fill="FFFFFF"/>
            <w:vAlign w:val="center"/>
          </w:tcPr>
          <w:p w14:paraId="33C07254"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0.757</w:t>
            </w:r>
          </w:p>
        </w:tc>
        <w:tc>
          <w:tcPr>
            <w:tcW w:w="1444" w:type="dxa"/>
            <w:tcBorders>
              <w:tl2br w:val="nil"/>
              <w:tr2bl w:val="nil"/>
            </w:tcBorders>
            <w:shd w:val="clear" w:color="auto" w:fill="FFFFFF"/>
            <w:vAlign w:val="center"/>
          </w:tcPr>
          <w:p w14:paraId="78EECA77"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0.090</w:t>
            </w:r>
          </w:p>
        </w:tc>
      </w:tr>
      <w:tr w:rsidR="00D60873" w:rsidRPr="00E77A4C" w14:paraId="2D28A58F" w14:textId="77777777">
        <w:tc>
          <w:tcPr>
            <w:tcW w:w="2661" w:type="dxa"/>
            <w:tcBorders>
              <w:bottom w:val="single" w:sz="12" w:space="0" w:color="000000"/>
              <w:tl2br w:val="nil"/>
              <w:tr2bl w:val="nil"/>
            </w:tcBorders>
            <w:shd w:val="clear" w:color="auto" w:fill="FFFFFF"/>
            <w:vAlign w:val="center"/>
          </w:tcPr>
          <w:p w14:paraId="7F287CA6"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PaO₂/FiO₂ ratio (mmHg)</w:t>
            </w:r>
          </w:p>
        </w:tc>
        <w:tc>
          <w:tcPr>
            <w:tcW w:w="2129" w:type="dxa"/>
            <w:tcBorders>
              <w:bottom w:val="single" w:sz="12" w:space="0" w:color="000000"/>
              <w:tl2br w:val="nil"/>
              <w:tr2bl w:val="nil"/>
            </w:tcBorders>
            <w:shd w:val="clear" w:color="auto" w:fill="FFFFFF"/>
            <w:vAlign w:val="center"/>
          </w:tcPr>
          <w:p w14:paraId="4F42EC35"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148.5 [90.0, 186.1]</w:t>
            </w:r>
          </w:p>
        </w:tc>
        <w:tc>
          <w:tcPr>
            <w:tcW w:w="2663" w:type="dxa"/>
            <w:tcBorders>
              <w:bottom w:val="single" w:sz="12" w:space="0" w:color="000000"/>
              <w:tl2br w:val="nil"/>
              <w:tr2bl w:val="nil"/>
            </w:tcBorders>
            <w:shd w:val="clear" w:color="auto" w:fill="FFFFFF"/>
            <w:vAlign w:val="center"/>
          </w:tcPr>
          <w:p w14:paraId="556C897D"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148.5 [90.0, 186.1]</w:t>
            </w:r>
          </w:p>
        </w:tc>
        <w:tc>
          <w:tcPr>
            <w:tcW w:w="1813" w:type="dxa"/>
            <w:tcBorders>
              <w:bottom w:val="single" w:sz="12" w:space="0" w:color="000000"/>
              <w:tl2br w:val="nil"/>
              <w:tr2bl w:val="nil"/>
            </w:tcBorders>
            <w:shd w:val="clear" w:color="auto" w:fill="FFFFFF"/>
            <w:vAlign w:val="center"/>
          </w:tcPr>
          <w:p w14:paraId="3FE3714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0.551</w:t>
            </w:r>
          </w:p>
        </w:tc>
        <w:tc>
          <w:tcPr>
            <w:tcW w:w="1444" w:type="dxa"/>
            <w:tcBorders>
              <w:bottom w:val="single" w:sz="12" w:space="0" w:color="000000"/>
              <w:tl2br w:val="nil"/>
              <w:tr2bl w:val="nil"/>
            </w:tcBorders>
            <w:shd w:val="clear" w:color="auto" w:fill="FFFFFF"/>
            <w:vAlign w:val="center"/>
          </w:tcPr>
          <w:p w14:paraId="137C9339"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0.008</w:t>
            </w:r>
          </w:p>
        </w:tc>
      </w:tr>
    </w:tbl>
    <w:p w14:paraId="0B642D1A" w14:textId="77777777" w:rsidR="00D60873" w:rsidRPr="00E77A4C" w:rsidRDefault="00D60873" w:rsidP="00470735">
      <w:pPr>
        <w:spacing w:line="360" w:lineRule="auto"/>
        <w:rPr>
          <w:rStyle w:val="afc"/>
          <w:rFonts w:ascii="Times New Roman" w:eastAsia="宋体" w:hAnsi="Times New Roman" w:cs="Times New Roman"/>
          <w:sz w:val="24"/>
          <w:szCs w:val="24"/>
          <w:lang w:eastAsia="zh-CN"/>
        </w:rPr>
      </w:pPr>
    </w:p>
    <w:p w14:paraId="48BBD96A" w14:textId="77777777" w:rsidR="009E4AA8" w:rsidRDefault="009E4AA8" w:rsidP="00470735">
      <w:pPr>
        <w:spacing w:line="360" w:lineRule="auto"/>
        <w:rPr>
          <w:rFonts w:ascii="Times New Roman" w:eastAsia="宋体" w:hAnsi="Times New Roman" w:cs="Times New Roman"/>
          <w:sz w:val="24"/>
          <w:szCs w:val="24"/>
          <w:lang w:eastAsia="zh-CN"/>
        </w:rPr>
      </w:pPr>
      <w:r w:rsidRPr="009E4AA8">
        <w:rPr>
          <w:rFonts w:ascii="Times New Roman" w:hAnsi="Times New Roman" w:cs="Times New Roman"/>
          <w:sz w:val="24"/>
          <w:szCs w:val="24"/>
        </w:rPr>
        <w:lastRenderedPageBreak/>
        <w:t>Propensity score matching was performed using 1:1 nearest-neighbor matching with a caliper width of 0.2 standard deviations, without replacement. The propensity score model included age, sex, SOFA score, Charlson Comorbidity Index, baseline creatinine, total calcium, pH, lactate, and PaO₂/FiO₂ ratio. Continuous variables are presented as median [IQR] or mean (SD), and categorical variables as n (%). Adequate covariate balance was defined as a standardized mean difference (SMD) &lt; 0.1.</w:t>
      </w:r>
    </w:p>
    <w:p w14:paraId="3A457659" w14:textId="77777777" w:rsidR="00E77A4C" w:rsidRDefault="00E77A4C" w:rsidP="00E77A4C">
      <w:pPr>
        <w:spacing w:line="360" w:lineRule="auto"/>
        <w:rPr>
          <w:rFonts w:ascii="Times New Roman" w:eastAsia="宋体" w:hAnsi="Times New Roman" w:cs="Times New Roman"/>
          <w:b/>
          <w:bCs/>
          <w:sz w:val="24"/>
          <w:szCs w:val="24"/>
          <w:lang w:eastAsia="zh-CN"/>
        </w:rPr>
      </w:pPr>
    </w:p>
    <w:p w14:paraId="7534869E" w14:textId="77777777" w:rsidR="009E4AA8" w:rsidRPr="009E4AA8" w:rsidRDefault="009E4AA8" w:rsidP="009E4AA8">
      <w:pPr>
        <w:spacing w:line="360" w:lineRule="auto"/>
        <w:rPr>
          <w:rFonts w:ascii="Times New Roman" w:eastAsia="宋体" w:hAnsi="Times New Roman" w:cs="Times New Roman"/>
          <w:sz w:val="24"/>
          <w:szCs w:val="24"/>
          <w:lang w:eastAsia="zh-CN"/>
        </w:rPr>
      </w:pPr>
      <w:r w:rsidRPr="009E4AA8">
        <w:rPr>
          <w:rFonts w:ascii="Times New Roman" w:eastAsia="宋体" w:hAnsi="Times New Roman" w:cs="Times New Roman"/>
          <w:sz w:val="24"/>
          <w:szCs w:val="24"/>
          <w:lang w:eastAsia="zh-CN"/>
        </w:rPr>
        <w:t>Abbreviations: SMD, standardized mean difference; SOFA, Sequential Organ Failure Assessment; PaO₂/FiO₂, arterial oxygen partial pressure to fraction of inspired oxygen ratio.</w:t>
      </w:r>
    </w:p>
    <w:p w14:paraId="68394B1E" w14:textId="77777777" w:rsidR="009E4AA8" w:rsidRPr="009E4AA8" w:rsidRDefault="009E4AA8" w:rsidP="00E77A4C">
      <w:pPr>
        <w:spacing w:line="360" w:lineRule="auto"/>
        <w:rPr>
          <w:rFonts w:ascii="Times New Roman" w:eastAsia="宋体" w:hAnsi="Times New Roman" w:cs="Times New Roman"/>
          <w:b/>
          <w:bCs/>
          <w:sz w:val="24"/>
          <w:szCs w:val="24"/>
          <w:lang w:eastAsia="zh-CN"/>
        </w:rPr>
      </w:pPr>
    </w:p>
    <w:p w14:paraId="243CB40D" w14:textId="6239FD5D" w:rsidR="00D60873" w:rsidRDefault="00643EE8" w:rsidP="00643EE8">
      <w:pPr>
        <w:spacing w:line="360" w:lineRule="auto"/>
        <w:jc w:val="center"/>
        <w:rPr>
          <w:rFonts w:ascii="Times New Roman" w:eastAsia="宋体" w:hAnsi="Times New Roman" w:cs="Times New Roman"/>
          <w:b/>
          <w:bCs/>
          <w:sz w:val="24"/>
          <w:szCs w:val="24"/>
          <w:lang w:eastAsia="zh-CN"/>
        </w:rPr>
      </w:pPr>
      <w:r w:rsidRPr="00643EE8">
        <w:rPr>
          <w:rFonts w:ascii="Times New Roman" w:eastAsia="宋体" w:hAnsi="Times New Roman" w:cs="Times New Roman"/>
          <w:b/>
          <w:bCs/>
          <w:sz w:val="24"/>
          <w:szCs w:val="24"/>
          <w:lang w:eastAsia="zh-CN"/>
        </w:rPr>
        <w:t>Table S4. Baseline characteristics in the propensity score–matched cohort comparing Persistent High and Low phosphate trajectory patterns (MIMIC-IV)</w:t>
      </w:r>
    </w:p>
    <w:p w14:paraId="215C8669" w14:textId="77777777" w:rsidR="00643EE8" w:rsidRPr="00E77A4C" w:rsidRDefault="00643EE8" w:rsidP="00470735">
      <w:pPr>
        <w:spacing w:line="360" w:lineRule="auto"/>
        <w:rPr>
          <w:rFonts w:ascii="Times New Roman" w:eastAsia="宋体" w:hAnsi="Times New Roman" w:cs="Times New Roman"/>
          <w:sz w:val="24"/>
          <w:szCs w:val="24"/>
          <w:lang w:eastAsia="zh-CN"/>
        </w:rPr>
      </w:pPr>
    </w:p>
    <w:tbl>
      <w:tblPr>
        <w:tblW w:w="0" w:type="auto"/>
        <w:tblBorders>
          <w:top w:val="single" w:sz="12" w:space="0" w:color="auto"/>
          <w:bottom w:val="single" w:sz="12" w:space="0" w:color="auto"/>
        </w:tblBorders>
        <w:tblCellMar>
          <w:left w:w="0" w:type="dxa"/>
          <w:right w:w="17" w:type="dxa"/>
        </w:tblCellMar>
        <w:tblLook w:val="04A0" w:firstRow="1" w:lastRow="0" w:firstColumn="1" w:lastColumn="0" w:noHBand="0" w:noVBand="1"/>
      </w:tblPr>
      <w:tblGrid>
        <w:gridCol w:w="3261"/>
        <w:gridCol w:w="1954"/>
        <w:gridCol w:w="2096"/>
        <w:gridCol w:w="1388"/>
        <w:gridCol w:w="2006"/>
      </w:tblGrid>
      <w:tr w:rsidR="00D60873" w:rsidRPr="00E77A4C" w14:paraId="654C16BA" w14:textId="77777777">
        <w:trPr>
          <w:tblHeader/>
        </w:trPr>
        <w:tc>
          <w:tcPr>
            <w:tcW w:w="3261" w:type="dxa"/>
            <w:tcBorders>
              <w:top w:val="single" w:sz="12" w:space="0" w:color="000000"/>
              <w:bottom w:val="single" w:sz="4" w:space="0" w:color="000000"/>
              <w:tl2br w:val="nil"/>
            </w:tcBorders>
            <w:shd w:val="clear" w:color="auto" w:fill="FFFFFF"/>
            <w:vAlign w:val="center"/>
          </w:tcPr>
          <w:p w14:paraId="47D41A9C"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Variable</w:t>
            </w:r>
          </w:p>
        </w:tc>
        <w:tc>
          <w:tcPr>
            <w:tcW w:w="1954" w:type="dxa"/>
            <w:tcBorders>
              <w:top w:val="single" w:sz="12" w:space="0" w:color="000000"/>
              <w:bottom w:val="single" w:sz="4" w:space="0" w:color="000000"/>
            </w:tcBorders>
            <w:shd w:val="clear" w:color="auto" w:fill="FFFFFF"/>
            <w:vAlign w:val="center"/>
          </w:tcPr>
          <w:p w14:paraId="2F0D9BE1"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 xml:space="preserve">Low </w:t>
            </w:r>
            <w:r w:rsidRPr="00E77A4C">
              <w:rPr>
                <w:rFonts w:ascii="Times New Roman" w:hAnsi="Times New Roman" w:cs="Times New Roman"/>
                <w:b/>
                <w:color w:val="000000"/>
                <w:sz w:val="24"/>
                <w:szCs w:val="24"/>
              </w:rPr>
              <w:br/>
            </w:r>
            <w:r w:rsidRPr="00E77A4C">
              <w:rPr>
                <w:rFonts w:ascii="Times New Roman" w:eastAsia="宋体" w:hAnsi="Times New Roman" w:cs="Times New Roman"/>
                <w:b/>
                <w:color w:val="000000"/>
                <w:sz w:val="24"/>
                <w:szCs w:val="24"/>
                <w:lang w:eastAsia="zh-CN"/>
              </w:rPr>
              <w:t xml:space="preserve"> (n = 248)</w:t>
            </w:r>
          </w:p>
        </w:tc>
        <w:tc>
          <w:tcPr>
            <w:tcW w:w="2096" w:type="dxa"/>
            <w:tcBorders>
              <w:top w:val="single" w:sz="12" w:space="0" w:color="000000"/>
              <w:bottom w:val="single" w:sz="4" w:space="0" w:color="000000"/>
            </w:tcBorders>
            <w:shd w:val="clear" w:color="auto" w:fill="FFFFFF"/>
            <w:vAlign w:val="center"/>
          </w:tcPr>
          <w:p w14:paraId="3821CBF9"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Persistent-High</w:t>
            </w:r>
            <w:r w:rsidRPr="00E77A4C">
              <w:rPr>
                <w:rFonts w:ascii="Times New Roman" w:hAnsi="Times New Roman" w:cs="Times New Roman"/>
                <w:b/>
                <w:color w:val="000000"/>
                <w:sz w:val="24"/>
                <w:szCs w:val="24"/>
              </w:rPr>
              <w:br/>
            </w:r>
            <w:r w:rsidRPr="00E77A4C">
              <w:rPr>
                <w:rFonts w:ascii="Times New Roman" w:eastAsia="宋体" w:hAnsi="Times New Roman" w:cs="Times New Roman"/>
                <w:b/>
                <w:color w:val="000000"/>
                <w:sz w:val="24"/>
                <w:szCs w:val="24"/>
                <w:lang w:eastAsia="zh-CN"/>
              </w:rPr>
              <w:t xml:space="preserve"> (n = 248)</w:t>
            </w:r>
          </w:p>
        </w:tc>
        <w:tc>
          <w:tcPr>
            <w:tcW w:w="1388" w:type="dxa"/>
            <w:tcBorders>
              <w:top w:val="single" w:sz="12" w:space="0" w:color="000000"/>
              <w:bottom w:val="single" w:sz="4" w:space="0" w:color="000000"/>
            </w:tcBorders>
            <w:shd w:val="clear" w:color="auto" w:fill="FFFFFF"/>
            <w:vAlign w:val="center"/>
          </w:tcPr>
          <w:p w14:paraId="039AE302" w14:textId="5711DC9C"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P</w:t>
            </w:r>
          </w:p>
        </w:tc>
        <w:tc>
          <w:tcPr>
            <w:tcW w:w="2006" w:type="dxa"/>
            <w:tcBorders>
              <w:top w:val="single" w:sz="12" w:space="0" w:color="000000"/>
              <w:bottom w:val="single" w:sz="4" w:space="0" w:color="000000"/>
            </w:tcBorders>
            <w:shd w:val="clear" w:color="auto" w:fill="FFFFFF"/>
            <w:vAlign w:val="center"/>
          </w:tcPr>
          <w:p w14:paraId="68036524" w14:textId="77777777" w:rsidR="00D60873" w:rsidRPr="00E77A4C" w:rsidRDefault="00000000" w:rsidP="00470735">
            <w:pPr>
              <w:spacing w:line="360" w:lineRule="auto"/>
              <w:rPr>
                <w:rFonts w:ascii="Times New Roman" w:eastAsia="宋体" w:hAnsi="Times New Roman" w:cs="Times New Roman"/>
                <w:b/>
                <w:color w:val="000000"/>
                <w:sz w:val="24"/>
                <w:szCs w:val="24"/>
                <w:lang w:eastAsia="zh-CN"/>
              </w:rPr>
            </w:pPr>
            <w:r w:rsidRPr="00E77A4C">
              <w:rPr>
                <w:rFonts w:ascii="Times New Roman" w:eastAsia="宋体" w:hAnsi="Times New Roman" w:cs="Times New Roman"/>
                <w:b/>
                <w:color w:val="000000"/>
                <w:sz w:val="24"/>
                <w:szCs w:val="24"/>
                <w:lang w:eastAsia="zh-CN"/>
              </w:rPr>
              <w:t>Standardized Mean Difference</w:t>
            </w:r>
          </w:p>
        </w:tc>
      </w:tr>
      <w:tr w:rsidR="00D60873" w:rsidRPr="00E77A4C" w14:paraId="38403634" w14:textId="77777777">
        <w:tc>
          <w:tcPr>
            <w:tcW w:w="3261" w:type="dxa"/>
            <w:tcBorders>
              <w:top w:val="single" w:sz="4" w:space="0" w:color="000000"/>
              <w:tl2br w:val="nil"/>
              <w:tr2bl w:val="nil"/>
            </w:tcBorders>
            <w:shd w:val="clear" w:color="auto" w:fill="FFFFFF"/>
            <w:vAlign w:val="center"/>
          </w:tcPr>
          <w:p w14:paraId="3310D90E"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Age (years)</w:t>
            </w:r>
          </w:p>
        </w:tc>
        <w:tc>
          <w:tcPr>
            <w:tcW w:w="1954" w:type="dxa"/>
            <w:tcBorders>
              <w:top w:val="single" w:sz="4" w:space="0" w:color="000000"/>
              <w:tl2br w:val="nil"/>
              <w:tr2bl w:val="nil"/>
            </w:tcBorders>
            <w:shd w:val="clear" w:color="auto" w:fill="FFFFFF"/>
            <w:vAlign w:val="center"/>
          </w:tcPr>
          <w:p w14:paraId="2863AEC0"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65.62 (14.34)</w:t>
            </w:r>
          </w:p>
        </w:tc>
        <w:tc>
          <w:tcPr>
            <w:tcW w:w="2096" w:type="dxa"/>
            <w:tcBorders>
              <w:top w:val="single" w:sz="4" w:space="0" w:color="000000"/>
              <w:tl2br w:val="nil"/>
              <w:tr2bl w:val="nil"/>
            </w:tcBorders>
            <w:shd w:val="clear" w:color="auto" w:fill="FFFFFF"/>
            <w:vAlign w:val="center"/>
          </w:tcPr>
          <w:p w14:paraId="1333CC3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65.27 (13.95)</w:t>
            </w:r>
          </w:p>
        </w:tc>
        <w:tc>
          <w:tcPr>
            <w:tcW w:w="1388" w:type="dxa"/>
            <w:tcBorders>
              <w:top w:val="single" w:sz="4" w:space="0" w:color="000000"/>
              <w:tl2br w:val="nil"/>
              <w:tr2bl w:val="nil"/>
            </w:tcBorders>
            <w:shd w:val="clear" w:color="auto" w:fill="FFFFFF"/>
            <w:vAlign w:val="center"/>
          </w:tcPr>
          <w:p w14:paraId="452E83B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0.785</w:t>
            </w:r>
          </w:p>
        </w:tc>
        <w:tc>
          <w:tcPr>
            <w:tcW w:w="2006" w:type="dxa"/>
            <w:tcBorders>
              <w:top w:val="single" w:sz="4" w:space="0" w:color="000000"/>
              <w:tl2br w:val="nil"/>
              <w:tr2bl w:val="nil"/>
            </w:tcBorders>
            <w:shd w:val="clear" w:color="auto" w:fill="FFFFFF"/>
            <w:vAlign w:val="center"/>
          </w:tcPr>
          <w:p w14:paraId="247F071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0.025</w:t>
            </w:r>
          </w:p>
        </w:tc>
      </w:tr>
      <w:tr w:rsidR="00D60873" w:rsidRPr="00E77A4C" w14:paraId="50A96FFB" w14:textId="77777777">
        <w:tc>
          <w:tcPr>
            <w:tcW w:w="3261" w:type="dxa"/>
            <w:tcBorders>
              <w:tl2br w:val="nil"/>
              <w:tr2bl w:val="nil"/>
            </w:tcBorders>
            <w:shd w:val="clear" w:color="auto" w:fill="FFFFFF"/>
            <w:vAlign w:val="center"/>
          </w:tcPr>
          <w:p w14:paraId="126C46D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Male (%)</w:t>
            </w:r>
          </w:p>
        </w:tc>
        <w:tc>
          <w:tcPr>
            <w:tcW w:w="1954" w:type="dxa"/>
            <w:tcBorders>
              <w:tl2br w:val="nil"/>
              <w:tr2bl w:val="nil"/>
            </w:tcBorders>
            <w:shd w:val="clear" w:color="auto" w:fill="FFFFFF"/>
            <w:vAlign w:val="center"/>
          </w:tcPr>
          <w:p w14:paraId="5EE6EA7E"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182 (73.4)</w:t>
            </w:r>
          </w:p>
        </w:tc>
        <w:tc>
          <w:tcPr>
            <w:tcW w:w="2096" w:type="dxa"/>
            <w:tcBorders>
              <w:tl2br w:val="nil"/>
              <w:tr2bl w:val="nil"/>
            </w:tcBorders>
            <w:shd w:val="clear" w:color="auto" w:fill="FFFFFF"/>
            <w:vAlign w:val="center"/>
          </w:tcPr>
          <w:p w14:paraId="5BBEC0A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180 (72.6)</w:t>
            </w:r>
          </w:p>
        </w:tc>
        <w:tc>
          <w:tcPr>
            <w:tcW w:w="1388" w:type="dxa"/>
            <w:tcBorders>
              <w:tl2br w:val="nil"/>
              <w:tr2bl w:val="nil"/>
            </w:tcBorders>
            <w:shd w:val="clear" w:color="auto" w:fill="FFFFFF"/>
            <w:vAlign w:val="center"/>
          </w:tcPr>
          <w:p w14:paraId="3FF2DC68"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0.919</w:t>
            </w:r>
          </w:p>
        </w:tc>
        <w:tc>
          <w:tcPr>
            <w:tcW w:w="2006" w:type="dxa"/>
            <w:tcBorders>
              <w:tl2br w:val="nil"/>
              <w:tr2bl w:val="nil"/>
            </w:tcBorders>
            <w:shd w:val="clear" w:color="auto" w:fill="FFFFFF"/>
            <w:vAlign w:val="center"/>
          </w:tcPr>
          <w:p w14:paraId="62FE4BA9"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0.018</w:t>
            </w:r>
          </w:p>
        </w:tc>
      </w:tr>
      <w:tr w:rsidR="00D60873" w:rsidRPr="00E77A4C" w14:paraId="498BC1B3" w14:textId="77777777">
        <w:tc>
          <w:tcPr>
            <w:tcW w:w="3261" w:type="dxa"/>
            <w:tcBorders>
              <w:tl2br w:val="nil"/>
              <w:tr2bl w:val="nil"/>
            </w:tcBorders>
            <w:shd w:val="clear" w:color="auto" w:fill="FFFFFF"/>
            <w:vAlign w:val="center"/>
          </w:tcPr>
          <w:p w14:paraId="0F39C50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SOFA score</w:t>
            </w:r>
          </w:p>
        </w:tc>
        <w:tc>
          <w:tcPr>
            <w:tcW w:w="1954" w:type="dxa"/>
            <w:tcBorders>
              <w:tl2br w:val="nil"/>
              <w:tr2bl w:val="nil"/>
            </w:tcBorders>
            <w:shd w:val="clear" w:color="auto" w:fill="FFFFFF"/>
            <w:vAlign w:val="center"/>
          </w:tcPr>
          <w:p w14:paraId="36478284"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3 [1, 6]</w:t>
            </w:r>
          </w:p>
        </w:tc>
        <w:tc>
          <w:tcPr>
            <w:tcW w:w="2096" w:type="dxa"/>
            <w:tcBorders>
              <w:tl2br w:val="nil"/>
              <w:tr2bl w:val="nil"/>
            </w:tcBorders>
            <w:shd w:val="clear" w:color="auto" w:fill="FFFFFF"/>
            <w:vAlign w:val="center"/>
          </w:tcPr>
          <w:p w14:paraId="7066E2E8"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3 [1, 6]</w:t>
            </w:r>
          </w:p>
        </w:tc>
        <w:tc>
          <w:tcPr>
            <w:tcW w:w="1388" w:type="dxa"/>
            <w:tcBorders>
              <w:tl2br w:val="nil"/>
              <w:tr2bl w:val="nil"/>
            </w:tcBorders>
            <w:shd w:val="clear" w:color="auto" w:fill="FFFFFF"/>
            <w:vAlign w:val="center"/>
          </w:tcPr>
          <w:p w14:paraId="361BE022"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0.887</w:t>
            </w:r>
          </w:p>
        </w:tc>
        <w:tc>
          <w:tcPr>
            <w:tcW w:w="2006" w:type="dxa"/>
            <w:tcBorders>
              <w:tl2br w:val="nil"/>
              <w:tr2bl w:val="nil"/>
            </w:tcBorders>
            <w:shd w:val="clear" w:color="auto" w:fill="FFFFFF"/>
            <w:vAlign w:val="center"/>
          </w:tcPr>
          <w:p w14:paraId="667249F2"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0.005</w:t>
            </w:r>
          </w:p>
        </w:tc>
      </w:tr>
      <w:tr w:rsidR="00D60873" w:rsidRPr="00E77A4C" w14:paraId="3971BCE2" w14:textId="77777777">
        <w:tc>
          <w:tcPr>
            <w:tcW w:w="3261" w:type="dxa"/>
            <w:tcBorders>
              <w:tl2br w:val="nil"/>
              <w:tr2bl w:val="nil"/>
            </w:tcBorders>
            <w:shd w:val="clear" w:color="auto" w:fill="FFFFFF"/>
            <w:vAlign w:val="center"/>
          </w:tcPr>
          <w:p w14:paraId="1192C260"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Charlson Comorbidity Index</w:t>
            </w:r>
          </w:p>
        </w:tc>
        <w:tc>
          <w:tcPr>
            <w:tcW w:w="1954" w:type="dxa"/>
            <w:tcBorders>
              <w:tl2br w:val="nil"/>
              <w:tr2bl w:val="nil"/>
            </w:tcBorders>
            <w:shd w:val="clear" w:color="auto" w:fill="FFFFFF"/>
            <w:vAlign w:val="center"/>
          </w:tcPr>
          <w:p w14:paraId="4637A84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 [4, 8]</w:t>
            </w:r>
          </w:p>
        </w:tc>
        <w:tc>
          <w:tcPr>
            <w:tcW w:w="2096" w:type="dxa"/>
            <w:tcBorders>
              <w:tl2br w:val="nil"/>
              <w:tr2bl w:val="nil"/>
            </w:tcBorders>
            <w:shd w:val="clear" w:color="auto" w:fill="FFFFFF"/>
            <w:vAlign w:val="center"/>
          </w:tcPr>
          <w:p w14:paraId="603E951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6 [4, 8]</w:t>
            </w:r>
          </w:p>
        </w:tc>
        <w:tc>
          <w:tcPr>
            <w:tcW w:w="1388" w:type="dxa"/>
            <w:tcBorders>
              <w:tl2br w:val="nil"/>
              <w:tr2bl w:val="nil"/>
            </w:tcBorders>
            <w:shd w:val="clear" w:color="auto" w:fill="FFFFFF"/>
            <w:vAlign w:val="center"/>
          </w:tcPr>
          <w:p w14:paraId="5BEB48A8"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0.286</w:t>
            </w:r>
          </w:p>
        </w:tc>
        <w:tc>
          <w:tcPr>
            <w:tcW w:w="2006" w:type="dxa"/>
            <w:tcBorders>
              <w:tl2br w:val="nil"/>
              <w:tr2bl w:val="nil"/>
            </w:tcBorders>
            <w:shd w:val="clear" w:color="auto" w:fill="FFFFFF"/>
            <w:vAlign w:val="center"/>
          </w:tcPr>
          <w:p w14:paraId="6C4F4E0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0.104</w:t>
            </w:r>
          </w:p>
        </w:tc>
      </w:tr>
      <w:tr w:rsidR="00D60873" w:rsidRPr="00E77A4C" w14:paraId="5CAB5C99" w14:textId="77777777">
        <w:tc>
          <w:tcPr>
            <w:tcW w:w="3261" w:type="dxa"/>
            <w:tcBorders>
              <w:tl2br w:val="nil"/>
              <w:tr2bl w:val="nil"/>
            </w:tcBorders>
            <w:shd w:val="clear" w:color="auto" w:fill="FFFFFF"/>
            <w:vAlign w:val="center"/>
          </w:tcPr>
          <w:p w14:paraId="5B680FA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Creatinine (mg/dL)</w:t>
            </w:r>
          </w:p>
        </w:tc>
        <w:tc>
          <w:tcPr>
            <w:tcW w:w="1954" w:type="dxa"/>
            <w:tcBorders>
              <w:tl2br w:val="nil"/>
              <w:tr2bl w:val="nil"/>
            </w:tcBorders>
            <w:shd w:val="clear" w:color="auto" w:fill="FFFFFF"/>
            <w:vAlign w:val="center"/>
          </w:tcPr>
          <w:p w14:paraId="422C720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1.60 [1.00, 2.60]</w:t>
            </w:r>
          </w:p>
        </w:tc>
        <w:tc>
          <w:tcPr>
            <w:tcW w:w="2096" w:type="dxa"/>
            <w:tcBorders>
              <w:tl2br w:val="nil"/>
              <w:tr2bl w:val="nil"/>
            </w:tcBorders>
            <w:shd w:val="clear" w:color="auto" w:fill="FFFFFF"/>
            <w:vAlign w:val="center"/>
          </w:tcPr>
          <w:p w14:paraId="3E20190A"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1.60 [1.00, 2.60]</w:t>
            </w:r>
          </w:p>
        </w:tc>
        <w:tc>
          <w:tcPr>
            <w:tcW w:w="1388" w:type="dxa"/>
            <w:tcBorders>
              <w:tl2br w:val="nil"/>
              <w:tr2bl w:val="nil"/>
            </w:tcBorders>
            <w:shd w:val="clear" w:color="auto" w:fill="FFFFFF"/>
            <w:vAlign w:val="center"/>
          </w:tcPr>
          <w:p w14:paraId="706D76F0"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0.589</w:t>
            </w:r>
          </w:p>
        </w:tc>
        <w:tc>
          <w:tcPr>
            <w:tcW w:w="2006" w:type="dxa"/>
            <w:tcBorders>
              <w:tl2br w:val="nil"/>
              <w:tr2bl w:val="nil"/>
            </w:tcBorders>
            <w:shd w:val="clear" w:color="auto" w:fill="FFFFFF"/>
            <w:vAlign w:val="center"/>
          </w:tcPr>
          <w:p w14:paraId="3278BB04"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0.081</w:t>
            </w:r>
          </w:p>
        </w:tc>
      </w:tr>
      <w:tr w:rsidR="00D60873" w:rsidRPr="00E77A4C" w14:paraId="433A85D5" w14:textId="77777777">
        <w:tc>
          <w:tcPr>
            <w:tcW w:w="3261" w:type="dxa"/>
            <w:tcBorders>
              <w:tl2br w:val="nil"/>
              <w:tr2bl w:val="nil"/>
            </w:tcBorders>
            <w:shd w:val="clear" w:color="auto" w:fill="FFFFFF"/>
            <w:vAlign w:val="center"/>
          </w:tcPr>
          <w:p w14:paraId="350C32B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Total calcium (mg/dL)</w:t>
            </w:r>
          </w:p>
        </w:tc>
        <w:tc>
          <w:tcPr>
            <w:tcW w:w="1954" w:type="dxa"/>
            <w:tcBorders>
              <w:tl2br w:val="nil"/>
              <w:tr2bl w:val="nil"/>
            </w:tcBorders>
            <w:shd w:val="clear" w:color="auto" w:fill="FFFFFF"/>
            <w:vAlign w:val="center"/>
          </w:tcPr>
          <w:p w14:paraId="3003A912"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8.64 (1.10)</w:t>
            </w:r>
          </w:p>
        </w:tc>
        <w:tc>
          <w:tcPr>
            <w:tcW w:w="2096" w:type="dxa"/>
            <w:tcBorders>
              <w:tl2br w:val="nil"/>
              <w:tr2bl w:val="nil"/>
            </w:tcBorders>
            <w:shd w:val="clear" w:color="auto" w:fill="FFFFFF"/>
            <w:vAlign w:val="center"/>
          </w:tcPr>
          <w:p w14:paraId="1779EFA8"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8.64 (1.10)</w:t>
            </w:r>
          </w:p>
        </w:tc>
        <w:tc>
          <w:tcPr>
            <w:tcW w:w="1388" w:type="dxa"/>
            <w:tcBorders>
              <w:tl2br w:val="nil"/>
              <w:tr2bl w:val="nil"/>
            </w:tcBorders>
            <w:shd w:val="clear" w:color="auto" w:fill="FFFFFF"/>
            <w:vAlign w:val="center"/>
          </w:tcPr>
          <w:p w14:paraId="3BEBCAE3"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0.961</w:t>
            </w:r>
          </w:p>
        </w:tc>
        <w:tc>
          <w:tcPr>
            <w:tcW w:w="2006" w:type="dxa"/>
            <w:tcBorders>
              <w:tl2br w:val="nil"/>
              <w:tr2bl w:val="nil"/>
            </w:tcBorders>
            <w:shd w:val="clear" w:color="auto" w:fill="FFFFFF"/>
            <w:vAlign w:val="center"/>
          </w:tcPr>
          <w:p w14:paraId="5FD32B8C"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0.008</w:t>
            </w:r>
          </w:p>
        </w:tc>
      </w:tr>
      <w:tr w:rsidR="00D60873" w:rsidRPr="00E77A4C" w14:paraId="54266A1B" w14:textId="77777777">
        <w:tc>
          <w:tcPr>
            <w:tcW w:w="3261" w:type="dxa"/>
            <w:tcBorders>
              <w:tl2br w:val="nil"/>
              <w:tr2bl w:val="nil"/>
            </w:tcBorders>
            <w:shd w:val="clear" w:color="auto" w:fill="FFFFFF"/>
            <w:vAlign w:val="center"/>
          </w:tcPr>
          <w:p w14:paraId="372D0C67"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pH</w:t>
            </w:r>
          </w:p>
        </w:tc>
        <w:tc>
          <w:tcPr>
            <w:tcW w:w="1954" w:type="dxa"/>
            <w:tcBorders>
              <w:tl2br w:val="nil"/>
              <w:tr2bl w:val="nil"/>
            </w:tcBorders>
            <w:shd w:val="clear" w:color="auto" w:fill="FFFFFF"/>
            <w:vAlign w:val="center"/>
          </w:tcPr>
          <w:p w14:paraId="5641A4F5"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7.31 (0.10)</w:t>
            </w:r>
          </w:p>
        </w:tc>
        <w:tc>
          <w:tcPr>
            <w:tcW w:w="2096" w:type="dxa"/>
            <w:tcBorders>
              <w:tl2br w:val="nil"/>
              <w:tr2bl w:val="nil"/>
            </w:tcBorders>
            <w:shd w:val="clear" w:color="auto" w:fill="FFFFFF"/>
            <w:vAlign w:val="center"/>
          </w:tcPr>
          <w:p w14:paraId="2F62272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7.31 (0.10)</w:t>
            </w:r>
          </w:p>
        </w:tc>
        <w:tc>
          <w:tcPr>
            <w:tcW w:w="1388" w:type="dxa"/>
            <w:tcBorders>
              <w:tl2br w:val="nil"/>
              <w:tr2bl w:val="nil"/>
            </w:tcBorders>
            <w:shd w:val="clear" w:color="auto" w:fill="FFFFFF"/>
            <w:vAlign w:val="center"/>
          </w:tcPr>
          <w:p w14:paraId="6385602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0.833</w:t>
            </w:r>
          </w:p>
        </w:tc>
        <w:tc>
          <w:tcPr>
            <w:tcW w:w="2006" w:type="dxa"/>
            <w:tcBorders>
              <w:tl2br w:val="nil"/>
              <w:tr2bl w:val="nil"/>
            </w:tcBorders>
            <w:shd w:val="clear" w:color="auto" w:fill="FFFFFF"/>
            <w:vAlign w:val="center"/>
          </w:tcPr>
          <w:p w14:paraId="0EC5C515"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0.021</w:t>
            </w:r>
          </w:p>
        </w:tc>
      </w:tr>
      <w:tr w:rsidR="00D60873" w:rsidRPr="00E77A4C" w14:paraId="3DD054E2" w14:textId="77777777">
        <w:tc>
          <w:tcPr>
            <w:tcW w:w="3261" w:type="dxa"/>
            <w:tcBorders>
              <w:tl2br w:val="nil"/>
              <w:tr2bl w:val="nil"/>
            </w:tcBorders>
            <w:shd w:val="clear" w:color="auto" w:fill="FFFFFF"/>
            <w:vAlign w:val="center"/>
          </w:tcPr>
          <w:p w14:paraId="60C15F7B"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Lactate (mmol/L)</w:t>
            </w:r>
          </w:p>
        </w:tc>
        <w:tc>
          <w:tcPr>
            <w:tcW w:w="1954" w:type="dxa"/>
            <w:tcBorders>
              <w:tl2br w:val="nil"/>
              <w:tr2bl w:val="nil"/>
            </w:tcBorders>
            <w:shd w:val="clear" w:color="auto" w:fill="FFFFFF"/>
            <w:vAlign w:val="center"/>
          </w:tcPr>
          <w:p w14:paraId="7578CB12"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2.05 [1.50, 3.32]</w:t>
            </w:r>
          </w:p>
        </w:tc>
        <w:tc>
          <w:tcPr>
            <w:tcW w:w="2096" w:type="dxa"/>
            <w:tcBorders>
              <w:tl2br w:val="nil"/>
              <w:tr2bl w:val="nil"/>
            </w:tcBorders>
            <w:shd w:val="clear" w:color="auto" w:fill="FFFFFF"/>
            <w:vAlign w:val="center"/>
          </w:tcPr>
          <w:p w14:paraId="3613662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2.05 [1.50, 3.32]</w:t>
            </w:r>
          </w:p>
        </w:tc>
        <w:tc>
          <w:tcPr>
            <w:tcW w:w="1388" w:type="dxa"/>
            <w:tcBorders>
              <w:tl2br w:val="nil"/>
              <w:tr2bl w:val="nil"/>
            </w:tcBorders>
            <w:shd w:val="clear" w:color="auto" w:fill="FFFFFF"/>
            <w:vAlign w:val="center"/>
          </w:tcPr>
          <w:p w14:paraId="2141CBBE"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0.753</w:t>
            </w:r>
          </w:p>
        </w:tc>
        <w:tc>
          <w:tcPr>
            <w:tcW w:w="2006" w:type="dxa"/>
            <w:tcBorders>
              <w:tl2br w:val="nil"/>
              <w:tr2bl w:val="nil"/>
            </w:tcBorders>
            <w:shd w:val="clear" w:color="auto" w:fill="FFFFFF"/>
            <w:vAlign w:val="center"/>
          </w:tcPr>
          <w:p w14:paraId="743203F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0.062</w:t>
            </w:r>
          </w:p>
        </w:tc>
      </w:tr>
      <w:tr w:rsidR="00D60873" w:rsidRPr="00E77A4C" w14:paraId="21678D8F" w14:textId="77777777">
        <w:tc>
          <w:tcPr>
            <w:tcW w:w="3261" w:type="dxa"/>
            <w:tcBorders>
              <w:bottom w:val="single" w:sz="12" w:space="0" w:color="000000"/>
              <w:tl2br w:val="nil"/>
              <w:tr2bl w:val="nil"/>
            </w:tcBorders>
            <w:shd w:val="clear" w:color="auto" w:fill="FFFFFF"/>
            <w:vAlign w:val="center"/>
          </w:tcPr>
          <w:p w14:paraId="7C5536B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PaO₂/FiO₂ ratio (mmHg)</w:t>
            </w:r>
          </w:p>
        </w:tc>
        <w:tc>
          <w:tcPr>
            <w:tcW w:w="1954" w:type="dxa"/>
            <w:tcBorders>
              <w:bottom w:val="single" w:sz="12" w:space="0" w:color="000000"/>
              <w:tl2br w:val="nil"/>
              <w:tr2bl w:val="nil"/>
            </w:tcBorders>
            <w:shd w:val="clear" w:color="auto" w:fill="FFFFFF"/>
            <w:vAlign w:val="center"/>
          </w:tcPr>
          <w:p w14:paraId="6C202746"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148.5 [90.0, 186.1]</w:t>
            </w:r>
          </w:p>
        </w:tc>
        <w:tc>
          <w:tcPr>
            <w:tcW w:w="2096" w:type="dxa"/>
            <w:tcBorders>
              <w:bottom w:val="single" w:sz="12" w:space="0" w:color="000000"/>
              <w:tl2br w:val="nil"/>
              <w:tr2bl w:val="nil"/>
            </w:tcBorders>
            <w:shd w:val="clear" w:color="auto" w:fill="FFFFFF"/>
            <w:vAlign w:val="center"/>
          </w:tcPr>
          <w:p w14:paraId="288F95C0"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148.5 [90.0, 186.1]</w:t>
            </w:r>
          </w:p>
        </w:tc>
        <w:tc>
          <w:tcPr>
            <w:tcW w:w="1388" w:type="dxa"/>
            <w:tcBorders>
              <w:bottom w:val="single" w:sz="12" w:space="0" w:color="000000"/>
              <w:tl2br w:val="nil"/>
              <w:tr2bl w:val="nil"/>
            </w:tcBorders>
            <w:shd w:val="clear" w:color="auto" w:fill="FFFFFF"/>
            <w:vAlign w:val="center"/>
          </w:tcPr>
          <w:p w14:paraId="2770C131"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0.551</w:t>
            </w:r>
          </w:p>
        </w:tc>
        <w:tc>
          <w:tcPr>
            <w:tcW w:w="2006" w:type="dxa"/>
            <w:tcBorders>
              <w:bottom w:val="single" w:sz="12" w:space="0" w:color="000000"/>
              <w:tl2br w:val="nil"/>
              <w:tr2bl w:val="nil"/>
            </w:tcBorders>
            <w:shd w:val="clear" w:color="auto" w:fill="FFFFFF"/>
            <w:vAlign w:val="center"/>
          </w:tcPr>
          <w:p w14:paraId="2BB0317F" w14:textId="77777777" w:rsidR="00D60873" w:rsidRPr="00E77A4C" w:rsidRDefault="00000000" w:rsidP="00470735">
            <w:pPr>
              <w:spacing w:line="360" w:lineRule="auto"/>
              <w:rPr>
                <w:rFonts w:ascii="Times New Roman" w:eastAsia="宋体" w:hAnsi="Times New Roman" w:cs="Times New Roman"/>
                <w:color w:val="000000"/>
                <w:sz w:val="24"/>
                <w:szCs w:val="24"/>
                <w:lang w:eastAsia="zh-CN"/>
              </w:rPr>
            </w:pPr>
            <w:r w:rsidRPr="00E77A4C">
              <w:rPr>
                <w:rFonts w:ascii="Times New Roman" w:eastAsia="宋体" w:hAnsi="Times New Roman" w:cs="Times New Roman"/>
                <w:color w:val="000000"/>
                <w:sz w:val="24"/>
                <w:szCs w:val="24"/>
                <w:lang w:eastAsia="zh-CN"/>
              </w:rPr>
              <w:t>0.008</w:t>
            </w:r>
          </w:p>
        </w:tc>
      </w:tr>
    </w:tbl>
    <w:p w14:paraId="22A78825" w14:textId="77777777" w:rsidR="009E4AA8" w:rsidRDefault="009E4AA8" w:rsidP="00470735">
      <w:pPr>
        <w:spacing w:line="360" w:lineRule="auto"/>
        <w:rPr>
          <w:rFonts w:ascii="Times New Roman" w:eastAsia="宋体" w:hAnsi="Times New Roman" w:cs="Times New Roman"/>
          <w:sz w:val="24"/>
          <w:szCs w:val="24"/>
          <w:lang w:eastAsia="zh-CN"/>
        </w:rPr>
      </w:pPr>
    </w:p>
    <w:p w14:paraId="41D6117F" w14:textId="77777777" w:rsidR="00643EE8" w:rsidRDefault="00643EE8" w:rsidP="00470735">
      <w:pPr>
        <w:spacing w:line="360" w:lineRule="auto"/>
        <w:rPr>
          <w:rFonts w:ascii="Times New Roman" w:eastAsia="宋体" w:hAnsi="Times New Roman" w:cs="Times New Roman"/>
          <w:sz w:val="24"/>
          <w:szCs w:val="24"/>
          <w:lang w:eastAsia="zh-CN"/>
        </w:rPr>
      </w:pPr>
      <w:r w:rsidRPr="00643EE8">
        <w:rPr>
          <w:rFonts w:ascii="Times New Roman" w:hAnsi="Times New Roman" w:cs="Times New Roman"/>
          <w:sz w:val="24"/>
          <w:szCs w:val="24"/>
        </w:rPr>
        <w:lastRenderedPageBreak/>
        <w:t>Propensity score matching was performed using 1:1 nearest-neighbor matching with a caliper width of 0.2 standard deviations, without replacement. The propensity score model included age, sex, SOFA score, Charlson Comorbidity Index, baseline creatinine, total calcium, pH, lactate, and PaO₂/FiO₂ ratio. Continuous variables are presented as median [IQR] or mean (SD), and categorical variables as n (%). Adequate covariate balance was defined as a standardized mean difference (SMD) &lt; 0.1.</w:t>
      </w:r>
    </w:p>
    <w:p w14:paraId="45D03A14" w14:textId="77777777" w:rsidR="00643EE8" w:rsidRPr="00643EE8" w:rsidRDefault="00643EE8" w:rsidP="00470735">
      <w:pPr>
        <w:spacing w:line="360" w:lineRule="auto"/>
        <w:rPr>
          <w:rFonts w:ascii="Times New Roman" w:eastAsia="宋体" w:hAnsi="Times New Roman" w:cs="Times New Roman"/>
          <w:sz w:val="24"/>
          <w:szCs w:val="24"/>
          <w:lang w:eastAsia="zh-CN"/>
        </w:rPr>
      </w:pPr>
    </w:p>
    <w:p w14:paraId="04F1444F" w14:textId="66D23645" w:rsidR="00E77A4C" w:rsidRPr="00643EE8" w:rsidRDefault="00643EE8" w:rsidP="00470735">
      <w:pPr>
        <w:spacing w:line="360" w:lineRule="auto"/>
        <w:rPr>
          <w:rFonts w:ascii="Times New Roman" w:eastAsia="宋体" w:hAnsi="Times New Roman" w:cs="Times New Roman"/>
          <w:sz w:val="24"/>
          <w:szCs w:val="24"/>
          <w:lang w:eastAsia="zh-CN"/>
        </w:rPr>
      </w:pPr>
      <w:r w:rsidRPr="00643EE8">
        <w:rPr>
          <w:rFonts w:ascii="Times New Roman" w:eastAsia="宋体" w:hAnsi="Times New Roman" w:cs="Times New Roman"/>
          <w:sz w:val="24"/>
          <w:szCs w:val="24"/>
          <w:lang w:eastAsia="zh-CN"/>
        </w:rPr>
        <w:t>Abbreviations: SMD, standardized mean difference; SOFA, Sequential Organ Failure Assessment; PaO₂/FiO₂, arterial oxygen partial pressure to fraction of inspired oxygen ratio.</w:t>
      </w:r>
    </w:p>
    <w:p w14:paraId="1F4C766A" w14:textId="77777777" w:rsidR="00643EE8" w:rsidRPr="00E77A4C" w:rsidRDefault="00643EE8" w:rsidP="00470735">
      <w:pPr>
        <w:spacing w:line="360" w:lineRule="auto"/>
        <w:rPr>
          <w:rFonts w:ascii="Times New Roman" w:eastAsia="宋体" w:hAnsi="Times New Roman" w:cs="Times New Roman"/>
          <w:sz w:val="24"/>
          <w:szCs w:val="24"/>
          <w:lang w:eastAsia="zh-CN"/>
        </w:rPr>
      </w:pPr>
    </w:p>
    <w:p w14:paraId="516A350F" w14:textId="47D0CB84" w:rsidR="00E77A4C" w:rsidRPr="00E77A4C" w:rsidRDefault="00643EE8" w:rsidP="00470735">
      <w:pPr>
        <w:spacing w:line="360" w:lineRule="auto"/>
        <w:rPr>
          <w:rFonts w:ascii="Times New Roman" w:eastAsia="宋体" w:hAnsi="Times New Roman" w:cs="Times New Roman"/>
          <w:sz w:val="24"/>
          <w:szCs w:val="24"/>
          <w:lang w:eastAsia="zh-CN"/>
        </w:rPr>
      </w:pPr>
      <w:r w:rsidRPr="00643EE8">
        <w:rPr>
          <w:rStyle w:val="afc"/>
          <w:rFonts w:ascii="Times New Roman" w:hAnsi="Times New Roman" w:cs="Times New Roman"/>
          <w:sz w:val="24"/>
          <w:szCs w:val="24"/>
        </w:rPr>
        <w:t>Table S5. Definitions and operational criteria for variables in the derivation and validation cohorts</w:t>
      </w:r>
    </w:p>
    <w:tbl>
      <w:tblPr>
        <w:tblStyle w:val="af4"/>
        <w:tblpPr w:leftFromText="180" w:rightFromText="180" w:vertAnchor="text" w:horzAnchor="margin" w:tblpY="-14125"/>
        <w:tblOverlap w:val="never"/>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842"/>
        <w:gridCol w:w="2989"/>
        <w:gridCol w:w="4563"/>
      </w:tblGrid>
      <w:tr w:rsidR="00D60873" w:rsidRPr="00E77A4C" w14:paraId="1C7439D5" w14:textId="77777777" w:rsidTr="00470735">
        <w:trPr>
          <w:tblHeader/>
        </w:trPr>
        <w:tc>
          <w:tcPr>
            <w:tcW w:w="0" w:type="auto"/>
            <w:tcBorders>
              <w:top w:val="single" w:sz="12" w:space="0" w:color="auto"/>
              <w:bottom w:val="single" w:sz="4" w:space="0" w:color="auto"/>
            </w:tcBorders>
          </w:tcPr>
          <w:p w14:paraId="5EBA0A9D" w14:textId="77777777" w:rsidR="00D60873" w:rsidRPr="00E77A4C" w:rsidRDefault="00000000" w:rsidP="00470735">
            <w:pPr>
              <w:spacing w:after="0" w:line="360" w:lineRule="auto"/>
              <w:rPr>
                <w:rFonts w:ascii="Times New Roman" w:hAnsi="Times New Roman" w:cs="Times New Roman"/>
                <w:b/>
                <w:bCs/>
                <w:sz w:val="24"/>
                <w:szCs w:val="24"/>
              </w:rPr>
            </w:pPr>
            <w:r w:rsidRPr="00E77A4C">
              <w:rPr>
                <w:rFonts w:ascii="Times New Roman" w:hAnsi="Times New Roman" w:cs="Times New Roman"/>
                <w:b/>
                <w:bCs/>
                <w:sz w:val="24"/>
                <w:szCs w:val="24"/>
              </w:rPr>
              <w:lastRenderedPageBreak/>
              <w:t>Category</w:t>
            </w:r>
          </w:p>
        </w:tc>
        <w:tc>
          <w:tcPr>
            <w:tcW w:w="1842" w:type="dxa"/>
            <w:tcBorders>
              <w:top w:val="single" w:sz="12" w:space="0" w:color="auto"/>
              <w:bottom w:val="single" w:sz="4" w:space="0" w:color="auto"/>
            </w:tcBorders>
          </w:tcPr>
          <w:p w14:paraId="2236148F" w14:textId="77777777" w:rsidR="00D60873" w:rsidRPr="00E77A4C" w:rsidRDefault="00000000" w:rsidP="00470735">
            <w:pPr>
              <w:spacing w:after="0" w:line="360" w:lineRule="auto"/>
              <w:rPr>
                <w:rFonts w:ascii="Times New Roman" w:hAnsi="Times New Roman" w:cs="Times New Roman"/>
                <w:b/>
                <w:bCs/>
                <w:sz w:val="24"/>
                <w:szCs w:val="24"/>
              </w:rPr>
            </w:pPr>
            <w:r w:rsidRPr="00E77A4C">
              <w:rPr>
                <w:rFonts w:ascii="Times New Roman" w:hAnsi="Times New Roman" w:cs="Times New Roman"/>
                <w:b/>
                <w:bCs/>
                <w:sz w:val="24"/>
                <w:szCs w:val="24"/>
              </w:rPr>
              <w:t>Variable</w:t>
            </w:r>
            <w:r w:rsidRPr="00E77A4C">
              <w:rPr>
                <w:rFonts w:ascii="Times New Roman" w:eastAsia="宋体" w:hAnsi="Times New Roman" w:cs="Times New Roman"/>
                <w:b/>
                <w:bCs/>
                <w:sz w:val="24"/>
                <w:szCs w:val="24"/>
                <w:lang w:eastAsia="zh-CN"/>
              </w:rPr>
              <w:t xml:space="preserve"> </w:t>
            </w:r>
            <w:r w:rsidRPr="00E77A4C">
              <w:rPr>
                <w:rFonts w:ascii="Times New Roman" w:hAnsi="Times New Roman" w:cs="Times New Roman"/>
                <w:b/>
                <w:bCs/>
                <w:sz w:val="24"/>
                <w:szCs w:val="24"/>
              </w:rPr>
              <w:t>Name</w:t>
            </w:r>
          </w:p>
        </w:tc>
        <w:tc>
          <w:tcPr>
            <w:tcW w:w="2989" w:type="dxa"/>
            <w:tcBorders>
              <w:top w:val="single" w:sz="12" w:space="0" w:color="auto"/>
              <w:bottom w:val="single" w:sz="4" w:space="0" w:color="auto"/>
            </w:tcBorders>
          </w:tcPr>
          <w:p w14:paraId="0FBF7E87" w14:textId="77777777" w:rsidR="00D60873" w:rsidRPr="00E77A4C" w:rsidRDefault="00000000" w:rsidP="00470735">
            <w:pPr>
              <w:spacing w:after="0" w:line="360" w:lineRule="auto"/>
              <w:rPr>
                <w:rFonts w:ascii="Times New Roman" w:hAnsi="Times New Roman" w:cs="Times New Roman"/>
                <w:b/>
                <w:bCs/>
                <w:sz w:val="24"/>
                <w:szCs w:val="24"/>
              </w:rPr>
            </w:pPr>
            <w:r w:rsidRPr="00E77A4C">
              <w:rPr>
                <w:rFonts w:ascii="Times New Roman" w:hAnsi="Times New Roman" w:cs="Times New Roman"/>
                <w:b/>
                <w:bCs/>
                <w:sz w:val="24"/>
                <w:szCs w:val="24"/>
              </w:rPr>
              <w:t>Definition</w:t>
            </w:r>
            <w:r w:rsidRPr="00E77A4C">
              <w:rPr>
                <w:rFonts w:ascii="Times New Roman" w:eastAsia="宋体" w:hAnsi="Times New Roman" w:cs="Times New Roman"/>
                <w:b/>
                <w:bCs/>
                <w:sz w:val="24"/>
                <w:szCs w:val="24"/>
                <w:lang w:eastAsia="zh-CN"/>
              </w:rPr>
              <w:t xml:space="preserve"> </w:t>
            </w:r>
            <w:r w:rsidRPr="00E77A4C">
              <w:rPr>
                <w:rFonts w:ascii="Times New Roman" w:hAnsi="Times New Roman" w:cs="Times New Roman"/>
                <w:b/>
                <w:bCs/>
                <w:sz w:val="24"/>
                <w:szCs w:val="24"/>
              </w:rPr>
              <w:t>or</w:t>
            </w:r>
            <w:r w:rsidRPr="00E77A4C">
              <w:rPr>
                <w:rFonts w:ascii="Times New Roman" w:eastAsia="宋体" w:hAnsi="Times New Roman" w:cs="Times New Roman"/>
                <w:b/>
                <w:bCs/>
                <w:sz w:val="24"/>
                <w:szCs w:val="24"/>
                <w:lang w:eastAsia="zh-CN"/>
              </w:rPr>
              <w:t xml:space="preserve"> </w:t>
            </w:r>
            <w:r w:rsidRPr="00E77A4C">
              <w:rPr>
                <w:rFonts w:ascii="Times New Roman" w:hAnsi="Times New Roman" w:cs="Times New Roman"/>
                <w:b/>
                <w:bCs/>
                <w:sz w:val="24"/>
                <w:szCs w:val="24"/>
              </w:rPr>
              <w:t>Criteria</w:t>
            </w:r>
          </w:p>
        </w:tc>
        <w:tc>
          <w:tcPr>
            <w:tcW w:w="0" w:type="auto"/>
            <w:tcBorders>
              <w:top w:val="single" w:sz="12" w:space="0" w:color="auto"/>
              <w:bottom w:val="single" w:sz="4" w:space="0" w:color="auto"/>
            </w:tcBorders>
          </w:tcPr>
          <w:p w14:paraId="4065CCF2" w14:textId="77777777" w:rsidR="00D60873" w:rsidRPr="00E77A4C" w:rsidRDefault="00000000" w:rsidP="00470735">
            <w:pPr>
              <w:spacing w:after="0" w:line="360" w:lineRule="auto"/>
              <w:rPr>
                <w:rFonts w:ascii="Times New Roman" w:hAnsi="Times New Roman" w:cs="Times New Roman"/>
                <w:b/>
                <w:bCs/>
                <w:sz w:val="24"/>
                <w:szCs w:val="24"/>
              </w:rPr>
            </w:pPr>
            <w:r w:rsidRPr="00E77A4C">
              <w:rPr>
                <w:rFonts w:ascii="Times New Roman" w:hAnsi="Times New Roman" w:cs="Times New Roman"/>
                <w:b/>
                <w:bCs/>
                <w:sz w:val="24"/>
                <w:szCs w:val="24"/>
              </w:rPr>
              <w:t>Database</w:t>
            </w:r>
            <w:r w:rsidRPr="00E77A4C">
              <w:rPr>
                <w:rFonts w:ascii="Times New Roman" w:eastAsia="宋体" w:hAnsi="Times New Roman" w:cs="Times New Roman"/>
                <w:b/>
                <w:bCs/>
                <w:sz w:val="24"/>
                <w:szCs w:val="24"/>
                <w:lang w:eastAsia="zh-CN"/>
              </w:rPr>
              <w:t xml:space="preserve"> </w:t>
            </w:r>
            <w:r w:rsidRPr="00E77A4C">
              <w:rPr>
                <w:rFonts w:ascii="Times New Roman" w:hAnsi="Times New Roman" w:cs="Times New Roman"/>
                <w:b/>
                <w:bCs/>
                <w:sz w:val="24"/>
                <w:szCs w:val="24"/>
              </w:rPr>
              <w:t>Specific</w:t>
            </w:r>
            <w:r w:rsidRPr="00E77A4C">
              <w:rPr>
                <w:rFonts w:ascii="Times New Roman" w:eastAsia="宋体" w:hAnsi="Times New Roman" w:cs="Times New Roman"/>
                <w:b/>
                <w:bCs/>
                <w:sz w:val="24"/>
                <w:szCs w:val="24"/>
                <w:lang w:eastAsia="zh-CN"/>
              </w:rPr>
              <w:t xml:space="preserve"> </w:t>
            </w:r>
            <w:r w:rsidRPr="00E77A4C">
              <w:rPr>
                <w:rFonts w:ascii="Times New Roman" w:hAnsi="Times New Roman" w:cs="Times New Roman"/>
                <w:b/>
                <w:bCs/>
                <w:sz w:val="24"/>
                <w:szCs w:val="24"/>
              </w:rPr>
              <w:t>Notes</w:t>
            </w:r>
          </w:p>
        </w:tc>
      </w:tr>
      <w:tr w:rsidR="00D60873" w:rsidRPr="00E77A4C" w14:paraId="2A733C40" w14:textId="77777777" w:rsidTr="00470735">
        <w:tc>
          <w:tcPr>
            <w:tcW w:w="0" w:type="auto"/>
            <w:tcBorders>
              <w:top w:val="single" w:sz="4" w:space="0" w:color="auto"/>
              <w:tl2br w:val="nil"/>
              <w:tr2bl w:val="nil"/>
            </w:tcBorders>
          </w:tcPr>
          <w:p w14:paraId="31DB52A8"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Core Definition</w:t>
            </w:r>
          </w:p>
        </w:tc>
        <w:tc>
          <w:tcPr>
            <w:tcW w:w="1842" w:type="dxa"/>
            <w:tcBorders>
              <w:top w:val="single" w:sz="4" w:space="0" w:color="auto"/>
              <w:tl2br w:val="nil"/>
              <w:tr2bl w:val="nil"/>
            </w:tcBorders>
          </w:tcPr>
          <w:p w14:paraId="45FECC4D"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Time Zero (T₀)</w:t>
            </w:r>
          </w:p>
        </w:tc>
        <w:tc>
          <w:tcPr>
            <w:tcW w:w="2989" w:type="dxa"/>
            <w:tcBorders>
              <w:top w:val="single" w:sz="4" w:space="0" w:color="auto"/>
              <w:tl2br w:val="nil"/>
              <w:tr2bl w:val="nil"/>
            </w:tcBorders>
          </w:tcPr>
          <w:p w14:paraId="5AF07492" w14:textId="045195DF" w:rsidR="00D60873" w:rsidRPr="00E77A4C" w:rsidRDefault="00643EE8" w:rsidP="00470735">
            <w:pPr>
              <w:spacing w:after="0" w:line="360" w:lineRule="auto"/>
              <w:rPr>
                <w:rFonts w:ascii="Times New Roman" w:hAnsi="Times New Roman" w:cs="Times New Roman"/>
                <w:sz w:val="24"/>
                <w:szCs w:val="24"/>
              </w:rPr>
            </w:pPr>
            <w:r w:rsidRPr="00643EE8">
              <w:rPr>
                <w:rFonts w:ascii="Times New Roman" w:hAnsi="Times New Roman" w:cs="Times New Roman"/>
                <w:sz w:val="24"/>
                <w:szCs w:val="24"/>
              </w:rPr>
              <w:t>Timestamp of initiation of respiratory support (invasive mechanical ventilation, NIV, or HFNC).</w:t>
            </w:r>
          </w:p>
        </w:tc>
        <w:tc>
          <w:tcPr>
            <w:tcW w:w="0" w:type="auto"/>
            <w:tcBorders>
              <w:top w:val="single" w:sz="4" w:space="0" w:color="auto"/>
              <w:tl2br w:val="nil"/>
              <w:tr2bl w:val="nil"/>
            </w:tcBorders>
          </w:tcPr>
          <w:p w14:paraId="55B4F3A2" w14:textId="77777777" w:rsidR="00D60873" w:rsidRPr="00E77A4C" w:rsidRDefault="00000000" w:rsidP="00470735">
            <w:pPr>
              <w:spacing w:after="0" w:line="360" w:lineRule="auto"/>
              <w:rPr>
                <w:rFonts w:ascii="Times New Roman" w:eastAsia="宋体" w:hAnsi="Times New Roman" w:cs="Times New Roman"/>
                <w:sz w:val="24"/>
                <w:szCs w:val="24"/>
                <w:lang w:eastAsia="zh-CN"/>
              </w:rPr>
            </w:pPr>
            <w:r w:rsidRPr="00E77A4C">
              <w:rPr>
                <w:rFonts w:ascii="Times New Roman" w:hAnsi="Times New Roman" w:cs="Times New Roman"/>
                <w:sz w:val="24"/>
                <w:szCs w:val="24"/>
              </w:rPr>
              <w:t>MIMIC-IV: First timestamp of continuous ventilation.</w:t>
            </w:r>
          </w:p>
          <w:p w14:paraId="19F36B97"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eICU-CRD: Earliest timestamp of mechanical ventilation recorded within 24h of ICU admission.</w:t>
            </w:r>
          </w:p>
        </w:tc>
      </w:tr>
      <w:tr w:rsidR="00D60873" w:rsidRPr="00E77A4C" w14:paraId="7F96BA51" w14:textId="77777777" w:rsidTr="00470735">
        <w:tc>
          <w:tcPr>
            <w:tcW w:w="0" w:type="auto"/>
            <w:tcBorders>
              <w:tl2br w:val="nil"/>
              <w:tr2bl w:val="nil"/>
            </w:tcBorders>
          </w:tcPr>
          <w:p w14:paraId="21DB262A"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Inclusion Criteria</w:t>
            </w:r>
          </w:p>
        </w:tc>
        <w:tc>
          <w:tcPr>
            <w:tcW w:w="1842" w:type="dxa"/>
            <w:tcBorders>
              <w:tl2br w:val="nil"/>
              <w:tr2bl w:val="nil"/>
            </w:tcBorders>
          </w:tcPr>
          <w:p w14:paraId="6F53D499"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Study Cohort</w:t>
            </w:r>
          </w:p>
        </w:tc>
        <w:tc>
          <w:tcPr>
            <w:tcW w:w="2989" w:type="dxa"/>
            <w:tcBorders>
              <w:tl2br w:val="nil"/>
              <w:tr2bl w:val="nil"/>
            </w:tcBorders>
          </w:tcPr>
          <w:p w14:paraId="7E0FEC63" w14:textId="77777777" w:rsidR="00D60873" w:rsidRPr="00E77A4C" w:rsidRDefault="00000000" w:rsidP="00470735">
            <w:pPr>
              <w:spacing w:after="0" w:line="360" w:lineRule="auto"/>
              <w:rPr>
                <w:rFonts w:ascii="Times New Roman" w:hAnsi="Times New Roman" w:cs="Times New Roman"/>
                <w:sz w:val="24"/>
                <w:szCs w:val="24"/>
                <w:highlight w:val="yellow"/>
              </w:rPr>
            </w:pPr>
            <w:r w:rsidRPr="00E77A4C">
              <w:rPr>
                <w:rFonts w:ascii="Times New Roman" w:hAnsi="Times New Roman" w:cs="Times New Roman"/>
                <w:sz w:val="24"/>
                <w:szCs w:val="24"/>
              </w:rPr>
              <w:t>Adult patients (age ≥ 18) with ARDS/Respiratory Failure requiring respiratory support, with ICU stay ≥ 48 hours.</w:t>
            </w:r>
          </w:p>
        </w:tc>
        <w:tc>
          <w:tcPr>
            <w:tcW w:w="0" w:type="auto"/>
            <w:tcBorders>
              <w:tl2br w:val="nil"/>
              <w:tr2bl w:val="nil"/>
            </w:tcBorders>
          </w:tcPr>
          <w:p w14:paraId="43EC8714"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MIMIC-IV: ARDS was identified in accordance with the 2023 Global Definition, incorporating invasive and non-invasive respiratory support and oxygenation criteria (PaO₂/FiO₂ or SpO₂/FiO₂), with Berlin-defined ventilated ARDS (PaO₂/FiO₂ ≤ 300 mmHg and PEEP ≥ 5 cmH₂O) examined in sensitivity analyses.</w:t>
            </w:r>
          </w:p>
          <w:p w14:paraId="6406E082" w14:textId="77777777" w:rsidR="00D60873" w:rsidRPr="00E77A4C" w:rsidRDefault="00D60873" w:rsidP="00470735">
            <w:pPr>
              <w:spacing w:after="0" w:line="360" w:lineRule="auto"/>
              <w:rPr>
                <w:rFonts w:ascii="Times New Roman" w:hAnsi="Times New Roman" w:cs="Times New Roman"/>
                <w:sz w:val="24"/>
                <w:szCs w:val="24"/>
              </w:rPr>
            </w:pPr>
          </w:p>
          <w:p w14:paraId="76DFB7AF" w14:textId="77777777" w:rsidR="00D60873" w:rsidRPr="00E77A4C" w:rsidRDefault="00000000" w:rsidP="00470735">
            <w:pPr>
              <w:spacing w:after="0" w:line="360" w:lineRule="auto"/>
              <w:rPr>
                <w:rFonts w:ascii="Times New Roman" w:hAnsi="Times New Roman" w:cs="Times New Roman"/>
                <w:sz w:val="24"/>
                <w:szCs w:val="24"/>
                <w:highlight w:val="yellow"/>
              </w:rPr>
            </w:pPr>
            <w:r w:rsidRPr="00E77A4C">
              <w:rPr>
                <w:rFonts w:ascii="Times New Roman" w:hAnsi="Times New Roman" w:cs="Times New Roman"/>
                <w:sz w:val="24"/>
                <w:szCs w:val="24"/>
              </w:rPr>
              <w:t>eICU-CRD: Due to differences in data availability, ARDS was operationally defined using documented ARDS or acute respiratory failure diagnoses, invasive mechanical ventilation, and PaO₂/FiO₂ &lt; 300 mmHg, approximating the Berlin-defined ventilated ARDS subset.</w:t>
            </w:r>
          </w:p>
        </w:tc>
      </w:tr>
      <w:tr w:rsidR="00D60873" w:rsidRPr="00E77A4C" w14:paraId="0661F3E3" w14:textId="77777777" w:rsidTr="00470735">
        <w:tc>
          <w:tcPr>
            <w:tcW w:w="0" w:type="auto"/>
            <w:tcBorders>
              <w:tl2br w:val="nil"/>
              <w:tr2bl w:val="nil"/>
            </w:tcBorders>
          </w:tcPr>
          <w:p w14:paraId="5476BE78"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Exposure</w:t>
            </w:r>
          </w:p>
        </w:tc>
        <w:tc>
          <w:tcPr>
            <w:tcW w:w="1842" w:type="dxa"/>
            <w:tcBorders>
              <w:tl2br w:val="nil"/>
              <w:tr2bl w:val="nil"/>
            </w:tcBorders>
          </w:tcPr>
          <w:p w14:paraId="6A75E3F9"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Serum Phosphate</w:t>
            </w:r>
          </w:p>
        </w:tc>
        <w:tc>
          <w:tcPr>
            <w:tcW w:w="2989" w:type="dxa"/>
            <w:tcBorders>
              <w:tl2br w:val="nil"/>
              <w:tr2bl w:val="nil"/>
            </w:tcBorders>
          </w:tcPr>
          <w:p w14:paraId="47B7B441"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Serum inorganic phosphate levels measured within 7 days after T₀.</w:t>
            </w:r>
          </w:p>
        </w:tc>
        <w:tc>
          <w:tcPr>
            <w:tcW w:w="0" w:type="auto"/>
            <w:tcBorders>
              <w:tl2br w:val="nil"/>
              <w:tr2bl w:val="nil"/>
            </w:tcBorders>
          </w:tcPr>
          <w:p w14:paraId="6D8AF18F" w14:textId="2C723C1F"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 xml:space="preserve">Unit: mg/dL. Values in mmol/L were converted (mg/dL = mmol/L * 3.1). </w:t>
            </w:r>
            <w:r w:rsidR="00643EE8" w:rsidRPr="00643EE8">
              <w:rPr>
                <w:rFonts w:ascii="Times New Roman" w:hAnsi="Times New Roman" w:cs="Times New Roman"/>
                <w:sz w:val="24"/>
                <w:szCs w:val="24"/>
              </w:rPr>
              <w:t>Implausible extreme values were excluded based on predefined physiological limits.</w:t>
            </w:r>
          </w:p>
        </w:tc>
      </w:tr>
      <w:tr w:rsidR="00D60873" w:rsidRPr="00E77A4C" w14:paraId="511344DB" w14:textId="77777777" w:rsidTr="00470735">
        <w:tc>
          <w:tcPr>
            <w:tcW w:w="0" w:type="auto"/>
            <w:tcBorders>
              <w:tl2br w:val="nil"/>
              <w:tr2bl w:val="nil"/>
            </w:tcBorders>
          </w:tcPr>
          <w:p w14:paraId="76D60588"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Exposure</w:t>
            </w:r>
          </w:p>
        </w:tc>
        <w:tc>
          <w:tcPr>
            <w:tcW w:w="1842" w:type="dxa"/>
            <w:tcBorders>
              <w:tl2br w:val="nil"/>
              <w:tr2bl w:val="nil"/>
            </w:tcBorders>
          </w:tcPr>
          <w:p w14:paraId="0B9F29D8"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Phosphate Trajectories</w:t>
            </w:r>
          </w:p>
        </w:tc>
        <w:tc>
          <w:tcPr>
            <w:tcW w:w="2989" w:type="dxa"/>
            <w:tcBorders>
              <w:tl2br w:val="nil"/>
              <w:tr2bl w:val="nil"/>
            </w:tcBorders>
          </w:tcPr>
          <w:p w14:paraId="74150B9F" w14:textId="62D25B4E" w:rsidR="00D60873" w:rsidRPr="00E77A4C" w:rsidRDefault="00643EE8" w:rsidP="00470735">
            <w:pPr>
              <w:spacing w:after="0" w:line="360" w:lineRule="auto"/>
              <w:rPr>
                <w:rFonts w:ascii="Times New Roman" w:hAnsi="Times New Roman" w:cs="Times New Roman"/>
                <w:sz w:val="24"/>
                <w:szCs w:val="24"/>
              </w:rPr>
            </w:pPr>
            <w:r w:rsidRPr="00643EE8">
              <w:rPr>
                <w:rFonts w:ascii="Times New Roman" w:hAnsi="Times New Roman" w:cs="Times New Roman"/>
                <w:sz w:val="24"/>
                <w:szCs w:val="24"/>
              </w:rPr>
              <w:t>Longitudinal trajectory patterns identified using latent class mixed models (LCMM) with “days since T₀” as the time axis.</w:t>
            </w:r>
          </w:p>
        </w:tc>
        <w:tc>
          <w:tcPr>
            <w:tcW w:w="0" w:type="auto"/>
            <w:tcBorders>
              <w:tl2br w:val="nil"/>
              <w:tr2bl w:val="nil"/>
            </w:tcBorders>
          </w:tcPr>
          <w:p w14:paraId="666BCFE4"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Class 1 (Low), Class 2 (Normal), Class 3 (Persistent High).</w:t>
            </w:r>
          </w:p>
        </w:tc>
      </w:tr>
      <w:tr w:rsidR="00D60873" w:rsidRPr="00E77A4C" w14:paraId="7ED67BBC" w14:textId="77777777" w:rsidTr="00470735">
        <w:tc>
          <w:tcPr>
            <w:tcW w:w="0" w:type="auto"/>
            <w:tcBorders>
              <w:tl2br w:val="nil"/>
              <w:tr2bl w:val="nil"/>
            </w:tcBorders>
          </w:tcPr>
          <w:p w14:paraId="6B455607"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Outcome</w:t>
            </w:r>
          </w:p>
        </w:tc>
        <w:tc>
          <w:tcPr>
            <w:tcW w:w="1842" w:type="dxa"/>
            <w:tcBorders>
              <w:tl2br w:val="nil"/>
              <w:tr2bl w:val="nil"/>
            </w:tcBorders>
          </w:tcPr>
          <w:p w14:paraId="5E024DE4"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30-Day Mortality</w:t>
            </w:r>
          </w:p>
        </w:tc>
        <w:tc>
          <w:tcPr>
            <w:tcW w:w="2989" w:type="dxa"/>
            <w:tcBorders>
              <w:tl2br w:val="nil"/>
              <w:tr2bl w:val="nil"/>
            </w:tcBorders>
          </w:tcPr>
          <w:p w14:paraId="19730DB4"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Death from any cause occurring within 30 days from T₀. (Primary Outcome)</w:t>
            </w:r>
          </w:p>
        </w:tc>
        <w:tc>
          <w:tcPr>
            <w:tcW w:w="0" w:type="auto"/>
            <w:tcBorders>
              <w:tl2br w:val="nil"/>
              <w:tr2bl w:val="nil"/>
            </w:tcBorders>
          </w:tcPr>
          <w:p w14:paraId="6DE17F1D"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Derived from hospital discharge status or date of death records.</w:t>
            </w:r>
          </w:p>
        </w:tc>
      </w:tr>
      <w:tr w:rsidR="00D60873" w:rsidRPr="00E77A4C" w14:paraId="6E2E768C" w14:textId="77777777" w:rsidTr="00470735">
        <w:tc>
          <w:tcPr>
            <w:tcW w:w="0" w:type="auto"/>
            <w:tcBorders>
              <w:tl2br w:val="nil"/>
              <w:tr2bl w:val="nil"/>
            </w:tcBorders>
          </w:tcPr>
          <w:p w14:paraId="0555D369"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Outcome</w:t>
            </w:r>
          </w:p>
        </w:tc>
        <w:tc>
          <w:tcPr>
            <w:tcW w:w="1842" w:type="dxa"/>
            <w:tcBorders>
              <w:tl2br w:val="nil"/>
              <w:tr2bl w:val="nil"/>
            </w:tcBorders>
          </w:tcPr>
          <w:p w14:paraId="489C1D37"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 xml:space="preserve">Hospital </w:t>
            </w:r>
            <w:r w:rsidRPr="00E77A4C">
              <w:rPr>
                <w:rFonts w:ascii="Times New Roman" w:hAnsi="Times New Roman" w:cs="Times New Roman"/>
                <w:sz w:val="24"/>
                <w:szCs w:val="24"/>
              </w:rPr>
              <w:lastRenderedPageBreak/>
              <w:t>Mortality</w:t>
            </w:r>
          </w:p>
        </w:tc>
        <w:tc>
          <w:tcPr>
            <w:tcW w:w="2989" w:type="dxa"/>
            <w:tcBorders>
              <w:tl2br w:val="nil"/>
              <w:tr2bl w:val="nil"/>
            </w:tcBorders>
          </w:tcPr>
          <w:p w14:paraId="2819980E"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lastRenderedPageBreak/>
              <w:t xml:space="preserve">Death recorded within the </w:t>
            </w:r>
            <w:r w:rsidRPr="00E77A4C">
              <w:rPr>
                <w:rFonts w:ascii="Times New Roman" w:hAnsi="Times New Roman" w:cs="Times New Roman"/>
                <w:sz w:val="24"/>
                <w:szCs w:val="24"/>
              </w:rPr>
              <w:lastRenderedPageBreak/>
              <w:t>hospital stay during the index admission. (Secondary Outcome)</w:t>
            </w:r>
          </w:p>
        </w:tc>
        <w:tc>
          <w:tcPr>
            <w:tcW w:w="0" w:type="auto"/>
            <w:tcBorders>
              <w:tl2br w:val="nil"/>
              <w:tr2bl w:val="nil"/>
            </w:tcBorders>
          </w:tcPr>
          <w:p w14:paraId="78EB1917"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lastRenderedPageBreak/>
              <w:t>-</w:t>
            </w:r>
          </w:p>
        </w:tc>
      </w:tr>
      <w:tr w:rsidR="00D60873" w:rsidRPr="00E77A4C" w14:paraId="4CCD74D5" w14:textId="77777777" w:rsidTr="00470735">
        <w:tc>
          <w:tcPr>
            <w:tcW w:w="0" w:type="auto"/>
            <w:tcBorders>
              <w:tl2br w:val="nil"/>
              <w:tr2bl w:val="nil"/>
            </w:tcBorders>
          </w:tcPr>
          <w:p w14:paraId="0786C7FB"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Covariates</w:t>
            </w:r>
          </w:p>
        </w:tc>
        <w:tc>
          <w:tcPr>
            <w:tcW w:w="1842" w:type="dxa"/>
            <w:tcBorders>
              <w:tl2br w:val="nil"/>
              <w:tr2bl w:val="nil"/>
            </w:tcBorders>
          </w:tcPr>
          <w:p w14:paraId="58B2AA0B"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Baseline Characteristics</w:t>
            </w:r>
          </w:p>
        </w:tc>
        <w:tc>
          <w:tcPr>
            <w:tcW w:w="2989" w:type="dxa"/>
            <w:tcBorders>
              <w:tl2br w:val="nil"/>
              <w:tr2bl w:val="nil"/>
            </w:tcBorders>
          </w:tcPr>
          <w:p w14:paraId="59325B3C" w14:textId="6EB5DCF0"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 xml:space="preserve">Clinical variables (Labs, Vitals, Scores) extracted within a window of </w:t>
            </w:r>
            <w:r w:rsidR="00470735" w:rsidRPr="00E77A4C">
              <w:rPr>
                <w:rFonts w:ascii="Times New Roman" w:eastAsia="宋体" w:hAnsi="Times New Roman" w:cs="Times New Roman"/>
                <w:sz w:val="24"/>
                <w:szCs w:val="24"/>
                <w:lang w:eastAsia="zh-CN"/>
              </w:rPr>
              <w:t>T</w:t>
            </w:r>
            <w:r w:rsidR="00470735" w:rsidRPr="00E77A4C">
              <w:rPr>
                <w:rFonts w:ascii="Times New Roman" w:eastAsia="宋体" w:hAnsi="Times New Roman" w:cs="Times New Roman"/>
                <w:sz w:val="24"/>
                <w:szCs w:val="24"/>
                <w:vertAlign w:val="subscript"/>
                <w:lang w:eastAsia="zh-CN"/>
              </w:rPr>
              <w:t>0</w:t>
            </w:r>
            <w:r w:rsidR="00470735" w:rsidRPr="00E77A4C">
              <w:rPr>
                <w:rFonts w:ascii="Times New Roman" w:hAnsi="Times New Roman" w:cs="Times New Roman"/>
                <w:sz w:val="24"/>
                <w:szCs w:val="24"/>
              </w:rPr>
              <w:t xml:space="preserve"> – 24</w:t>
            </w:r>
            <w:r w:rsidR="00470735" w:rsidRPr="00E77A4C">
              <w:rPr>
                <w:rFonts w:ascii="Times New Roman" w:eastAsia="宋体" w:hAnsi="Times New Roman" w:cs="Times New Roman"/>
                <w:sz w:val="24"/>
                <w:szCs w:val="24"/>
                <w:lang w:eastAsia="zh-CN"/>
              </w:rPr>
              <w:t xml:space="preserve"> </w:t>
            </w:r>
            <w:r w:rsidR="00470735" w:rsidRPr="00E77A4C">
              <w:rPr>
                <w:rFonts w:ascii="Times New Roman" w:hAnsi="Times New Roman" w:cs="Times New Roman"/>
                <w:sz w:val="24"/>
                <w:szCs w:val="24"/>
              </w:rPr>
              <w:t xml:space="preserve">to </w:t>
            </w:r>
            <w:r w:rsidR="00470735" w:rsidRPr="00E77A4C">
              <w:rPr>
                <w:rFonts w:ascii="Times New Roman" w:eastAsia="宋体" w:hAnsi="Times New Roman" w:cs="Times New Roman"/>
                <w:sz w:val="24"/>
                <w:szCs w:val="24"/>
                <w:lang w:eastAsia="zh-CN"/>
              </w:rPr>
              <w:t>T</w:t>
            </w:r>
            <w:r w:rsidR="00470735" w:rsidRPr="00E77A4C">
              <w:rPr>
                <w:rFonts w:ascii="Times New Roman" w:eastAsia="宋体" w:hAnsi="Times New Roman" w:cs="Times New Roman"/>
                <w:sz w:val="24"/>
                <w:szCs w:val="24"/>
                <w:vertAlign w:val="subscript"/>
                <w:lang w:eastAsia="zh-CN"/>
              </w:rPr>
              <w:t>0</w:t>
            </w:r>
            <w:r w:rsidR="00470735" w:rsidRPr="00E77A4C">
              <w:rPr>
                <w:rFonts w:ascii="Times New Roman" w:hAnsi="Times New Roman" w:cs="Times New Roman"/>
                <w:sz w:val="24"/>
                <w:szCs w:val="24"/>
              </w:rPr>
              <w:t xml:space="preserve"> + 6</w:t>
            </w:r>
            <w:r w:rsidR="00470735" w:rsidRPr="00E77A4C">
              <w:rPr>
                <w:rFonts w:ascii="Times New Roman" w:eastAsia="宋体" w:hAnsi="Times New Roman" w:cs="Times New Roman"/>
                <w:sz w:val="24"/>
                <w:szCs w:val="24"/>
                <w:lang w:eastAsia="zh-CN"/>
              </w:rPr>
              <w:t xml:space="preserve"> </w:t>
            </w:r>
            <w:r w:rsidR="00470735" w:rsidRPr="00E77A4C">
              <w:rPr>
                <w:rFonts w:ascii="Times New Roman" w:hAnsi="Times New Roman" w:cs="Times New Roman"/>
                <w:sz w:val="24"/>
                <w:szCs w:val="24"/>
              </w:rPr>
              <w:t>hours</w:t>
            </w:r>
          </w:p>
        </w:tc>
        <w:tc>
          <w:tcPr>
            <w:tcW w:w="0" w:type="auto"/>
            <w:tcBorders>
              <w:tl2br w:val="nil"/>
              <w:tr2bl w:val="nil"/>
            </w:tcBorders>
          </w:tcPr>
          <w:p w14:paraId="7BE2F492"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To reflect patient status at the onset of respiratory support.</w:t>
            </w:r>
          </w:p>
        </w:tc>
      </w:tr>
      <w:tr w:rsidR="00D60873" w:rsidRPr="00E77A4C" w14:paraId="45DBD701" w14:textId="77777777" w:rsidTr="00470735">
        <w:tc>
          <w:tcPr>
            <w:tcW w:w="0" w:type="auto"/>
            <w:tcBorders>
              <w:tl2br w:val="nil"/>
              <w:tr2bl w:val="nil"/>
            </w:tcBorders>
          </w:tcPr>
          <w:p w14:paraId="0107E986"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Covariates</w:t>
            </w:r>
          </w:p>
        </w:tc>
        <w:tc>
          <w:tcPr>
            <w:tcW w:w="1842" w:type="dxa"/>
            <w:tcBorders>
              <w:tl2br w:val="nil"/>
              <w:tr2bl w:val="nil"/>
            </w:tcBorders>
          </w:tcPr>
          <w:p w14:paraId="27965A80"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Severity Scores</w:t>
            </w:r>
          </w:p>
        </w:tc>
        <w:tc>
          <w:tcPr>
            <w:tcW w:w="2989" w:type="dxa"/>
            <w:tcBorders>
              <w:tl2br w:val="nil"/>
              <w:tr2bl w:val="nil"/>
            </w:tcBorders>
          </w:tcPr>
          <w:p w14:paraId="4E1AA968"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SOFA (MIMIC-IV) and APACHE IV (eICU-CRD) calculated using data from the first 24 hours of ICU admission.</w:t>
            </w:r>
          </w:p>
        </w:tc>
        <w:tc>
          <w:tcPr>
            <w:tcW w:w="0" w:type="auto"/>
            <w:tcBorders>
              <w:tl2br w:val="nil"/>
              <w:tr2bl w:val="nil"/>
            </w:tcBorders>
          </w:tcPr>
          <w:p w14:paraId="6FE1D601"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Used for severity adjustment.</w:t>
            </w:r>
          </w:p>
        </w:tc>
      </w:tr>
      <w:tr w:rsidR="00D60873" w:rsidRPr="00E77A4C" w14:paraId="0E4E4BCA" w14:textId="77777777" w:rsidTr="00470735">
        <w:tc>
          <w:tcPr>
            <w:tcW w:w="0" w:type="auto"/>
            <w:tcBorders>
              <w:tl2br w:val="nil"/>
              <w:tr2bl w:val="nil"/>
            </w:tcBorders>
          </w:tcPr>
          <w:p w14:paraId="1DD417E8"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Treatment</w:t>
            </w:r>
          </w:p>
        </w:tc>
        <w:tc>
          <w:tcPr>
            <w:tcW w:w="1842" w:type="dxa"/>
            <w:tcBorders>
              <w:tl2br w:val="nil"/>
              <w:tr2bl w:val="nil"/>
            </w:tcBorders>
          </w:tcPr>
          <w:p w14:paraId="6CA5F140"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Vasopressor Use</w:t>
            </w:r>
          </w:p>
        </w:tc>
        <w:tc>
          <w:tcPr>
            <w:tcW w:w="2989" w:type="dxa"/>
            <w:tcBorders>
              <w:tl2br w:val="nil"/>
              <w:tr2bl w:val="nil"/>
            </w:tcBorders>
          </w:tcPr>
          <w:p w14:paraId="35251984"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Administration of norepinephrine, epinephrine, dopamine, phenylephrine, or vasopressin within T₀ +/- 24 hours.</w:t>
            </w:r>
          </w:p>
        </w:tc>
        <w:tc>
          <w:tcPr>
            <w:tcW w:w="0" w:type="auto"/>
            <w:tcBorders>
              <w:tl2br w:val="nil"/>
              <w:tr2bl w:val="nil"/>
            </w:tcBorders>
          </w:tcPr>
          <w:p w14:paraId="6B509AC4"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Continuous infusion records.</w:t>
            </w:r>
          </w:p>
        </w:tc>
      </w:tr>
      <w:tr w:rsidR="00D60873" w:rsidRPr="00E77A4C" w14:paraId="02ECEC17" w14:textId="77777777" w:rsidTr="00470735">
        <w:tc>
          <w:tcPr>
            <w:tcW w:w="0" w:type="auto"/>
            <w:tcBorders>
              <w:tl2br w:val="nil"/>
              <w:tr2bl w:val="nil"/>
            </w:tcBorders>
          </w:tcPr>
          <w:p w14:paraId="6CBE3E26"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Comorbidities</w:t>
            </w:r>
          </w:p>
        </w:tc>
        <w:tc>
          <w:tcPr>
            <w:tcW w:w="1842" w:type="dxa"/>
            <w:tcBorders>
              <w:tl2br w:val="nil"/>
              <w:tr2bl w:val="nil"/>
            </w:tcBorders>
          </w:tcPr>
          <w:p w14:paraId="596339BB"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Charlson Comorbidity Index (CCI)</w:t>
            </w:r>
          </w:p>
        </w:tc>
        <w:tc>
          <w:tcPr>
            <w:tcW w:w="2989" w:type="dxa"/>
            <w:tcBorders>
              <w:tl2br w:val="nil"/>
              <w:tr2bl w:val="nil"/>
            </w:tcBorders>
          </w:tcPr>
          <w:p w14:paraId="4EAA9393"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Calculated using ICD-9/10 diagnosis codes recorded at hospital discharge.</w:t>
            </w:r>
          </w:p>
        </w:tc>
        <w:tc>
          <w:tcPr>
            <w:tcW w:w="0" w:type="auto"/>
            <w:tcBorders>
              <w:tl2br w:val="nil"/>
              <w:tr2bl w:val="nil"/>
            </w:tcBorders>
          </w:tcPr>
          <w:p w14:paraId="00EC43AD" w14:textId="77777777" w:rsidR="00D60873" w:rsidRPr="00E77A4C" w:rsidRDefault="00000000" w:rsidP="00470735">
            <w:pPr>
              <w:spacing w:after="0" w:line="360" w:lineRule="auto"/>
              <w:rPr>
                <w:rFonts w:ascii="Times New Roman" w:hAnsi="Times New Roman" w:cs="Times New Roman"/>
                <w:sz w:val="24"/>
                <w:szCs w:val="24"/>
              </w:rPr>
            </w:pPr>
            <w:r w:rsidRPr="00E77A4C">
              <w:rPr>
                <w:rFonts w:ascii="Times New Roman" w:hAnsi="Times New Roman" w:cs="Times New Roman"/>
                <w:sz w:val="24"/>
                <w:szCs w:val="24"/>
              </w:rPr>
              <w:t>Standard weights applied.</w:t>
            </w:r>
          </w:p>
        </w:tc>
      </w:tr>
    </w:tbl>
    <w:p w14:paraId="1D2603F2" w14:textId="77777777" w:rsidR="00D60873" w:rsidRPr="00E77A4C" w:rsidRDefault="00D60873" w:rsidP="00470735">
      <w:pPr>
        <w:spacing w:line="360" w:lineRule="auto"/>
        <w:rPr>
          <w:rStyle w:val="afc"/>
          <w:rFonts w:ascii="Times New Roman" w:eastAsia="宋体" w:hAnsi="Times New Roman" w:cs="Times New Roman"/>
          <w:sz w:val="24"/>
          <w:szCs w:val="24"/>
          <w:lang w:eastAsia="zh-CN"/>
        </w:rPr>
      </w:pPr>
      <w:bookmarkStart w:id="1" w:name="OLE_LINK4"/>
    </w:p>
    <w:bookmarkEnd w:id="1"/>
    <w:p w14:paraId="70B5E2F6" w14:textId="48D1F663" w:rsidR="00D60873" w:rsidRPr="00E77A4C" w:rsidRDefault="00643EE8" w:rsidP="00643EE8">
      <w:pPr>
        <w:spacing w:line="360" w:lineRule="auto"/>
        <w:rPr>
          <w:rFonts w:ascii="Times New Roman" w:eastAsia="宋体" w:hAnsi="Times New Roman" w:cs="Times New Roman"/>
          <w:b/>
          <w:bCs/>
          <w:sz w:val="24"/>
          <w:szCs w:val="24"/>
          <w:lang w:eastAsia="zh-CN"/>
        </w:rPr>
      </w:pPr>
      <w:r w:rsidRPr="00643EE8">
        <w:rPr>
          <w:rFonts w:ascii="Times New Roman" w:hAnsi="Times New Roman" w:cs="Times New Roman"/>
          <w:sz w:val="24"/>
          <w:szCs w:val="24"/>
        </w:rPr>
        <w:t>This table details the standardized definitions and operational criteria applied to key study variables, including eligibility criteria, exposure definitions (serum phosphate trajectory patterns), primary and secondary outcomes, comorbidities, severity measures, and treatment variables. Time Zero (T₀) was defined as the initiation of respiratory support. Database-specific extraction and harmonization procedures for MIMIC-IV and eICU-CRD are presented to facilitate consistent interpretation across cohorts.</w:t>
      </w:r>
    </w:p>
    <w:sectPr w:rsidR="00D60873" w:rsidRPr="00E77A4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0A3C" w14:textId="77777777" w:rsidR="009C15AF" w:rsidRDefault="009C15AF">
      <w:pPr>
        <w:spacing w:line="240" w:lineRule="auto"/>
      </w:pPr>
      <w:r>
        <w:separator/>
      </w:r>
    </w:p>
  </w:endnote>
  <w:endnote w:type="continuationSeparator" w:id="0">
    <w:p w14:paraId="77B4455C" w14:textId="77777777" w:rsidR="009C15AF" w:rsidRDefault="009C1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30790"/>
    </w:sdtPr>
    <w:sdtContent>
      <w:p w14:paraId="2CF38424" w14:textId="77777777" w:rsidR="00D60873" w:rsidRDefault="00000000">
        <w:pPr>
          <w:pStyle w:val="ab"/>
          <w:jc w:val="center"/>
        </w:pPr>
        <w:r>
          <w:fldChar w:fldCharType="begin"/>
        </w:r>
        <w:r>
          <w:instrText>PAGE   \* MERGEFORMAT</w:instrText>
        </w:r>
        <w:r>
          <w:fldChar w:fldCharType="separate"/>
        </w:r>
        <w:r>
          <w:rPr>
            <w:lang w:val="zh-CN" w:eastAsia="zh-CN"/>
          </w:rPr>
          <w:t>2</w:t>
        </w:r>
        <w:r>
          <w:fldChar w:fldCharType="end"/>
        </w:r>
      </w:p>
    </w:sdtContent>
  </w:sdt>
  <w:p w14:paraId="15212A9A" w14:textId="77777777" w:rsidR="00D60873" w:rsidRDefault="00D6087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375E" w14:textId="77777777" w:rsidR="009C15AF" w:rsidRDefault="009C15AF">
      <w:pPr>
        <w:spacing w:after="0"/>
      </w:pPr>
      <w:r>
        <w:separator/>
      </w:r>
    </w:p>
  </w:footnote>
  <w:footnote w:type="continuationSeparator" w:id="0">
    <w:p w14:paraId="26EE961A" w14:textId="77777777" w:rsidR="009C15AF" w:rsidRDefault="009C15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271400110">
    <w:abstractNumId w:val="1"/>
  </w:num>
  <w:num w:numId="2" w16cid:durableId="4095349">
    <w:abstractNumId w:val="4"/>
  </w:num>
  <w:num w:numId="3" w16cid:durableId="137378020">
    <w:abstractNumId w:val="5"/>
  </w:num>
  <w:num w:numId="4" w16cid:durableId="410468031">
    <w:abstractNumId w:val="2"/>
  </w:num>
  <w:num w:numId="5" w16cid:durableId="1523282556">
    <w:abstractNumId w:val="0"/>
  </w:num>
  <w:num w:numId="6" w16cid:durableId="23023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48D"/>
    <w:rsid w:val="0006063C"/>
    <w:rsid w:val="000A1497"/>
    <w:rsid w:val="000A213B"/>
    <w:rsid w:val="000B1508"/>
    <w:rsid w:val="001074F9"/>
    <w:rsid w:val="001204E1"/>
    <w:rsid w:val="001435DD"/>
    <w:rsid w:val="0015074B"/>
    <w:rsid w:val="002702E8"/>
    <w:rsid w:val="0029639D"/>
    <w:rsid w:val="002B1BF5"/>
    <w:rsid w:val="002C58E9"/>
    <w:rsid w:val="00326F90"/>
    <w:rsid w:val="003404A3"/>
    <w:rsid w:val="00374762"/>
    <w:rsid w:val="00380272"/>
    <w:rsid w:val="003A7078"/>
    <w:rsid w:val="00470735"/>
    <w:rsid w:val="00476D3E"/>
    <w:rsid w:val="004C62BC"/>
    <w:rsid w:val="004D7037"/>
    <w:rsid w:val="005A55D4"/>
    <w:rsid w:val="005B49F8"/>
    <w:rsid w:val="005E11DC"/>
    <w:rsid w:val="005E403E"/>
    <w:rsid w:val="005F53A3"/>
    <w:rsid w:val="00604A0E"/>
    <w:rsid w:val="00631C5B"/>
    <w:rsid w:val="00643EE8"/>
    <w:rsid w:val="006B1776"/>
    <w:rsid w:val="007179D8"/>
    <w:rsid w:val="00772307"/>
    <w:rsid w:val="00793458"/>
    <w:rsid w:val="007A1CBC"/>
    <w:rsid w:val="007A61BA"/>
    <w:rsid w:val="007E787E"/>
    <w:rsid w:val="007F5FA5"/>
    <w:rsid w:val="00820CEE"/>
    <w:rsid w:val="00877234"/>
    <w:rsid w:val="008B3686"/>
    <w:rsid w:val="008B7D2A"/>
    <w:rsid w:val="008D2248"/>
    <w:rsid w:val="00922C4E"/>
    <w:rsid w:val="00963D01"/>
    <w:rsid w:val="009C15AF"/>
    <w:rsid w:val="009C6864"/>
    <w:rsid w:val="009E4AA8"/>
    <w:rsid w:val="009F6A5D"/>
    <w:rsid w:val="00A17A4E"/>
    <w:rsid w:val="00A24E57"/>
    <w:rsid w:val="00A36DC4"/>
    <w:rsid w:val="00AA1D8D"/>
    <w:rsid w:val="00AB1AEC"/>
    <w:rsid w:val="00AE3A75"/>
    <w:rsid w:val="00AE77B5"/>
    <w:rsid w:val="00AF6EA7"/>
    <w:rsid w:val="00B02425"/>
    <w:rsid w:val="00B47730"/>
    <w:rsid w:val="00B92AD7"/>
    <w:rsid w:val="00BC770A"/>
    <w:rsid w:val="00C82428"/>
    <w:rsid w:val="00C87E71"/>
    <w:rsid w:val="00CA0A90"/>
    <w:rsid w:val="00CB0664"/>
    <w:rsid w:val="00CC4AAF"/>
    <w:rsid w:val="00CC6157"/>
    <w:rsid w:val="00CF0928"/>
    <w:rsid w:val="00CF3528"/>
    <w:rsid w:val="00D20F77"/>
    <w:rsid w:val="00D27C61"/>
    <w:rsid w:val="00D44E40"/>
    <w:rsid w:val="00D470E1"/>
    <w:rsid w:val="00D60873"/>
    <w:rsid w:val="00DE250C"/>
    <w:rsid w:val="00DF66C1"/>
    <w:rsid w:val="00E062D4"/>
    <w:rsid w:val="00E77A4C"/>
    <w:rsid w:val="00E937A5"/>
    <w:rsid w:val="00EB3B35"/>
    <w:rsid w:val="00ED7ACA"/>
    <w:rsid w:val="00F17D6C"/>
    <w:rsid w:val="00F614C8"/>
    <w:rsid w:val="00FB37E6"/>
    <w:rsid w:val="00FC693F"/>
    <w:rsid w:val="17C7517C"/>
    <w:rsid w:val="2E524793"/>
    <w:rsid w:val="4C17033C"/>
    <w:rsid w:val="598E7AF5"/>
    <w:rsid w:val="7954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E0B98"/>
  <w14:defaultImageDpi w14:val="300"/>
  <w15:docId w15:val="{7056EE47-F745-4079-8B94-1895D10E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qFormat="1"/>
    <w:lsdException w:name="Light Grid" w:uiPriority="62"/>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qFormat="1"/>
    <w:lsdException w:name="Medium Grid 3 Accent 2" w:uiPriority="69"/>
    <w:lsdException w:name="Dark List Accent 2" w:uiPriority="70" w:qFormat="1"/>
    <w:lsdException w:name="Colorful Shading Accent 2" w:uiPriority="7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qFormat="1"/>
    <w:lsdException w:name="Medium Grid 3 Accent 5" w:uiPriority="69" w:qFormat="1"/>
    <w:lsdException w:name="Dark List Accent 5" w:uiPriority="70" w:qFormat="1"/>
    <w:lsdException w:name="Colorful Shading Accent 5" w:uiPriority="71"/>
    <w:lsdException w:name="Colorful List Accent 5" w:uiPriority="72" w:qFormat="1"/>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lsdException w:name="Medium List 2 Accent 6" w:uiPriority="66" w:qFormat="1"/>
    <w:lsdException w:name="Medium Grid 1 Accent 6" w:uiPriority="67" w:qFormat="1"/>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qFormat/>
    <w:pPr>
      <w:numPr>
        <w:numId w:val="3"/>
      </w:numPr>
      <w:contextualSpacing/>
    </w:pPr>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8">
    <w:name w:val="Body Text"/>
    <w:basedOn w:val="a1"/>
    <w:link w:val="a9"/>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3">
    <w:name w:val="List 2"/>
    <w:basedOn w:val="a1"/>
    <w:uiPriority w:val="99"/>
    <w:unhideWhenUsed/>
    <w:qFormat/>
    <w:pPr>
      <w:ind w:left="720" w:hanging="360"/>
      <w:contextualSpacing/>
    </w:pPr>
  </w:style>
  <w:style w:type="paragraph" w:styleId="aa">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b">
    <w:name w:val="footer"/>
    <w:basedOn w:val="a1"/>
    <w:link w:val="ac"/>
    <w:uiPriority w:val="99"/>
    <w:unhideWhenUsed/>
    <w:qFormat/>
    <w:pPr>
      <w:tabs>
        <w:tab w:val="center" w:pos="4680"/>
        <w:tab w:val="right" w:pos="9360"/>
      </w:tabs>
      <w:spacing w:after="0" w:line="240" w:lineRule="auto"/>
    </w:pPr>
  </w:style>
  <w:style w:type="paragraph" w:styleId="ad">
    <w:name w:val="header"/>
    <w:basedOn w:val="a1"/>
    <w:link w:val="ae"/>
    <w:uiPriority w:val="99"/>
    <w:unhideWhenUsed/>
    <w:qFormat/>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style>
  <w:style w:type="character" w:customStyle="1" w:styleId="ac">
    <w:name w:val="页脚 字符"/>
    <w:basedOn w:val="a2"/>
    <w:link w:val="ab"/>
    <w:uiPriority w:val="99"/>
    <w:qFormat/>
  </w:style>
  <w:style w:type="paragraph" w:styleId="afe">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style>
  <w:style w:type="character" w:customStyle="1" w:styleId="25">
    <w:name w:val="正文文本 2 字符"/>
    <w:basedOn w:val="a2"/>
    <w:link w:val="24"/>
    <w:uiPriority w:val="99"/>
    <w:qFormat/>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yinqing su</cp:lastModifiedBy>
  <cp:revision>2</cp:revision>
  <dcterms:created xsi:type="dcterms:W3CDTF">2026-02-14T04:46:00Z</dcterms:created>
  <dcterms:modified xsi:type="dcterms:W3CDTF">2026-02-14T04:46:00Z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eyJoZGlkIjoiOTc3M2Y5NzIzMDFlZjAyY2Q4Njk5ODkyYjFjNzBiNTQiLCJ1c2VySWQiOiIzMTgyODIzMTcifQ==</vt:lpwstr>
  </property>
  <property fmtid="{D5CDD505-2E9C-101B-9397-08002B2CF9AE}" pid="3" name="KSOProductBuildVer">
    <vt:lpwstr>2052-12.1.0.24034</vt:lpwstr>
  </property>
  <property fmtid="{D5CDD505-2E9C-101B-9397-08002B2CF9AE}" pid="4" name="ICV">
    <vt:lpwstr>7B27AE543CA444BD8C2E525EE7794143_12</vt:lpwstr>
  </property>
</Properties>
</file>