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3A607" w14:textId="72BFE53D" w:rsidR="008B7D2A" w:rsidRPr="007179D8" w:rsidRDefault="00000000" w:rsidP="007179D8">
      <w:pPr>
        <w:spacing w:line="360" w:lineRule="auto"/>
        <w:jc w:val="center"/>
        <w:rPr>
          <w:rFonts w:ascii="Times New Roman" w:eastAsia="宋体" w:hAnsi="Times New Roman" w:cs="Times New Roman"/>
          <w:b/>
          <w:bCs/>
          <w:sz w:val="28"/>
          <w:szCs w:val="28"/>
          <w:lang w:eastAsia="zh-CN"/>
        </w:rPr>
      </w:pPr>
      <w:bookmarkStart w:id="0" w:name="OLE_LINK1"/>
      <w:r w:rsidRPr="007179D8">
        <w:rPr>
          <w:rFonts w:ascii="Times New Roman" w:hAnsi="Times New Roman" w:cs="Times New Roman"/>
          <w:b/>
          <w:bCs/>
          <w:sz w:val="28"/>
          <w:szCs w:val="28"/>
        </w:rPr>
        <w:t>Supplementary</w:t>
      </w:r>
      <w:bookmarkEnd w:id="0"/>
      <w:r w:rsidRPr="007179D8">
        <w:rPr>
          <w:rFonts w:ascii="Times New Roman" w:hAnsi="Times New Roman" w:cs="Times New Roman"/>
          <w:b/>
          <w:bCs/>
          <w:sz w:val="28"/>
          <w:szCs w:val="28"/>
        </w:rPr>
        <w:t xml:space="preserve"> </w:t>
      </w:r>
      <w:r w:rsidR="004A2576">
        <w:rPr>
          <w:rFonts w:ascii="Times New Roman" w:eastAsia="宋体" w:hAnsi="Times New Roman" w:cs="Times New Roman" w:hint="eastAsia"/>
          <w:b/>
          <w:bCs/>
          <w:sz w:val="28"/>
          <w:szCs w:val="28"/>
          <w:lang w:eastAsia="zh-CN"/>
        </w:rPr>
        <w:t>Figures</w:t>
      </w:r>
    </w:p>
    <w:p w14:paraId="413F4A8E" w14:textId="47AD2C66" w:rsidR="00916FB5" w:rsidRDefault="00916FB5" w:rsidP="007179D8">
      <w:pPr>
        <w:spacing w:line="360" w:lineRule="auto"/>
        <w:rPr>
          <w:rStyle w:val="afc"/>
          <w:rFonts w:ascii="Times New Roman" w:eastAsia="宋体" w:hAnsi="Times New Roman" w:cs="Times New Roman"/>
          <w:sz w:val="24"/>
          <w:szCs w:val="24"/>
          <w:lang w:eastAsia="zh-CN"/>
        </w:rPr>
      </w:pPr>
    </w:p>
    <w:p w14:paraId="6CB80EA6" w14:textId="07EB8A8B" w:rsidR="00916FB5" w:rsidRDefault="00916FB5" w:rsidP="00916FB5">
      <w:pPr>
        <w:spacing w:line="360" w:lineRule="auto"/>
        <w:jc w:val="center"/>
        <w:rPr>
          <w:rStyle w:val="afc"/>
          <w:rFonts w:ascii="Times New Roman" w:eastAsia="宋体" w:hAnsi="Times New Roman" w:cs="Times New Roman"/>
          <w:sz w:val="24"/>
          <w:szCs w:val="24"/>
          <w:lang w:eastAsia="zh-CN"/>
        </w:rPr>
      </w:pPr>
      <w:r w:rsidRPr="00916FB5">
        <w:rPr>
          <w:rStyle w:val="afc"/>
          <w:rFonts w:ascii="Times New Roman" w:hAnsi="Times New Roman" w:cs="Times New Roman"/>
          <w:sz w:val="24"/>
          <w:szCs w:val="24"/>
        </w:rPr>
        <w:t>Figure S1. Flow diagram of patient selection in the derivation and validation cohorts</w:t>
      </w:r>
    </w:p>
    <w:p w14:paraId="46CAF8AF" w14:textId="722EAC84" w:rsidR="00916FB5" w:rsidRDefault="00916FB5" w:rsidP="007179D8">
      <w:pPr>
        <w:spacing w:line="360" w:lineRule="auto"/>
        <w:rPr>
          <w:rStyle w:val="afc"/>
          <w:rFonts w:ascii="Times New Roman" w:eastAsia="宋体" w:hAnsi="Times New Roman" w:cs="Times New Roman"/>
          <w:sz w:val="24"/>
          <w:szCs w:val="24"/>
          <w:lang w:eastAsia="zh-CN"/>
        </w:rPr>
      </w:pPr>
      <w:r w:rsidRPr="007179D8">
        <w:rPr>
          <w:rFonts w:ascii="Times New Roman" w:eastAsia="宋体" w:hAnsi="Times New Roman" w:cs="Times New Roman"/>
          <w:b/>
          <w:bCs/>
          <w:noProof/>
          <w:sz w:val="24"/>
          <w:szCs w:val="24"/>
          <w:lang w:eastAsia="zh-CN"/>
        </w:rPr>
        <w:drawing>
          <wp:anchor distT="0" distB="0" distL="114300" distR="114300" simplePos="0" relativeHeight="251644416" behindDoc="0" locked="0" layoutInCell="1" allowOverlap="1" wp14:anchorId="2B26ED6D" wp14:editId="71F951FC">
            <wp:simplePos x="0" y="0"/>
            <wp:positionH relativeFrom="column">
              <wp:posOffset>0</wp:posOffset>
            </wp:positionH>
            <wp:positionV relativeFrom="paragraph">
              <wp:posOffset>485775</wp:posOffset>
            </wp:positionV>
            <wp:extent cx="5943600" cy="2807655"/>
            <wp:effectExtent l="0" t="0" r="0" b="0"/>
            <wp:wrapTopAndBottom/>
            <wp:docPr id="12195492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807655"/>
                    </a:xfrm>
                    <a:prstGeom prst="rect">
                      <a:avLst/>
                    </a:prstGeom>
                    <a:noFill/>
                    <a:ln>
                      <a:noFill/>
                    </a:ln>
                  </pic:spPr>
                </pic:pic>
              </a:graphicData>
            </a:graphic>
          </wp:anchor>
        </w:drawing>
      </w:r>
    </w:p>
    <w:p w14:paraId="3148D469" w14:textId="6B06557B" w:rsidR="00916FB5" w:rsidRDefault="00916FB5" w:rsidP="007179D8">
      <w:pPr>
        <w:spacing w:line="360" w:lineRule="auto"/>
        <w:rPr>
          <w:rStyle w:val="afc"/>
          <w:rFonts w:ascii="Times New Roman" w:eastAsia="宋体" w:hAnsi="Times New Roman" w:cs="Times New Roman" w:hint="eastAsia"/>
          <w:sz w:val="24"/>
          <w:szCs w:val="24"/>
          <w:lang w:eastAsia="zh-CN"/>
        </w:rPr>
      </w:pPr>
    </w:p>
    <w:p w14:paraId="0452F43E" w14:textId="67166BB3" w:rsidR="00916FB5" w:rsidRPr="00916FB5" w:rsidRDefault="00916FB5" w:rsidP="00916FB5">
      <w:pPr>
        <w:spacing w:line="360" w:lineRule="auto"/>
        <w:rPr>
          <w:rFonts w:ascii="Times New Roman" w:hAnsi="Times New Roman" w:cs="Times New Roman"/>
          <w:sz w:val="24"/>
          <w:szCs w:val="24"/>
        </w:rPr>
      </w:pPr>
      <w:r w:rsidRPr="00916FB5">
        <w:rPr>
          <w:rFonts w:ascii="Times New Roman" w:hAnsi="Times New Roman" w:cs="Times New Roman"/>
          <w:sz w:val="24"/>
          <w:szCs w:val="24"/>
        </w:rPr>
        <w:t>Flow diagram illustrating the inclusion and exclusion process for the MIMIC-IV derivation cohort and the eICU-CRD validation cohort, resulting in the final study populations. All analyses were referenced to Time Zero (T₀), defined as the initiation of respiratory support in both databases.</w:t>
      </w:r>
    </w:p>
    <w:p w14:paraId="7D70952F" w14:textId="6223BCDD" w:rsidR="00916FB5" w:rsidRPr="00916FB5" w:rsidRDefault="00916FB5" w:rsidP="00916FB5">
      <w:pPr>
        <w:spacing w:line="360" w:lineRule="auto"/>
        <w:rPr>
          <w:rFonts w:ascii="Times New Roman" w:hAnsi="Times New Roman" w:cs="Times New Roman"/>
          <w:sz w:val="24"/>
          <w:szCs w:val="24"/>
        </w:rPr>
      </w:pPr>
    </w:p>
    <w:p w14:paraId="631821C9" w14:textId="1F59BA1B" w:rsidR="00916FB5" w:rsidRPr="00916FB5" w:rsidRDefault="00916FB5" w:rsidP="00916FB5">
      <w:pPr>
        <w:spacing w:line="360" w:lineRule="auto"/>
        <w:rPr>
          <w:rFonts w:ascii="Times New Roman" w:hAnsi="Times New Roman" w:cs="Times New Roman"/>
          <w:sz w:val="24"/>
          <w:szCs w:val="24"/>
        </w:rPr>
      </w:pPr>
      <w:r w:rsidRPr="00916FB5">
        <w:rPr>
          <w:rFonts w:ascii="Times New Roman" w:hAnsi="Times New Roman" w:cs="Times New Roman"/>
          <w:sz w:val="24"/>
          <w:szCs w:val="24"/>
        </w:rPr>
        <w:t>ARDS in MIMIC-IV was identified according to the 2023 Global ARDS Definition, whereas ARDS in eICU-CRD was operationally defined using ICD diagnosis codes and documented mechanical ventilation. The number of excluded patients at each step is displayed within the respective panels.</w:t>
      </w:r>
    </w:p>
    <w:p w14:paraId="2FD503A6" w14:textId="77777777" w:rsidR="00916FB5" w:rsidRPr="00916FB5" w:rsidRDefault="00916FB5" w:rsidP="00916FB5">
      <w:pPr>
        <w:spacing w:line="360" w:lineRule="auto"/>
        <w:rPr>
          <w:rFonts w:ascii="Times New Roman" w:hAnsi="Times New Roman" w:cs="Times New Roman"/>
          <w:sz w:val="24"/>
          <w:szCs w:val="24"/>
        </w:rPr>
      </w:pPr>
    </w:p>
    <w:p w14:paraId="66FBC184" w14:textId="19F9B2CD" w:rsidR="008B7D2A" w:rsidRDefault="00916FB5" w:rsidP="00916FB5">
      <w:pPr>
        <w:spacing w:line="360" w:lineRule="auto"/>
        <w:rPr>
          <w:rFonts w:ascii="Times New Roman" w:eastAsia="宋体" w:hAnsi="Times New Roman" w:cs="Times New Roman"/>
          <w:sz w:val="24"/>
          <w:szCs w:val="24"/>
          <w:lang w:eastAsia="zh-CN"/>
        </w:rPr>
      </w:pPr>
      <w:r w:rsidRPr="00916FB5">
        <w:rPr>
          <w:rFonts w:ascii="Times New Roman" w:hAnsi="Times New Roman" w:cs="Times New Roman"/>
          <w:sz w:val="24"/>
          <w:szCs w:val="24"/>
        </w:rPr>
        <w:lastRenderedPageBreak/>
        <w:t>Abbreviations: ARDS, acute respiratory distress syndrome; MIMIC-IV, Medical Information Mart for Intensive Care IV; eICU-CRD, eICU Collaborative Research Database; T₀, initiation of respiratory support.</w:t>
      </w:r>
    </w:p>
    <w:p w14:paraId="25DB5446" w14:textId="2826B167" w:rsidR="007179D8" w:rsidRDefault="007179D8" w:rsidP="007179D8">
      <w:pPr>
        <w:spacing w:line="360" w:lineRule="auto"/>
        <w:rPr>
          <w:rStyle w:val="afc"/>
          <w:rFonts w:ascii="Times New Roman" w:eastAsia="宋体" w:hAnsi="Times New Roman" w:cs="Times New Roman"/>
          <w:sz w:val="24"/>
          <w:szCs w:val="24"/>
          <w:lang w:eastAsia="zh-CN"/>
        </w:rPr>
      </w:pPr>
    </w:p>
    <w:p w14:paraId="6C309FEA" w14:textId="4E0FA332" w:rsidR="00916FB5" w:rsidRDefault="00916FB5" w:rsidP="00916FB5">
      <w:pPr>
        <w:spacing w:line="360" w:lineRule="auto"/>
        <w:jc w:val="center"/>
        <w:rPr>
          <w:rStyle w:val="afc"/>
          <w:rFonts w:ascii="Times New Roman" w:eastAsia="宋体" w:hAnsi="Times New Roman" w:cs="Times New Roman"/>
          <w:sz w:val="24"/>
          <w:szCs w:val="24"/>
          <w:lang w:eastAsia="zh-CN"/>
        </w:rPr>
      </w:pPr>
      <w:r w:rsidRPr="007179D8">
        <w:rPr>
          <w:rFonts w:ascii="Times New Roman" w:eastAsia="宋体" w:hAnsi="Times New Roman" w:cs="Times New Roman"/>
          <w:noProof/>
          <w:sz w:val="24"/>
          <w:szCs w:val="24"/>
          <w:lang w:eastAsia="zh-CN"/>
        </w:rPr>
        <w:drawing>
          <wp:anchor distT="0" distB="0" distL="114300" distR="114300" simplePos="0" relativeHeight="251651584" behindDoc="0" locked="0" layoutInCell="1" allowOverlap="1" wp14:anchorId="3F577A9A" wp14:editId="0F382D9B">
            <wp:simplePos x="0" y="0"/>
            <wp:positionH relativeFrom="column">
              <wp:posOffset>622300</wp:posOffset>
            </wp:positionH>
            <wp:positionV relativeFrom="paragraph">
              <wp:posOffset>593090</wp:posOffset>
            </wp:positionV>
            <wp:extent cx="4691602" cy="2639027"/>
            <wp:effectExtent l="0" t="0" r="0" b="9525"/>
            <wp:wrapTopAndBottom/>
            <wp:docPr id="137057431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574314" name="图片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691602" cy="2639027"/>
                    </a:xfrm>
                    <a:prstGeom prst="rect">
                      <a:avLst/>
                    </a:prstGeom>
                    <a:noFill/>
                    <a:ln>
                      <a:noFill/>
                    </a:ln>
                  </pic:spPr>
                </pic:pic>
              </a:graphicData>
            </a:graphic>
          </wp:anchor>
        </w:drawing>
      </w:r>
      <w:r w:rsidRPr="00916FB5">
        <w:rPr>
          <w:rStyle w:val="afc"/>
          <w:rFonts w:ascii="Times New Roman" w:hAnsi="Times New Roman" w:cs="Times New Roman"/>
          <w:sz w:val="24"/>
          <w:szCs w:val="24"/>
        </w:rPr>
        <w:t>Figure S2. Sensitivity analysis adjusting for measurement frequency</w:t>
      </w:r>
    </w:p>
    <w:p w14:paraId="15873A0A" w14:textId="77777777" w:rsidR="00916FB5" w:rsidRDefault="00916FB5" w:rsidP="007179D8">
      <w:pPr>
        <w:spacing w:line="360" w:lineRule="auto"/>
        <w:rPr>
          <w:rFonts w:ascii="Times New Roman" w:eastAsia="宋体" w:hAnsi="Times New Roman" w:cs="Times New Roman"/>
          <w:sz w:val="24"/>
          <w:szCs w:val="24"/>
          <w:lang w:eastAsia="zh-CN"/>
        </w:rPr>
      </w:pPr>
    </w:p>
    <w:p w14:paraId="0C84EC10" w14:textId="77777777" w:rsidR="00916FB5" w:rsidRPr="00916FB5" w:rsidRDefault="00916FB5" w:rsidP="00916FB5">
      <w:pPr>
        <w:spacing w:line="360" w:lineRule="auto"/>
        <w:rPr>
          <w:rFonts w:ascii="Times New Roman" w:hAnsi="Times New Roman" w:cs="Times New Roman"/>
          <w:sz w:val="24"/>
          <w:szCs w:val="24"/>
        </w:rPr>
      </w:pPr>
      <w:r w:rsidRPr="00916FB5">
        <w:rPr>
          <w:rFonts w:ascii="Times New Roman" w:hAnsi="Times New Roman" w:cs="Times New Roman"/>
          <w:sz w:val="24"/>
          <w:szCs w:val="24"/>
        </w:rPr>
        <w:t>Forest plot displaying adjusted odds ratios (ORs) for 30-day mortality comparing the Persistent High phosphate trajectory pattern with the Normal trajectory pattern (reference group). The primary multivariable model was additionally adjusted for the total number of serum phosphate measurements obtained during the 7-day observation window, entered as a continuous covariate. This analysis was conducted to assess potential surveillance bias related to differential measurement frequency.</w:t>
      </w:r>
    </w:p>
    <w:p w14:paraId="6260D6C9" w14:textId="77777777" w:rsidR="00916FB5" w:rsidRPr="00916FB5" w:rsidRDefault="00916FB5" w:rsidP="00916FB5">
      <w:pPr>
        <w:spacing w:line="360" w:lineRule="auto"/>
        <w:rPr>
          <w:rFonts w:ascii="Times New Roman" w:hAnsi="Times New Roman" w:cs="Times New Roman"/>
          <w:sz w:val="24"/>
          <w:szCs w:val="24"/>
        </w:rPr>
      </w:pPr>
    </w:p>
    <w:p w14:paraId="7AA37A95" w14:textId="381CC6F8" w:rsidR="007179D8" w:rsidRPr="007179D8" w:rsidRDefault="00916FB5" w:rsidP="00916FB5">
      <w:pPr>
        <w:spacing w:line="360" w:lineRule="auto"/>
        <w:rPr>
          <w:rFonts w:ascii="Times New Roman" w:eastAsia="宋体" w:hAnsi="Times New Roman" w:cs="Times New Roman"/>
          <w:sz w:val="24"/>
          <w:szCs w:val="24"/>
          <w:lang w:eastAsia="zh-CN"/>
        </w:rPr>
      </w:pPr>
      <w:r w:rsidRPr="00916FB5">
        <w:rPr>
          <w:rFonts w:ascii="Times New Roman" w:hAnsi="Times New Roman" w:cs="Times New Roman"/>
          <w:sz w:val="24"/>
          <w:szCs w:val="24"/>
        </w:rPr>
        <w:t>Abbreviations: OR, odds ratio; CI, confidence interval.</w:t>
      </w:r>
    </w:p>
    <w:p w14:paraId="7876B891" w14:textId="4D7DD946" w:rsidR="008B7D2A" w:rsidRPr="007179D8" w:rsidRDefault="008B7D2A" w:rsidP="007179D8">
      <w:pPr>
        <w:spacing w:line="360" w:lineRule="auto"/>
        <w:rPr>
          <w:rFonts w:ascii="Times New Roman" w:eastAsia="宋体" w:hAnsi="Times New Roman" w:cs="Times New Roman"/>
          <w:sz w:val="24"/>
          <w:szCs w:val="24"/>
          <w:lang w:eastAsia="zh-CN"/>
        </w:rPr>
      </w:pPr>
    </w:p>
    <w:p w14:paraId="05F3A4AB" w14:textId="6F00E2CD" w:rsidR="00BE480C" w:rsidRPr="00BE480C" w:rsidRDefault="00916FB5" w:rsidP="00BE480C">
      <w:pPr>
        <w:spacing w:line="360" w:lineRule="auto"/>
        <w:jc w:val="center"/>
        <w:rPr>
          <w:rStyle w:val="afc"/>
          <w:rFonts w:ascii="Times New Roman" w:eastAsia="宋体" w:hAnsi="Times New Roman" w:cs="Times New Roman" w:hint="eastAsia"/>
          <w:sz w:val="24"/>
          <w:szCs w:val="24"/>
          <w:lang w:eastAsia="zh-CN"/>
        </w:rPr>
      </w:pPr>
      <w:r w:rsidRPr="007179D8">
        <w:rPr>
          <w:rFonts w:ascii="Times New Roman" w:eastAsia="宋体" w:hAnsi="Times New Roman" w:cs="Times New Roman"/>
          <w:i/>
          <w:iCs/>
          <w:noProof/>
          <w:sz w:val="24"/>
          <w:szCs w:val="24"/>
          <w:lang w:eastAsia="zh-CN"/>
        </w:rPr>
        <w:lastRenderedPageBreak/>
        <w:drawing>
          <wp:anchor distT="0" distB="0" distL="114300" distR="114300" simplePos="0" relativeHeight="251649536" behindDoc="0" locked="0" layoutInCell="1" allowOverlap="1" wp14:anchorId="69DC4A1C" wp14:editId="14A9E465">
            <wp:simplePos x="0" y="0"/>
            <wp:positionH relativeFrom="column">
              <wp:posOffset>577850</wp:posOffset>
            </wp:positionH>
            <wp:positionV relativeFrom="paragraph">
              <wp:posOffset>647700</wp:posOffset>
            </wp:positionV>
            <wp:extent cx="4787900" cy="2992120"/>
            <wp:effectExtent l="0" t="0" r="0" b="0"/>
            <wp:wrapTopAndBottom/>
            <wp:docPr id="177449466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494661" name="图片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787900" cy="2992120"/>
                    </a:xfrm>
                    <a:prstGeom prst="rect">
                      <a:avLst/>
                    </a:prstGeom>
                    <a:noFill/>
                    <a:ln>
                      <a:noFill/>
                    </a:ln>
                  </pic:spPr>
                </pic:pic>
              </a:graphicData>
            </a:graphic>
          </wp:anchor>
        </w:drawing>
      </w:r>
      <w:r w:rsidR="00AE77B5" w:rsidRPr="007179D8">
        <w:rPr>
          <w:rStyle w:val="afc"/>
          <w:rFonts w:ascii="Times New Roman" w:hAnsi="Times New Roman" w:cs="Times New Roman"/>
          <w:sz w:val="24"/>
          <w:szCs w:val="24"/>
        </w:rPr>
        <w:t>Figure S3. Sensitivity analyses adjusting for calcium homeostasis</w:t>
      </w:r>
    </w:p>
    <w:p w14:paraId="7F7A20BD" w14:textId="0E7D8B60" w:rsidR="007179D8" w:rsidRDefault="007179D8" w:rsidP="007179D8">
      <w:pPr>
        <w:spacing w:line="360" w:lineRule="auto"/>
        <w:rPr>
          <w:rFonts w:ascii="Times New Roman" w:eastAsia="宋体" w:hAnsi="Times New Roman" w:cs="Times New Roman"/>
          <w:sz w:val="24"/>
          <w:szCs w:val="24"/>
          <w:lang w:eastAsia="zh-CN"/>
        </w:rPr>
      </w:pPr>
    </w:p>
    <w:p w14:paraId="4C80D3CE" w14:textId="5A0ED635" w:rsidR="00BE480C" w:rsidRPr="00BE480C" w:rsidRDefault="00BE480C" w:rsidP="00BE480C">
      <w:pPr>
        <w:spacing w:line="360" w:lineRule="auto"/>
        <w:rPr>
          <w:rFonts w:ascii="Times New Roman" w:hAnsi="Times New Roman" w:cs="Times New Roman"/>
          <w:sz w:val="24"/>
          <w:szCs w:val="24"/>
        </w:rPr>
      </w:pPr>
      <w:r w:rsidRPr="00BE480C">
        <w:rPr>
          <w:rFonts w:ascii="Times New Roman" w:hAnsi="Times New Roman" w:cs="Times New Roman"/>
          <w:sz w:val="24"/>
          <w:szCs w:val="24"/>
        </w:rPr>
        <w:t>Forest plot displaying adjusted odds ratios (ORs) for 30-day mortality comparing the Low and Persistent High phosphate trajectory patterns with the Normal trajectory pattern (reference group) across three sequential models. Total calcium, ionized calcium, and albumin-corrected calcium were each entered individually into the baseline multivariable model to avoid multicollinearity. All models were additionally adjusted for age, illness severity (SOFA in MIMIC-IV or APACHE IV in eICU-CRD), Charlson Comorbidity Index, and other prespecified baseline covariates.</w:t>
      </w:r>
    </w:p>
    <w:p w14:paraId="054A618D" w14:textId="37A698A1" w:rsidR="00BE480C" w:rsidRPr="00BE480C" w:rsidRDefault="00BE480C" w:rsidP="00BE480C">
      <w:pPr>
        <w:spacing w:line="360" w:lineRule="auto"/>
        <w:rPr>
          <w:rFonts w:ascii="Times New Roman" w:hAnsi="Times New Roman" w:cs="Times New Roman"/>
          <w:sz w:val="24"/>
          <w:szCs w:val="24"/>
        </w:rPr>
      </w:pPr>
    </w:p>
    <w:p w14:paraId="376F15A5" w14:textId="3352CFE9" w:rsidR="007179D8" w:rsidRDefault="00BE480C" w:rsidP="00BE480C">
      <w:pPr>
        <w:spacing w:line="360" w:lineRule="auto"/>
        <w:rPr>
          <w:rFonts w:ascii="Times New Roman" w:eastAsia="宋体" w:hAnsi="Times New Roman" w:cs="Times New Roman"/>
          <w:sz w:val="24"/>
          <w:szCs w:val="24"/>
          <w:lang w:eastAsia="zh-CN"/>
        </w:rPr>
      </w:pPr>
      <w:r w:rsidRPr="00BE480C">
        <w:rPr>
          <w:rFonts w:ascii="Times New Roman" w:hAnsi="Times New Roman" w:cs="Times New Roman"/>
          <w:sz w:val="24"/>
          <w:szCs w:val="24"/>
        </w:rPr>
        <w:t>Abbreviations: OR, odds ratio; CI, confidence interval; SOFA, Sequential Organ Failure Assessment; APACHE IV, Acute Physiology and Chronic Health Evaluation IV; CCI, Charlson Comorbidity Index.</w:t>
      </w:r>
    </w:p>
    <w:p w14:paraId="33C0C6D6" w14:textId="142AEAA8" w:rsidR="008B7D2A" w:rsidRPr="007179D8" w:rsidRDefault="008B7D2A" w:rsidP="007179D8">
      <w:pPr>
        <w:spacing w:line="360" w:lineRule="auto"/>
        <w:rPr>
          <w:rFonts w:ascii="Times New Roman" w:eastAsia="宋体" w:hAnsi="Times New Roman" w:cs="Times New Roman"/>
          <w:sz w:val="24"/>
          <w:szCs w:val="24"/>
          <w:lang w:eastAsia="zh-CN"/>
        </w:rPr>
      </w:pPr>
    </w:p>
    <w:p w14:paraId="06AA751E" w14:textId="0487BF82" w:rsidR="007179D8" w:rsidRDefault="00AE77B5" w:rsidP="00BE480C">
      <w:pPr>
        <w:spacing w:line="360" w:lineRule="auto"/>
        <w:jc w:val="center"/>
        <w:rPr>
          <w:rFonts w:ascii="Times New Roman" w:eastAsia="宋体" w:hAnsi="Times New Roman" w:cs="Times New Roman"/>
          <w:sz w:val="24"/>
          <w:szCs w:val="24"/>
          <w:lang w:eastAsia="zh-CN"/>
        </w:rPr>
      </w:pPr>
      <w:r w:rsidRPr="007179D8">
        <w:rPr>
          <w:rFonts w:ascii="Times New Roman" w:eastAsia="宋体" w:hAnsi="Times New Roman" w:cs="Times New Roman"/>
          <w:b/>
          <w:bCs/>
          <w:sz w:val="24"/>
          <w:szCs w:val="24"/>
          <w:lang w:eastAsia="zh-CN"/>
        </w:rPr>
        <w:t xml:space="preserve">Figure S4. </w:t>
      </w:r>
      <w:r w:rsidR="00BE480C" w:rsidRPr="00BE480C">
        <w:rPr>
          <w:rFonts w:ascii="Times New Roman" w:eastAsia="宋体" w:hAnsi="Times New Roman" w:cs="Times New Roman"/>
          <w:b/>
          <w:bCs/>
          <w:sz w:val="24"/>
          <w:szCs w:val="24"/>
          <w:lang w:eastAsia="zh-CN"/>
        </w:rPr>
        <w:t>Sensitivity analyses adjusting for</w:t>
      </w:r>
      <w:r w:rsidRPr="007179D8">
        <w:rPr>
          <w:rFonts w:ascii="Times New Roman" w:eastAsia="宋体" w:hAnsi="Times New Roman" w:cs="Times New Roman"/>
          <w:b/>
          <w:bCs/>
          <w:sz w:val="24"/>
          <w:szCs w:val="24"/>
          <w:lang w:eastAsia="zh-CN"/>
        </w:rPr>
        <w:t xml:space="preserve"> acute kidney injury (AKI) severity</w:t>
      </w:r>
    </w:p>
    <w:p w14:paraId="394467FA" w14:textId="77777777" w:rsidR="00BE480C" w:rsidRPr="00BE480C" w:rsidRDefault="00BE480C" w:rsidP="00BE480C">
      <w:pPr>
        <w:spacing w:line="360" w:lineRule="auto"/>
        <w:rPr>
          <w:rFonts w:ascii="Times New Roman" w:eastAsia="宋体" w:hAnsi="Times New Roman" w:cs="Times New Roman"/>
          <w:sz w:val="24"/>
          <w:szCs w:val="24"/>
          <w:lang w:eastAsia="zh-CN"/>
        </w:rPr>
      </w:pPr>
      <w:r w:rsidRPr="007179D8">
        <w:rPr>
          <w:rFonts w:ascii="Times New Roman" w:eastAsia="宋体" w:hAnsi="Times New Roman" w:cs="Times New Roman"/>
          <w:i/>
          <w:iCs/>
          <w:noProof/>
          <w:sz w:val="24"/>
          <w:szCs w:val="24"/>
          <w:lang w:eastAsia="zh-CN"/>
        </w:rPr>
        <w:lastRenderedPageBreak/>
        <w:drawing>
          <wp:anchor distT="0" distB="0" distL="114300" distR="114300" simplePos="0" relativeHeight="251656704" behindDoc="0" locked="0" layoutInCell="1" allowOverlap="1" wp14:anchorId="0820B404" wp14:editId="171FFC23">
            <wp:simplePos x="0" y="0"/>
            <wp:positionH relativeFrom="column">
              <wp:posOffset>736600</wp:posOffset>
            </wp:positionH>
            <wp:positionV relativeFrom="paragraph">
              <wp:posOffset>-95250</wp:posOffset>
            </wp:positionV>
            <wp:extent cx="4464050" cy="2789555"/>
            <wp:effectExtent l="0" t="0" r="0" b="0"/>
            <wp:wrapTopAndBottom/>
            <wp:docPr id="110743903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439036" name="图片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464050" cy="2789555"/>
                    </a:xfrm>
                    <a:prstGeom prst="rect">
                      <a:avLst/>
                    </a:prstGeom>
                    <a:noFill/>
                    <a:ln>
                      <a:noFill/>
                    </a:ln>
                  </pic:spPr>
                </pic:pic>
              </a:graphicData>
            </a:graphic>
          </wp:anchor>
        </w:drawing>
      </w:r>
      <w:r w:rsidRPr="00BE480C">
        <w:rPr>
          <w:rFonts w:ascii="Times New Roman" w:eastAsia="宋体" w:hAnsi="Times New Roman" w:cs="Times New Roman"/>
          <w:sz w:val="24"/>
          <w:szCs w:val="24"/>
          <w:lang w:eastAsia="zh-CN"/>
        </w:rPr>
        <w:t>Forest plot displaying adjusted odds ratios (ORs) for 30-day mortality stratified by baseline KDIGO-defined AKI stage at Time Zero (T₀): No or Mild AKI (Stage 0–1) versus Severe AKI (Stage 2–3). AKI stage was defined according to KDIGO criteria based on changes in serum creatinine and/or urine output. The Normal phosphate trajectory pattern served as the reference group.</w:t>
      </w:r>
    </w:p>
    <w:p w14:paraId="1055B30C" w14:textId="77777777" w:rsidR="00BE480C" w:rsidRPr="00BE480C" w:rsidRDefault="00BE480C" w:rsidP="00BE480C">
      <w:pPr>
        <w:spacing w:line="360" w:lineRule="auto"/>
        <w:rPr>
          <w:rFonts w:ascii="Times New Roman" w:eastAsia="宋体" w:hAnsi="Times New Roman" w:cs="Times New Roman"/>
          <w:sz w:val="24"/>
          <w:szCs w:val="24"/>
          <w:lang w:eastAsia="zh-CN"/>
        </w:rPr>
      </w:pPr>
    </w:p>
    <w:p w14:paraId="55C1AB4E" w14:textId="42C282F0" w:rsidR="007179D8" w:rsidRDefault="00BE480C" w:rsidP="00BE480C">
      <w:pPr>
        <w:spacing w:line="360" w:lineRule="auto"/>
        <w:rPr>
          <w:rFonts w:ascii="Times New Roman" w:eastAsia="宋体" w:hAnsi="Times New Roman" w:cs="Times New Roman"/>
          <w:sz w:val="24"/>
          <w:szCs w:val="24"/>
          <w:lang w:eastAsia="zh-CN"/>
        </w:rPr>
      </w:pPr>
      <w:r w:rsidRPr="00BE480C">
        <w:rPr>
          <w:rFonts w:ascii="Times New Roman" w:eastAsia="宋体" w:hAnsi="Times New Roman" w:cs="Times New Roman"/>
          <w:sz w:val="24"/>
          <w:szCs w:val="24"/>
          <w:lang w:eastAsia="zh-CN"/>
        </w:rPr>
        <w:t>Abbreviations: AKI, acute kidney injury; KDIGO, Kidney Disease: Improving Global Outcomes; OR, odds ratio; CI, confidence interval.</w:t>
      </w:r>
    </w:p>
    <w:p w14:paraId="7CCAD4E3" w14:textId="77777777" w:rsidR="007179D8" w:rsidRDefault="007179D8" w:rsidP="007179D8">
      <w:pPr>
        <w:spacing w:line="360" w:lineRule="auto"/>
        <w:rPr>
          <w:rFonts w:ascii="Times New Roman" w:eastAsia="宋体" w:hAnsi="Times New Roman" w:cs="Times New Roman"/>
          <w:sz w:val="24"/>
          <w:szCs w:val="24"/>
          <w:lang w:eastAsia="zh-CN"/>
        </w:rPr>
      </w:pPr>
    </w:p>
    <w:p w14:paraId="6CF37314" w14:textId="2B585D8C" w:rsidR="008B7D2A" w:rsidRPr="007179D8" w:rsidRDefault="008B7D2A" w:rsidP="007179D8">
      <w:pPr>
        <w:spacing w:line="360" w:lineRule="auto"/>
        <w:rPr>
          <w:rFonts w:ascii="Times New Roman" w:eastAsia="宋体" w:hAnsi="Times New Roman" w:cs="Times New Roman"/>
          <w:sz w:val="24"/>
          <w:szCs w:val="24"/>
          <w:lang w:eastAsia="zh-CN"/>
        </w:rPr>
      </w:pPr>
    </w:p>
    <w:p w14:paraId="6FEF16E9" w14:textId="7809966D" w:rsidR="0079757B" w:rsidRDefault="00BE480C" w:rsidP="00BE480C">
      <w:pPr>
        <w:spacing w:line="360" w:lineRule="auto"/>
        <w:jc w:val="center"/>
        <w:rPr>
          <w:rFonts w:ascii="Times New Roman" w:eastAsia="宋体" w:hAnsi="Times New Roman" w:cs="Times New Roman"/>
          <w:b/>
          <w:bCs/>
          <w:sz w:val="24"/>
          <w:szCs w:val="24"/>
          <w:lang w:eastAsia="zh-CN"/>
        </w:rPr>
      </w:pPr>
      <w:r>
        <w:rPr>
          <w:rFonts w:ascii="Times New Roman" w:eastAsia="宋体" w:hAnsi="Times New Roman" w:cs="Times New Roman"/>
          <w:i/>
          <w:iCs/>
          <w:noProof/>
          <w:sz w:val="24"/>
          <w:szCs w:val="24"/>
          <w:lang w:eastAsia="zh-CN"/>
        </w:rPr>
        <w:lastRenderedPageBreak/>
        <w:drawing>
          <wp:anchor distT="0" distB="0" distL="114300" distR="114300" simplePos="0" relativeHeight="251658752" behindDoc="0" locked="0" layoutInCell="1" allowOverlap="1" wp14:anchorId="10692975" wp14:editId="2AD25B63">
            <wp:simplePos x="0" y="0"/>
            <wp:positionH relativeFrom="column">
              <wp:posOffset>-25400</wp:posOffset>
            </wp:positionH>
            <wp:positionV relativeFrom="paragraph">
              <wp:posOffset>537210</wp:posOffset>
            </wp:positionV>
            <wp:extent cx="5939790" cy="6678930"/>
            <wp:effectExtent l="0" t="0" r="3810" b="7620"/>
            <wp:wrapTopAndBottom/>
            <wp:docPr id="134964303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9790" cy="6678930"/>
                    </a:xfrm>
                    <a:prstGeom prst="rect">
                      <a:avLst/>
                    </a:prstGeom>
                    <a:noFill/>
                    <a:ln>
                      <a:noFill/>
                    </a:ln>
                  </pic:spPr>
                </pic:pic>
              </a:graphicData>
            </a:graphic>
          </wp:anchor>
        </w:drawing>
      </w:r>
      <w:r w:rsidR="0079757B" w:rsidRPr="0079757B">
        <w:rPr>
          <w:rFonts w:ascii="Times New Roman" w:hAnsi="Times New Roman" w:cs="Times New Roman"/>
          <w:b/>
          <w:bCs/>
          <w:sz w:val="24"/>
          <w:szCs w:val="24"/>
        </w:rPr>
        <w:t xml:space="preserve">Figure S5. </w:t>
      </w:r>
      <w:r w:rsidRPr="00BE480C">
        <w:rPr>
          <w:rFonts w:ascii="Times New Roman" w:hAnsi="Times New Roman" w:cs="Times New Roman"/>
          <w:b/>
          <w:bCs/>
          <w:sz w:val="24"/>
          <w:szCs w:val="24"/>
        </w:rPr>
        <w:t>Sensitivity analysis restricted to Berlin-defined ventilated ARDS (Cohort A)</w:t>
      </w:r>
    </w:p>
    <w:p w14:paraId="0DAD661A" w14:textId="77777777" w:rsidR="00BE480C" w:rsidRPr="00BE480C" w:rsidRDefault="00BE480C" w:rsidP="0079757B">
      <w:pPr>
        <w:spacing w:line="360" w:lineRule="auto"/>
        <w:rPr>
          <w:rFonts w:ascii="Times New Roman" w:eastAsia="宋体" w:hAnsi="Times New Roman" w:cs="Times New Roman" w:hint="eastAsia"/>
          <w:b/>
          <w:bCs/>
          <w:sz w:val="24"/>
          <w:szCs w:val="24"/>
          <w:lang w:eastAsia="zh-CN"/>
        </w:rPr>
      </w:pPr>
    </w:p>
    <w:p w14:paraId="6163C4EA" w14:textId="77777777" w:rsidR="00BE480C" w:rsidRPr="00BE480C" w:rsidRDefault="00BE480C" w:rsidP="00BE480C">
      <w:pPr>
        <w:spacing w:line="360" w:lineRule="auto"/>
        <w:rPr>
          <w:rFonts w:ascii="Times New Roman" w:hAnsi="Times New Roman" w:cs="Times New Roman"/>
          <w:sz w:val="24"/>
          <w:szCs w:val="24"/>
        </w:rPr>
      </w:pPr>
      <w:r w:rsidRPr="00BE480C">
        <w:rPr>
          <w:rFonts w:ascii="Times New Roman" w:hAnsi="Times New Roman" w:cs="Times New Roman"/>
          <w:sz w:val="24"/>
          <w:szCs w:val="24"/>
        </w:rPr>
        <w:t xml:space="preserve">Forest plots displaying adjusted effect estimates for the association between serum phosphate trajectory patterns and clinical outcomes in patients with Berlin-defined ARDS receiving </w:t>
      </w:r>
      <w:r w:rsidRPr="00BE480C">
        <w:rPr>
          <w:rFonts w:ascii="Times New Roman" w:hAnsi="Times New Roman" w:cs="Times New Roman"/>
          <w:sz w:val="24"/>
          <w:szCs w:val="24"/>
        </w:rPr>
        <w:lastRenderedPageBreak/>
        <w:t>invasive mechanical ventilation (Cohort A, n = 3,871). Outcomes include 30-day mortality (odds ratios, ORs), time-to-death (hazard ratios, HRs), and 28-day ventilator-free days (VFD-28; β coefficients). Patients who died before day 28 were assigned a value of zero ventilator-free days.</w:t>
      </w:r>
    </w:p>
    <w:p w14:paraId="4B8631BA" w14:textId="77777777" w:rsidR="00BE480C" w:rsidRPr="00BE480C" w:rsidRDefault="00BE480C" w:rsidP="00BE480C">
      <w:pPr>
        <w:spacing w:line="360" w:lineRule="auto"/>
        <w:rPr>
          <w:rFonts w:ascii="Times New Roman" w:hAnsi="Times New Roman" w:cs="Times New Roman"/>
          <w:sz w:val="24"/>
          <w:szCs w:val="24"/>
        </w:rPr>
      </w:pPr>
    </w:p>
    <w:p w14:paraId="762E9BE9" w14:textId="77777777" w:rsidR="00BE480C" w:rsidRPr="00BE480C" w:rsidRDefault="00BE480C" w:rsidP="00BE480C">
      <w:pPr>
        <w:spacing w:line="360" w:lineRule="auto"/>
        <w:rPr>
          <w:rFonts w:ascii="Times New Roman" w:hAnsi="Times New Roman" w:cs="Times New Roman"/>
          <w:sz w:val="24"/>
          <w:szCs w:val="24"/>
        </w:rPr>
      </w:pPr>
      <w:r w:rsidRPr="00BE480C">
        <w:rPr>
          <w:rFonts w:ascii="Times New Roman" w:hAnsi="Times New Roman" w:cs="Times New Roman"/>
          <w:sz w:val="24"/>
          <w:szCs w:val="24"/>
        </w:rPr>
        <w:t>Trajectory patterns were identified using latent class mixed models (LCMM), with the Normal trajectory pattern serving as the reference group. The Low and Persistent High trajectory patterns were each compared with the Normal pattern. All models were adjusted using the same covariates as in the primary analysis, including age, sex, SOFA score, Charlson Comorbidity Index, baseline creatinine, total calcium, pH, lactate, and baseline respiratory parameters.</w:t>
      </w:r>
    </w:p>
    <w:p w14:paraId="752036B2" w14:textId="77777777" w:rsidR="00BE480C" w:rsidRPr="00BE480C" w:rsidRDefault="00BE480C" w:rsidP="00BE480C">
      <w:pPr>
        <w:spacing w:line="360" w:lineRule="auto"/>
        <w:rPr>
          <w:rFonts w:ascii="Times New Roman" w:hAnsi="Times New Roman" w:cs="Times New Roman"/>
          <w:sz w:val="24"/>
          <w:szCs w:val="24"/>
        </w:rPr>
      </w:pPr>
    </w:p>
    <w:p w14:paraId="6FDF5102" w14:textId="77777777" w:rsidR="00BE480C" w:rsidRPr="00BE480C" w:rsidRDefault="00BE480C" w:rsidP="00BE480C">
      <w:pPr>
        <w:spacing w:line="360" w:lineRule="auto"/>
        <w:rPr>
          <w:rFonts w:ascii="Times New Roman" w:hAnsi="Times New Roman" w:cs="Times New Roman"/>
          <w:sz w:val="24"/>
          <w:szCs w:val="24"/>
        </w:rPr>
      </w:pPr>
      <w:r w:rsidRPr="00BE480C">
        <w:rPr>
          <w:rFonts w:ascii="Times New Roman" w:hAnsi="Times New Roman" w:cs="Times New Roman"/>
          <w:sz w:val="24"/>
          <w:szCs w:val="24"/>
        </w:rPr>
        <w:t>Effect estimates are presented with 95% confidence intervals. Asterisks indicate statistical significance at P &lt; 0.001.</w:t>
      </w:r>
    </w:p>
    <w:p w14:paraId="6533ADCA" w14:textId="77777777" w:rsidR="00BE480C" w:rsidRPr="00BE480C" w:rsidRDefault="00BE480C" w:rsidP="00BE480C">
      <w:pPr>
        <w:spacing w:line="360" w:lineRule="auto"/>
        <w:rPr>
          <w:rFonts w:ascii="Times New Roman" w:hAnsi="Times New Roman" w:cs="Times New Roman"/>
          <w:sz w:val="24"/>
          <w:szCs w:val="24"/>
        </w:rPr>
      </w:pPr>
    </w:p>
    <w:p w14:paraId="15786C23" w14:textId="0A9F0629" w:rsidR="0079757B" w:rsidRPr="0079757B" w:rsidRDefault="00BE480C" w:rsidP="00BE480C">
      <w:pPr>
        <w:spacing w:line="360" w:lineRule="auto"/>
        <w:rPr>
          <w:rFonts w:ascii="Times New Roman" w:hAnsi="Times New Roman" w:cs="Times New Roman"/>
          <w:sz w:val="24"/>
          <w:szCs w:val="24"/>
        </w:rPr>
      </w:pPr>
      <w:r w:rsidRPr="00BE480C">
        <w:rPr>
          <w:rFonts w:ascii="Times New Roman" w:hAnsi="Times New Roman" w:cs="Times New Roman"/>
          <w:sz w:val="24"/>
          <w:szCs w:val="24"/>
        </w:rPr>
        <w:t>Abbreviations: ARDS, acute respiratory distress syndrome; OR, odds ratio; HR, hazard ratio; VFD-28, 28-day ventilator-free days; SOFA, Sequential Organ Failure Assessment; CI, confidence interval.</w:t>
      </w:r>
    </w:p>
    <w:p w14:paraId="5466A3B2" w14:textId="77777777" w:rsidR="007179D8" w:rsidRPr="007179D8" w:rsidRDefault="007179D8" w:rsidP="007179D8">
      <w:pPr>
        <w:spacing w:line="360" w:lineRule="auto"/>
        <w:rPr>
          <w:rFonts w:ascii="Times New Roman" w:eastAsia="宋体" w:hAnsi="Times New Roman" w:cs="Times New Roman"/>
          <w:b/>
          <w:bCs/>
          <w:sz w:val="24"/>
          <w:szCs w:val="24"/>
          <w:lang w:eastAsia="zh-CN"/>
        </w:rPr>
      </w:pPr>
    </w:p>
    <w:p w14:paraId="5BA9C775" w14:textId="20F38C6A" w:rsidR="008B7D2A" w:rsidRPr="007179D8" w:rsidRDefault="008B7D2A" w:rsidP="007179D8">
      <w:pPr>
        <w:spacing w:line="360" w:lineRule="auto"/>
        <w:rPr>
          <w:rFonts w:ascii="Times New Roman" w:eastAsia="宋体" w:hAnsi="Times New Roman" w:cs="Times New Roman"/>
          <w:b/>
          <w:bCs/>
          <w:sz w:val="24"/>
          <w:szCs w:val="24"/>
          <w:lang w:eastAsia="zh-CN"/>
        </w:rPr>
      </w:pPr>
    </w:p>
    <w:p w14:paraId="45E4F707" w14:textId="45FB7A6F" w:rsidR="007179D8" w:rsidRDefault="00BE480C" w:rsidP="00F07773">
      <w:pPr>
        <w:spacing w:line="360" w:lineRule="auto"/>
        <w:jc w:val="center"/>
        <w:rPr>
          <w:rFonts w:ascii="Times New Roman" w:eastAsia="宋体" w:hAnsi="Times New Roman" w:cs="Times New Roman"/>
          <w:sz w:val="24"/>
          <w:szCs w:val="24"/>
          <w:lang w:eastAsia="zh-CN"/>
        </w:rPr>
      </w:pPr>
      <w:r w:rsidRPr="007179D8">
        <w:rPr>
          <w:rFonts w:ascii="Times New Roman" w:eastAsia="宋体" w:hAnsi="Times New Roman" w:cs="Times New Roman"/>
          <w:b/>
          <w:bCs/>
          <w:noProof/>
          <w:sz w:val="24"/>
          <w:szCs w:val="24"/>
          <w:lang w:eastAsia="zh-CN"/>
        </w:rPr>
        <w:lastRenderedPageBreak/>
        <w:drawing>
          <wp:anchor distT="0" distB="0" distL="114300" distR="114300" simplePos="0" relativeHeight="251664896" behindDoc="0" locked="0" layoutInCell="1" allowOverlap="1" wp14:anchorId="2B6F898A" wp14:editId="00F30992">
            <wp:simplePos x="0" y="0"/>
            <wp:positionH relativeFrom="column">
              <wp:posOffset>1377950</wp:posOffset>
            </wp:positionH>
            <wp:positionV relativeFrom="paragraph">
              <wp:posOffset>452120</wp:posOffset>
            </wp:positionV>
            <wp:extent cx="3200400" cy="3200400"/>
            <wp:effectExtent l="0" t="0" r="0" b="0"/>
            <wp:wrapTopAndBottom/>
            <wp:docPr id="82485718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857184" name="图片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200400" cy="3200400"/>
                    </a:xfrm>
                    <a:prstGeom prst="rect">
                      <a:avLst/>
                    </a:prstGeom>
                    <a:noFill/>
                    <a:ln>
                      <a:noFill/>
                    </a:ln>
                  </pic:spPr>
                </pic:pic>
              </a:graphicData>
            </a:graphic>
          </wp:anchor>
        </w:drawing>
      </w:r>
      <w:r w:rsidRPr="007179D8">
        <w:rPr>
          <w:rFonts w:ascii="Times New Roman" w:eastAsia="宋体" w:hAnsi="Times New Roman" w:cs="Times New Roman"/>
          <w:b/>
          <w:bCs/>
          <w:noProof/>
          <w:sz w:val="24"/>
          <w:szCs w:val="24"/>
          <w:lang w:eastAsia="zh-CN"/>
        </w:rPr>
        <w:drawing>
          <wp:anchor distT="0" distB="0" distL="114300" distR="114300" simplePos="0" relativeHeight="251668992" behindDoc="0" locked="0" layoutInCell="1" allowOverlap="1" wp14:anchorId="0D5A6317" wp14:editId="49389156">
            <wp:simplePos x="0" y="0"/>
            <wp:positionH relativeFrom="column">
              <wp:posOffset>1308100</wp:posOffset>
            </wp:positionH>
            <wp:positionV relativeFrom="paragraph">
              <wp:posOffset>3625850</wp:posOffset>
            </wp:positionV>
            <wp:extent cx="3318510" cy="1866900"/>
            <wp:effectExtent l="0" t="0" r="0" b="0"/>
            <wp:wrapTopAndBottom/>
            <wp:docPr id="870855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8555" name="图片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318510" cy="1866900"/>
                    </a:xfrm>
                    <a:prstGeom prst="rect">
                      <a:avLst/>
                    </a:prstGeom>
                    <a:noFill/>
                    <a:ln>
                      <a:noFill/>
                    </a:ln>
                  </pic:spPr>
                </pic:pic>
              </a:graphicData>
            </a:graphic>
          </wp:anchor>
        </w:drawing>
      </w:r>
      <w:r w:rsidR="00F614C8" w:rsidRPr="007179D8">
        <w:rPr>
          <w:rStyle w:val="afc"/>
          <w:rFonts w:ascii="Times New Roman" w:hAnsi="Times New Roman" w:cs="Times New Roman"/>
          <w:sz w:val="24"/>
          <w:szCs w:val="24"/>
        </w:rPr>
        <w:t xml:space="preserve">Figure S6. </w:t>
      </w:r>
      <w:r w:rsidR="00F07773" w:rsidRPr="00F07773">
        <w:rPr>
          <w:rStyle w:val="afc"/>
          <w:rFonts w:ascii="Times New Roman" w:hAnsi="Times New Roman" w:cs="Times New Roman"/>
          <w:sz w:val="24"/>
          <w:szCs w:val="24"/>
        </w:rPr>
        <w:t>Early identification of the Persistent High trajectory pattern and its association with outcomes</w:t>
      </w:r>
    </w:p>
    <w:p w14:paraId="648D36DD" w14:textId="77777777" w:rsidR="00BE480C" w:rsidRDefault="00BE480C" w:rsidP="00BE480C">
      <w:pPr>
        <w:spacing w:line="360" w:lineRule="auto"/>
        <w:rPr>
          <w:rFonts w:ascii="Times New Roman" w:eastAsia="宋体" w:hAnsi="Times New Roman" w:cs="Times New Roman"/>
          <w:sz w:val="24"/>
          <w:szCs w:val="24"/>
          <w:lang w:eastAsia="zh-CN"/>
        </w:rPr>
      </w:pPr>
    </w:p>
    <w:p w14:paraId="386E6603" w14:textId="69FB30D4" w:rsidR="00BE480C" w:rsidRPr="00BE480C" w:rsidRDefault="00BE480C" w:rsidP="00BE480C">
      <w:pPr>
        <w:spacing w:line="360" w:lineRule="auto"/>
        <w:rPr>
          <w:rFonts w:ascii="Times New Roman" w:hAnsi="Times New Roman" w:cs="Times New Roman"/>
          <w:sz w:val="24"/>
          <w:szCs w:val="24"/>
        </w:rPr>
      </w:pPr>
      <w:r w:rsidRPr="00BE480C">
        <w:rPr>
          <w:rFonts w:ascii="Times New Roman" w:hAnsi="Times New Roman" w:cs="Times New Roman"/>
          <w:sz w:val="24"/>
          <w:szCs w:val="24"/>
        </w:rPr>
        <w:t>(A) Agreement matrix comparing trajectory patterns identified using early data (first 72 hours after T₀) with those derived from the full 7-day observation window. Cohen’s κ and overall classification accuracy are reported to quantify agreement. Given class imbalance, κ may underestimate the degree of agreement.</w:t>
      </w:r>
    </w:p>
    <w:p w14:paraId="7E4C602C" w14:textId="77777777" w:rsidR="00BE480C" w:rsidRPr="00BE480C" w:rsidRDefault="00BE480C" w:rsidP="00BE480C">
      <w:pPr>
        <w:spacing w:line="360" w:lineRule="auto"/>
        <w:rPr>
          <w:rFonts w:ascii="Times New Roman" w:hAnsi="Times New Roman" w:cs="Times New Roman"/>
          <w:sz w:val="24"/>
          <w:szCs w:val="24"/>
        </w:rPr>
      </w:pPr>
    </w:p>
    <w:p w14:paraId="53126514" w14:textId="77777777" w:rsidR="00BE480C" w:rsidRPr="00BE480C" w:rsidRDefault="00BE480C" w:rsidP="00BE480C">
      <w:pPr>
        <w:spacing w:line="360" w:lineRule="auto"/>
        <w:rPr>
          <w:rFonts w:ascii="Times New Roman" w:hAnsi="Times New Roman" w:cs="Times New Roman"/>
          <w:sz w:val="24"/>
          <w:szCs w:val="24"/>
        </w:rPr>
      </w:pPr>
      <w:r w:rsidRPr="00BE480C">
        <w:rPr>
          <w:rFonts w:ascii="Times New Roman" w:hAnsi="Times New Roman" w:cs="Times New Roman"/>
          <w:sz w:val="24"/>
          <w:szCs w:val="24"/>
        </w:rPr>
        <w:lastRenderedPageBreak/>
        <w:t>(B) Forest plot displaying adjusted odds ratios (ORs) for 30-day mortality comparing the Early Persistent High trajectory pattern with all other early trajectory patterns combined.</w:t>
      </w:r>
    </w:p>
    <w:p w14:paraId="03BC9C17" w14:textId="77777777" w:rsidR="00BE480C" w:rsidRPr="00BE480C" w:rsidRDefault="00BE480C" w:rsidP="00BE480C">
      <w:pPr>
        <w:spacing w:line="360" w:lineRule="auto"/>
        <w:rPr>
          <w:rFonts w:ascii="Times New Roman" w:hAnsi="Times New Roman" w:cs="Times New Roman"/>
          <w:sz w:val="24"/>
          <w:szCs w:val="24"/>
        </w:rPr>
      </w:pPr>
    </w:p>
    <w:p w14:paraId="13FF38F5" w14:textId="75BCE070" w:rsidR="007179D8" w:rsidRDefault="00BE480C" w:rsidP="00BE480C">
      <w:pPr>
        <w:spacing w:line="360" w:lineRule="auto"/>
        <w:rPr>
          <w:rFonts w:ascii="Times New Roman" w:eastAsia="宋体" w:hAnsi="Times New Roman" w:cs="Times New Roman"/>
          <w:sz w:val="24"/>
          <w:szCs w:val="24"/>
          <w:lang w:eastAsia="zh-CN"/>
        </w:rPr>
      </w:pPr>
      <w:r w:rsidRPr="00BE480C">
        <w:rPr>
          <w:rFonts w:ascii="Times New Roman" w:hAnsi="Times New Roman" w:cs="Times New Roman"/>
          <w:sz w:val="24"/>
          <w:szCs w:val="24"/>
        </w:rPr>
        <w:t>Abbreviations: OR, odds ratio; CI, confidence interval; κ, Cohen’s kappa.</w:t>
      </w:r>
    </w:p>
    <w:p w14:paraId="497DB133" w14:textId="311C9F40" w:rsidR="008B7D2A" w:rsidRPr="007179D8" w:rsidRDefault="008B7D2A" w:rsidP="007179D8">
      <w:pPr>
        <w:spacing w:line="360" w:lineRule="auto"/>
        <w:rPr>
          <w:rFonts w:ascii="Times New Roman" w:eastAsia="宋体" w:hAnsi="Times New Roman" w:cs="Times New Roman"/>
          <w:sz w:val="24"/>
          <w:szCs w:val="24"/>
          <w:lang w:eastAsia="zh-CN"/>
        </w:rPr>
      </w:pPr>
    </w:p>
    <w:p w14:paraId="36D79EC2" w14:textId="235D50FA" w:rsidR="007179D8" w:rsidRDefault="00F07773" w:rsidP="00F07773">
      <w:pPr>
        <w:spacing w:line="360" w:lineRule="auto"/>
        <w:jc w:val="center"/>
        <w:rPr>
          <w:rFonts w:ascii="Times New Roman" w:eastAsia="宋体" w:hAnsi="Times New Roman" w:cs="Times New Roman"/>
          <w:sz w:val="24"/>
          <w:szCs w:val="24"/>
          <w:lang w:eastAsia="zh-CN"/>
        </w:rPr>
      </w:pPr>
      <w:r w:rsidRPr="007179D8">
        <w:rPr>
          <w:rFonts w:ascii="Times New Roman" w:eastAsia="宋体" w:hAnsi="Times New Roman" w:cs="Times New Roman"/>
          <w:noProof/>
          <w:sz w:val="24"/>
          <w:szCs w:val="24"/>
          <w:lang w:eastAsia="zh-CN"/>
        </w:rPr>
        <w:drawing>
          <wp:anchor distT="0" distB="0" distL="114300" distR="114300" simplePos="0" relativeHeight="251673088" behindDoc="0" locked="0" layoutInCell="1" allowOverlap="1" wp14:anchorId="33603B49" wp14:editId="366B42FC">
            <wp:simplePos x="0" y="0"/>
            <wp:positionH relativeFrom="column">
              <wp:posOffset>349250</wp:posOffset>
            </wp:positionH>
            <wp:positionV relativeFrom="paragraph">
              <wp:posOffset>480060</wp:posOffset>
            </wp:positionV>
            <wp:extent cx="5243332" cy="2621666"/>
            <wp:effectExtent l="0" t="0" r="0" b="7620"/>
            <wp:wrapTopAndBottom/>
            <wp:docPr id="145757420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574201" name="图片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243332" cy="2621666"/>
                    </a:xfrm>
                    <a:prstGeom prst="rect">
                      <a:avLst/>
                    </a:prstGeom>
                    <a:noFill/>
                    <a:ln>
                      <a:noFill/>
                    </a:ln>
                  </pic:spPr>
                </pic:pic>
              </a:graphicData>
            </a:graphic>
          </wp:anchor>
        </w:drawing>
      </w:r>
      <w:r w:rsidR="001435DD" w:rsidRPr="007179D8">
        <w:rPr>
          <w:rStyle w:val="afc"/>
          <w:rFonts w:ascii="Times New Roman" w:hAnsi="Times New Roman" w:cs="Times New Roman"/>
          <w:sz w:val="24"/>
          <w:szCs w:val="24"/>
        </w:rPr>
        <w:t>Figure S7.</w:t>
      </w:r>
      <w:r w:rsidRPr="00F07773">
        <w:t xml:space="preserve"> </w:t>
      </w:r>
      <w:r w:rsidRPr="00F07773">
        <w:rPr>
          <w:rStyle w:val="afc"/>
          <w:rFonts w:ascii="Times New Roman" w:hAnsi="Times New Roman" w:cs="Times New Roman"/>
          <w:sz w:val="24"/>
          <w:szCs w:val="24"/>
        </w:rPr>
        <w:t>Covariate balance before and after propensity score matching</w:t>
      </w:r>
    </w:p>
    <w:p w14:paraId="4BC0CF27" w14:textId="77777777" w:rsidR="00F07773" w:rsidRDefault="00F07773" w:rsidP="007179D8">
      <w:pPr>
        <w:spacing w:line="360" w:lineRule="auto"/>
        <w:rPr>
          <w:rFonts w:ascii="Times New Roman" w:eastAsia="宋体" w:hAnsi="Times New Roman" w:cs="Times New Roman"/>
          <w:sz w:val="24"/>
          <w:szCs w:val="24"/>
          <w:lang w:eastAsia="zh-CN"/>
        </w:rPr>
      </w:pPr>
    </w:p>
    <w:p w14:paraId="27415678" w14:textId="77777777" w:rsidR="00F07773" w:rsidRPr="00F07773" w:rsidRDefault="00F07773" w:rsidP="00F07773">
      <w:pPr>
        <w:spacing w:line="360" w:lineRule="auto"/>
        <w:rPr>
          <w:rFonts w:ascii="Times New Roman" w:hAnsi="Times New Roman" w:cs="Times New Roman"/>
          <w:sz w:val="24"/>
          <w:szCs w:val="24"/>
        </w:rPr>
      </w:pPr>
      <w:r w:rsidRPr="00F07773">
        <w:rPr>
          <w:rFonts w:ascii="Times New Roman" w:hAnsi="Times New Roman" w:cs="Times New Roman"/>
          <w:sz w:val="24"/>
          <w:szCs w:val="24"/>
        </w:rPr>
        <w:t>Love plot displaying absolute standardized mean differences (SMDs) for baseline covariates before (red circles) and after (blue squares) 1:1 propensity score matching. After matching, all variables demonstrated an absolute SMD &lt; 0.1, indicating acceptable covariate balance. The vertical dashed line denotes the conventional threshold of 0.1. Propensity score matching was conducted as a complementary analysis to assess robustness rather than to establish causality.</w:t>
      </w:r>
    </w:p>
    <w:p w14:paraId="109F0FFD" w14:textId="77777777" w:rsidR="00F07773" w:rsidRPr="00F07773" w:rsidRDefault="00F07773" w:rsidP="00F07773">
      <w:pPr>
        <w:spacing w:line="360" w:lineRule="auto"/>
        <w:rPr>
          <w:rFonts w:ascii="Times New Roman" w:hAnsi="Times New Roman" w:cs="Times New Roman"/>
          <w:sz w:val="24"/>
          <w:szCs w:val="24"/>
        </w:rPr>
      </w:pPr>
    </w:p>
    <w:p w14:paraId="09F12E95" w14:textId="413520F2" w:rsidR="001435DD" w:rsidRDefault="00F07773" w:rsidP="00F07773">
      <w:pPr>
        <w:spacing w:line="360" w:lineRule="auto"/>
        <w:rPr>
          <w:rFonts w:ascii="Times New Roman" w:eastAsia="宋体" w:hAnsi="Times New Roman" w:cs="Times New Roman"/>
          <w:sz w:val="24"/>
          <w:szCs w:val="24"/>
          <w:lang w:eastAsia="zh-CN"/>
        </w:rPr>
      </w:pPr>
      <w:r w:rsidRPr="00F07773">
        <w:rPr>
          <w:rFonts w:ascii="Times New Roman" w:hAnsi="Times New Roman" w:cs="Times New Roman"/>
          <w:sz w:val="24"/>
          <w:szCs w:val="24"/>
        </w:rPr>
        <w:t>Abbreviations: SMD, standardized mean difference; SOFA, Sequential Organ Failure Assessment; PSM, propensity score matching.</w:t>
      </w:r>
    </w:p>
    <w:sectPr w:rsidR="001435DD" w:rsidSect="007179D8">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4ADF3" w14:textId="77777777" w:rsidR="00AC5593" w:rsidRDefault="00AC5593">
      <w:pPr>
        <w:spacing w:line="240" w:lineRule="auto"/>
      </w:pPr>
      <w:r>
        <w:separator/>
      </w:r>
    </w:p>
  </w:endnote>
  <w:endnote w:type="continuationSeparator" w:id="0">
    <w:p w14:paraId="2E410E82" w14:textId="77777777" w:rsidR="00AC5593" w:rsidRDefault="00AC55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8330790"/>
      <w:docPartObj>
        <w:docPartGallery w:val="Page Numbers (Bottom of Page)"/>
        <w:docPartUnique/>
      </w:docPartObj>
    </w:sdtPr>
    <w:sdtContent>
      <w:p w14:paraId="68C5B667" w14:textId="229093CC" w:rsidR="007179D8" w:rsidRDefault="007179D8">
        <w:pPr>
          <w:pStyle w:val="ab"/>
          <w:jc w:val="center"/>
        </w:pPr>
        <w:r>
          <w:fldChar w:fldCharType="begin"/>
        </w:r>
        <w:r>
          <w:instrText>PAGE   \* MERGEFORMAT</w:instrText>
        </w:r>
        <w:r>
          <w:fldChar w:fldCharType="separate"/>
        </w:r>
        <w:r>
          <w:rPr>
            <w:lang w:val="zh-CN" w:eastAsia="zh-CN"/>
          </w:rPr>
          <w:t>2</w:t>
        </w:r>
        <w:r>
          <w:fldChar w:fldCharType="end"/>
        </w:r>
      </w:p>
    </w:sdtContent>
  </w:sdt>
  <w:p w14:paraId="42D7E961" w14:textId="77777777" w:rsidR="007179D8" w:rsidRDefault="007179D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DB582" w14:textId="77777777" w:rsidR="00AC5593" w:rsidRDefault="00AC5593">
      <w:pPr>
        <w:spacing w:after="0"/>
      </w:pPr>
      <w:r>
        <w:separator/>
      </w:r>
    </w:p>
  </w:footnote>
  <w:footnote w:type="continuationSeparator" w:id="0">
    <w:p w14:paraId="71D6DE6E" w14:textId="77777777" w:rsidR="00AC5593" w:rsidRDefault="00AC559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3"/>
      <w:lvlText w:val="%1."/>
      <w:lvlJc w:val="left"/>
      <w:pPr>
        <w:tabs>
          <w:tab w:val="left" w:pos="1080"/>
        </w:tabs>
        <w:ind w:left="1080" w:hanging="360"/>
      </w:pPr>
    </w:lvl>
  </w:abstractNum>
  <w:abstractNum w:abstractNumId="1" w15:restartNumberingAfterBreak="0">
    <w:nsid w:val="FFFFFF7F"/>
    <w:multiLevelType w:val="singleLevel"/>
    <w:tmpl w:val="FFFFFF7F"/>
    <w:lvl w:ilvl="0">
      <w:start w:val="1"/>
      <w:numFmt w:val="decimal"/>
      <w:pStyle w:val="2"/>
      <w:lvlText w:val="%1."/>
      <w:lvlJc w:val="left"/>
      <w:pPr>
        <w:tabs>
          <w:tab w:val="left" w:pos="720"/>
        </w:tabs>
        <w:ind w:left="720" w:hanging="360"/>
      </w:pPr>
    </w:lvl>
  </w:abstractNum>
  <w:abstractNum w:abstractNumId="2" w15:restartNumberingAfterBreak="0">
    <w:nsid w:val="FFFFFF82"/>
    <w:multiLevelType w:val="singleLevel"/>
    <w:tmpl w:val="FFFFFF82"/>
    <w:lvl w:ilvl="0">
      <w:start w:val="1"/>
      <w:numFmt w:val="bullet"/>
      <w:pStyle w:val="30"/>
      <w:lvlText w:val=""/>
      <w:lvlJc w:val="left"/>
      <w:pPr>
        <w:tabs>
          <w:tab w:val="left" w:pos="1080"/>
        </w:tabs>
        <w:ind w:left="1080" w:hanging="360"/>
      </w:pPr>
      <w:rPr>
        <w:rFonts w:ascii="Symbol" w:hAnsi="Symbol" w:hint="default"/>
      </w:rPr>
    </w:lvl>
  </w:abstractNum>
  <w:abstractNum w:abstractNumId="3" w15:restartNumberingAfterBreak="0">
    <w:nsid w:val="FFFFFF83"/>
    <w:multiLevelType w:val="singleLevel"/>
    <w:tmpl w:val="FFFFFF83"/>
    <w:lvl w:ilvl="0">
      <w:start w:val="1"/>
      <w:numFmt w:val="bullet"/>
      <w:pStyle w:val="20"/>
      <w:lvlText w:val=""/>
      <w:lvlJc w:val="left"/>
      <w:pPr>
        <w:tabs>
          <w:tab w:val="left" w:pos="720"/>
        </w:tabs>
        <w:ind w:left="720" w:hanging="360"/>
      </w:pPr>
      <w:rPr>
        <w:rFonts w:ascii="Symbol" w:hAnsi="Symbol" w:hint="default"/>
      </w:rPr>
    </w:lvl>
  </w:abstractNum>
  <w:abstractNum w:abstractNumId="4"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num w:numId="1" w16cid:durableId="426728981">
    <w:abstractNumId w:val="1"/>
  </w:num>
  <w:num w:numId="2" w16cid:durableId="1783501073">
    <w:abstractNumId w:val="4"/>
  </w:num>
  <w:num w:numId="3" w16cid:durableId="1508253960">
    <w:abstractNumId w:val="5"/>
  </w:num>
  <w:num w:numId="4" w16cid:durableId="21320769">
    <w:abstractNumId w:val="2"/>
  </w:num>
  <w:num w:numId="5" w16cid:durableId="205726707">
    <w:abstractNumId w:val="0"/>
  </w:num>
  <w:num w:numId="6" w16cid:durableId="12263373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204E1"/>
    <w:rsid w:val="001435DD"/>
    <w:rsid w:val="0015074B"/>
    <w:rsid w:val="001F4FFC"/>
    <w:rsid w:val="00220754"/>
    <w:rsid w:val="0024277E"/>
    <w:rsid w:val="002702E8"/>
    <w:rsid w:val="0029639D"/>
    <w:rsid w:val="002B1BF5"/>
    <w:rsid w:val="002C58E9"/>
    <w:rsid w:val="00326F90"/>
    <w:rsid w:val="003404A3"/>
    <w:rsid w:val="00455B6E"/>
    <w:rsid w:val="00476D3E"/>
    <w:rsid w:val="004A2576"/>
    <w:rsid w:val="004C62BC"/>
    <w:rsid w:val="004D7037"/>
    <w:rsid w:val="005A55D4"/>
    <w:rsid w:val="005E403E"/>
    <w:rsid w:val="005F53A3"/>
    <w:rsid w:val="00604A0E"/>
    <w:rsid w:val="00631C5B"/>
    <w:rsid w:val="007179D8"/>
    <w:rsid w:val="00793458"/>
    <w:rsid w:val="0079757B"/>
    <w:rsid w:val="007E787E"/>
    <w:rsid w:val="007F5FA5"/>
    <w:rsid w:val="00820CEE"/>
    <w:rsid w:val="00877234"/>
    <w:rsid w:val="008B3686"/>
    <w:rsid w:val="008B7D2A"/>
    <w:rsid w:val="008D2248"/>
    <w:rsid w:val="00916FB5"/>
    <w:rsid w:val="00922C4E"/>
    <w:rsid w:val="00963D01"/>
    <w:rsid w:val="009C6864"/>
    <w:rsid w:val="009F6A5D"/>
    <w:rsid w:val="00A17A4E"/>
    <w:rsid w:val="00A36DC4"/>
    <w:rsid w:val="00AA1D8D"/>
    <w:rsid w:val="00AC5593"/>
    <w:rsid w:val="00AE77B5"/>
    <w:rsid w:val="00B02425"/>
    <w:rsid w:val="00B47730"/>
    <w:rsid w:val="00B5328A"/>
    <w:rsid w:val="00B92AD7"/>
    <w:rsid w:val="00BC770A"/>
    <w:rsid w:val="00BE480C"/>
    <w:rsid w:val="00C82428"/>
    <w:rsid w:val="00C87E71"/>
    <w:rsid w:val="00CB0664"/>
    <w:rsid w:val="00CC6157"/>
    <w:rsid w:val="00CF0928"/>
    <w:rsid w:val="00CF3528"/>
    <w:rsid w:val="00D20F77"/>
    <w:rsid w:val="00D44E40"/>
    <w:rsid w:val="00D470E1"/>
    <w:rsid w:val="00DE250C"/>
    <w:rsid w:val="00E062D4"/>
    <w:rsid w:val="00E937A5"/>
    <w:rsid w:val="00EB7135"/>
    <w:rsid w:val="00F07773"/>
    <w:rsid w:val="00F17D6C"/>
    <w:rsid w:val="00F614C8"/>
    <w:rsid w:val="00FB37E6"/>
    <w:rsid w:val="00FC693F"/>
    <w:rsid w:val="2E5247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5B7144"/>
  <w14:defaultImageDpi w14:val="300"/>
  <w15:docId w15:val="{BD8AA09E-3D03-496A-8069-0A28019B6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qFormat="1"/>
    <w:lsdException w:name="toa heading" w:semiHidden="1" w:unhideWhenUsed="1"/>
    <w:lsdException w:name="List" w:unhideWhenUsed="1" w:qFormat="1"/>
    <w:lsdException w:name="List Bullet" w:unhideWhenUsed="1"/>
    <w:lsdException w:name="List Number"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unhideWhenUsed="1"/>
    <w:lsdException w:name="List Bullet 4" w:semiHidden="1" w:unhideWhenUsed="1"/>
    <w:lsdException w:name="List Bullet 5" w:semiHidden="1" w:unhideWhenUsed="1"/>
    <w:lsdException w:name="List Number 2" w:unhideWhenUsed="1"/>
    <w:lsdException w:name="List Number 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nhideWhenUsed="1"/>
    <w:lsdException w:name="Body Text Indent" w:semiHidden="1" w:unhideWhenUsed="1"/>
    <w:lsdException w:name="List Continue" w:unhideWhenUsed="1"/>
    <w:lsdException w:name="List Continue 2" w:unhideWhenUsed="1"/>
    <w:lsdException w:name="List Continue 3"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qFormat="1"/>
    <w:lsdException w:name="Medium Grid 2" w:uiPriority="68"/>
    <w:lsdException w:name="Medium Grid 3" w:uiPriority="69"/>
    <w:lsdException w:name="Dark List" w:uiPriority="70"/>
    <w:lsdException w:name="Colorful Shading" w:uiPriority="71" w:qFormat="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qFormat="1"/>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qFormat="1"/>
    <w:lsdException w:name="Medium Grid 2 Accent 1" w:uiPriority="68"/>
    <w:lsdException w:name="Medium Grid 3 Accent 1" w:uiPriority="69"/>
    <w:lsdException w:name="Dark List Accent 1" w:uiPriority="70" w:qFormat="1"/>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qFormat="1"/>
    <w:lsdException w:name="Medium Grid 1 Accent 2" w:uiPriority="67"/>
    <w:lsdException w:name="Medium Grid 2 Accent 2" w:uiPriority="68"/>
    <w:lsdException w:name="Medium Grid 3 Accent 2" w:uiPriority="69"/>
    <w:lsdException w:name="Dark List Accent 2" w:uiPriority="70" w:qFormat="1"/>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qFormat="1"/>
    <w:lsdException w:name="Medium Shading 1 Accent 3" w:uiPriority="63"/>
    <w:lsdException w:name="Medium Shading 2 Accent 3" w:uiPriority="64"/>
    <w:lsdException w:name="Medium List 1 Accent 3" w:uiPriority="65"/>
    <w:lsdException w:name="Medium List 2 Accent 3" w:uiPriority="66" w:qFormat="1"/>
    <w:lsdException w:name="Medium Grid 1 Accent 3" w:uiPriority="67"/>
    <w:lsdException w:name="Medium Grid 2 Accent 3" w:uiPriority="68"/>
    <w:lsdException w:name="Medium Grid 3 Accent 3" w:uiPriority="69" w:qFormat="1"/>
    <w:lsdException w:name="Dark List Accent 3" w:uiPriority="70" w:qFormat="1"/>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qFormat="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qFormat="1"/>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qFormat="1"/>
    <w:lsdException w:name="Medium List 2 Accent 5" w:uiPriority="66"/>
    <w:lsdException w:name="Medium Grid 1 Accent 5" w:uiPriority="67"/>
    <w:lsdException w:name="Medium Grid 2 Accent 5" w:uiPriority="68"/>
    <w:lsdException w:name="Medium Grid 3 Accent 5" w:uiPriority="69"/>
    <w:lsdException w:name="Dark List Accent 5" w:uiPriority="70" w:qFormat="1"/>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qFormat="1"/>
    <w:lsdException w:name="Medium Grid 1 Accent 6" w:uiPriority="67"/>
    <w:lsdException w:name="Medium Grid 2 Accent 6" w:uiPriority="68"/>
    <w:lsdException w:name="Medium Grid 3 Accent 6" w:uiPriority="69" w:qFormat="1"/>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spacing w:after="200" w:line="276" w:lineRule="auto"/>
    </w:pPr>
    <w:rPr>
      <w:sz w:val="22"/>
      <w:szCs w:val="22"/>
      <w:lang w:eastAsia="en-US"/>
    </w:rPr>
  </w:style>
  <w:style w:type="paragraph" w:styleId="1">
    <w:name w:val="heading 1"/>
    <w:basedOn w:val="a1"/>
    <w:next w:val="a1"/>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6">
    <w:name w:val="heading 6"/>
    <w:basedOn w:val="a1"/>
    <w:next w:val="a1"/>
    <w:link w:val="60"/>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7">
    <w:name w:val="heading 7"/>
    <w:basedOn w:val="a1"/>
    <w:next w:val="a1"/>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uiPriority w:val="99"/>
    <w:unhideWhenUsed/>
    <w:qFormat/>
    <w:pPr>
      <w:tabs>
        <w:tab w:val="left" w:pos="576"/>
        <w:tab w:val="left" w:pos="1152"/>
        <w:tab w:val="left" w:pos="1728"/>
        <w:tab w:val="left" w:pos="2304"/>
        <w:tab w:val="left" w:pos="2880"/>
        <w:tab w:val="left" w:pos="3456"/>
        <w:tab w:val="left" w:pos="4032"/>
      </w:tabs>
      <w:spacing w:after="200" w:line="276" w:lineRule="auto"/>
    </w:pPr>
    <w:rPr>
      <w:rFonts w:ascii="Courier" w:hAnsi="Courier"/>
      <w:lang w:eastAsia="en-US"/>
    </w:rPr>
  </w:style>
  <w:style w:type="paragraph" w:styleId="33">
    <w:name w:val="List 3"/>
    <w:basedOn w:val="a1"/>
    <w:uiPriority w:val="99"/>
    <w:unhideWhenUsed/>
    <w:pPr>
      <w:ind w:left="1080" w:hanging="360"/>
      <w:contextualSpacing/>
    </w:pPr>
  </w:style>
  <w:style w:type="paragraph" w:styleId="2">
    <w:name w:val="List Number 2"/>
    <w:basedOn w:val="a1"/>
    <w:uiPriority w:val="99"/>
    <w:unhideWhenUsed/>
    <w:pPr>
      <w:numPr>
        <w:numId w:val="1"/>
      </w:numPr>
      <w:contextualSpacing/>
    </w:pPr>
  </w:style>
  <w:style w:type="paragraph" w:styleId="a">
    <w:name w:val="List Number"/>
    <w:basedOn w:val="a1"/>
    <w:uiPriority w:val="99"/>
    <w:unhideWhenUsed/>
    <w:pPr>
      <w:numPr>
        <w:numId w:val="2"/>
      </w:numPr>
      <w:contextualSpacing/>
    </w:pPr>
  </w:style>
  <w:style w:type="paragraph" w:styleId="a7">
    <w:name w:val="caption"/>
    <w:basedOn w:val="a1"/>
    <w:next w:val="a1"/>
    <w:uiPriority w:val="35"/>
    <w:semiHidden/>
    <w:unhideWhenUsed/>
    <w:qFormat/>
    <w:pPr>
      <w:spacing w:line="240" w:lineRule="auto"/>
    </w:pPr>
    <w:rPr>
      <w:b/>
      <w:bCs/>
      <w:color w:val="4F81BD" w:themeColor="accent1"/>
      <w:sz w:val="18"/>
      <w:szCs w:val="18"/>
    </w:rPr>
  </w:style>
  <w:style w:type="paragraph" w:styleId="a0">
    <w:name w:val="List Bullet"/>
    <w:basedOn w:val="a1"/>
    <w:uiPriority w:val="99"/>
    <w:unhideWhenUsed/>
    <w:pPr>
      <w:numPr>
        <w:numId w:val="3"/>
      </w:numPr>
      <w:contextualSpacing/>
    </w:pPr>
  </w:style>
  <w:style w:type="paragraph" w:styleId="34">
    <w:name w:val="Body Text 3"/>
    <w:basedOn w:val="a1"/>
    <w:link w:val="35"/>
    <w:uiPriority w:val="99"/>
    <w:unhideWhenUsed/>
    <w:pPr>
      <w:spacing w:after="120"/>
    </w:pPr>
    <w:rPr>
      <w:sz w:val="16"/>
      <w:szCs w:val="16"/>
    </w:rPr>
  </w:style>
  <w:style w:type="paragraph" w:styleId="30">
    <w:name w:val="List Bullet 3"/>
    <w:basedOn w:val="a1"/>
    <w:uiPriority w:val="99"/>
    <w:unhideWhenUsed/>
    <w:pPr>
      <w:numPr>
        <w:numId w:val="4"/>
      </w:numPr>
      <w:contextualSpacing/>
    </w:pPr>
  </w:style>
  <w:style w:type="paragraph" w:styleId="a8">
    <w:name w:val="Body Text"/>
    <w:basedOn w:val="a1"/>
    <w:link w:val="a9"/>
    <w:uiPriority w:val="99"/>
    <w:unhideWhenUsed/>
    <w:pPr>
      <w:spacing w:after="120"/>
    </w:pPr>
  </w:style>
  <w:style w:type="paragraph" w:styleId="3">
    <w:name w:val="List Number 3"/>
    <w:basedOn w:val="a1"/>
    <w:uiPriority w:val="99"/>
    <w:unhideWhenUsed/>
    <w:pPr>
      <w:numPr>
        <w:numId w:val="5"/>
      </w:numPr>
      <w:contextualSpacing/>
    </w:pPr>
  </w:style>
  <w:style w:type="paragraph" w:styleId="23">
    <w:name w:val="List 2"/>
    <w:basedOn w:val="a1"/>
    <w:uiPriority w:val="99"/>
    <w:unhideWhenUsed/>
    <w:pPr>
      <w:ind w:left="720" w:hanging="360"/>
      <w:contextualSpacing/>
    </w:pPr>
  </w:style>
  <w:style w:type="paragraph" w:styleId="aa">
    <w:name w:val="List Continue"/>
    <w:basedOn w:val="a1"/>
    <w:uiPriority w:val="99"/>
    <w:unhideWhenUsed/>
    <w:pPr>
      <w:spacing w:after="120"/>
      <w:ind w:left="360"/>
      <w:contextualSpacing/>
    </w:pPr>
  </w:style>
  <w:style w:type="paragraph" w:styleId="20">
    <w:name w:val="List Bullet 2"/>
    <w:basedOn w:val="a1"/>
    <w:uiPriority w:val="99"/>
    <w:unhideWhenUsed/>
    <w:pPr>
      <w:numPr>
        <w:numId w:val="6"/>
      </w:numPr>
      <w:contextualSpacing/>
    </w:pPr>
  </w:style>
  <w:style w:type="paragraph" w:styleId="ab">
    <w:name w:val="footer"/>
    <w:basedOn w:val="a1"/>
    <w:link w:val="ac"/>
    <w:uiPriority w:val="99"/>
    <w:unhideWhenUsed/>
    <w:pPr>
      <w:tabs>
        <w:tab w:val="center" w:pos="4680"/>
        <w:tab w:val="right" w:pos="9360"/>
      </w:tabs>
      <w:spacing w:after="0" w:line="240" w:lineRule="auto"/>
    </w:pPr>
  </w:style>
  <w:style w:type="paragraph" w:styleId="ad">
    <w:name w:val="header"/>
    <w:basedOn w:val="a1"/>
    <w:link w:val="ae"/>
    <w:uiPriority w:val="99"/>
    <w:unhideWhenUsed/>
    <w:pPr>
      <w:tabs>
        <w:tab w:val="center" w:pos="4680"/>
        <w:tab w:val="right" w:pos="9360"/>
      </w:tabs>
      <w:spacing w:after="0" w:line="240" w:lineRule="auto"/>
    </w:pPr>
  </w:style>
  <w:style w:type="paragraph" w:styleId="af">
    <w:name w:val="Subtitle"/>
    <w:basedOn w:val="a1"/>
    <w:next w:val="a1"/>
    <w:link w:val="af0"/>
    <w:uiPriority w:val="11"/>
    <w:qFormat/>
    <w:rPr>
      <w:rFonts w:asciiTheme="majorHAnsi" w:eastAsiaTheme="majorEastAsia" w:hAnsiTheme="majorHAnsi" w:cstheme="majorBidi"/>
      <w:i/>
      <w:iCs/>
      <w:color w:val="4F81BD" w:themeColor="accent1"/>
      <w:spacing w:val="15"/>
      <w:sz w:val="24"/>
      <w:szCs w:val="24"/>
    </w:rPr>
  </w:style>
  <w:style w:type="paragraph" w:styleId="af1">
    <w:name w:val="List"/>
    <w:basedOn w:val="a1"/>
    <w:uiPriority w:val="99"/>
    <w:unhideWhenUsed/>
    <w:qFormat/>
    <w:pPr>
      <w:ind w:left="360" w:hanging="360"/>
      <w:contextualSpacing/>
    </w:pPr>
  </w:style>
  <w:style w:type="paragraph" w:styleId="24">
    <w:name w:val="Body Text 2"/>
    <w:basedOn w:val="a1"/>
    <w:link w:val="25"/>
    <w:uiPriority w:val="99"/>
    <w:unhideWhenUsed/>
    <w:qFormat/>
    <w:pPr>
      <w:spacing w:after="120" w:line="480" w:lineRule="auto"/>
    </w:pPr>
  </w:style>
  <w:style w:type="paragraph" w:styleId="26">
    <w:name w:val="List Continue 2"/>
    <w:basedOn w:val="a1"/>
    <w:uiPriority w:val="99"/>
    <w:unhideWhenUsed/>
    <w:pPr>
      <w:spacing w:after="120"/>
      <w:ind w:left="720"/>
      <w:contextualSpacing/>
    </w:pPr>
  </w:style>
  <w:style w:type="paragraph" w:styleId="36">
    <w:name w:val="List Continue 3"/>
    <w:basedOn w:val="a1"/>
    <w:uiPriority w:val="99"/>
    <w:unhideWhenUsed/>
    <w:pPr>
      <w:spacing w:after="120"/>
      <w:ind w:left="1080"/>
      <w:contextualSpacing/>
    </w:pPr>
  </w:style>
  <w:style w:type="paragraph" w:styleId="af2">
    <w:name w:val="Title"/>
    <w:basedOn w:val="a1"/>
    <w:next w:val="a1"/>
    <w:link w:val="af3"/>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af4">
    <w:name w:val="Table Grid"/>
    <w:basedOn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Light Shading"/>
    <w:basedOn w:val="a3"/>
    <w:uiPriority w:val="60"/>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qFormat/>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qFormat/>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6">
    <w:name w:val="Light List"/>
    <w:basedOn w:val="a3"/>
    <w:uiPriority w:val="61"/>
    <w:qFormat/>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7">
    <w:name w:val="Light Grid"/>
    <w:basedOn w:val="a3"/>
    <w:uiPriority w:val="62"/>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11">
    <w:name w:val="Light Grid Accent 1"/>
    <w:basedOn w:val="a3"/>
    <w:uiPriority w:val="62"/>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21">
    <w:name w:val="Light Grid Accent 2"/>
    <w:basedOn w:val="a3"/>
    <w:uiPriority w:val="62"/>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31">
    <w:name w:val="Light Grid Accent 3"/>
    <w:basedOn w:val="a3"/>
    <w:uiPriority w:val="62"/>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41">
    <w:name w:val="Light Grid Accent 4"/>
    <w:basedOn w:val="a3"/>
    <w:uiPriority w:val="62"/>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51">
    <w:name w:val="Light Grid Accent 5"/>
    <w:basedOn w:val="a3"/>
    <w:uiPriority w:val="62"/>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61">
    <w:name w:val="Light Grid Accent 6"/>
    <w:basedOn w:val="a3"/>
    <w:uiPriority w:val="62"/>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11">
    <w:name w:val="Medium Shading 1"/>
    <w:basedOn w:val="a3"/>
    <w:uiPriority w:val="63"/>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qFormat/>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qFormat/>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3-1">
    <w:name w:val="Medium Grid 3 Accent 1"/>
    <w:basedOn w:val="a3"/>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3-2">
    <w:name w:val="Medium Grid 3 Accent 2"/>
    <w:basedOn w:val="a3"/>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3-3">
    <w:name w:val="Medium Grid 3 Accent 3"/>
    <w:basedOn w:val="a3"/>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3-4">
    <w:name w:val="Medium Grid 3 Accent 4"/>
    <w:basedOn w:val="a3"/>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3-5">
    <w:name w:val="Medium Grid 3 Accent 5"/>
    <w:basedOn w:val="a3"/>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3-6">
    <w:name w:val="Medium Grid 3 Accent 6"/>
    <w:basedOn w:val="a3"/>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af8">
    <w:name w:val="Dark List"/>
    <w:basedOn w:val="a3"/>
    <w:uiPriority w:val="7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qFormat/>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qFormat/>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qFormat/>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qFormat/>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qFormat/>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9">
    <w:name w:val="Colorful Shading"/>
    <w:basedOn w:val="a3"/>
    <w:uiPriority w:val="71"/>
    <w:qFormat/>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a">
    <w:name w:val="Colorful List"/>
    <w:basedOn w:val="a3"/>
    <w:uiPriority w:val="7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b">
    <w:name w:val="Colorful Grid"/>
    <w:basedOn w:val="a3"/>
    <w:uiPriority w:val="73"/>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c">
    <w:name w:val="Strong"/>
    <w:basedOn w:val="a2"/>
    <w:uiPriority w:val="22"/>
    <w:qFormat/>
    <w:rPr>
      <w:b/>
      <w:bCs/>
    </w:rPr>
  </w:style>
  <w:style w:type="character" w:styleId="afd">
    <w:name w:val="Emphasis"/>
    <w:basedOn w:val="a2"/>
    <w:uiPriority w:val="20"/>
    <w:qFormat/>
    <w:rPr>
      <w:i/>
      <w:iCs/>
    </w:rPr>
  </w:style>
  <w:style w:type="character" w:customStyle="1" w:styleId="ae">
    <w:name w:val="页眉 字符"/>
    <w:basedOn w:val="a2"/>
    <w:link w:val="ad"/>
    <w:uiPriority w:val="99"/>
  </w:style>
  <w:style w:type="character" w:customStyle="1" w:styleId="ac">
    <w:name w:val="页脚 字符"/>
    <w:basedOn w:val="a2"/>
    <w:link w:val="ab"/>
    <w:uiPriority w:val="99"/>
  </w:style>
  <w:style w:type="paragraph" w:styleId="afe">
    <w:name w:val="No Spacing"/>
    <w:uiPriority w:val="1"/>
    <w:qFormat/>
    <w:rPr>
      <w:sz w:val="22"/>
      <w:szCs w:val="22"/>
      <w:lang w:eastAsia="en-US"/>
    </w:rPr>
  </w:style>
  <w:style w:type="character" w:customStyle="1" w:styleId="10">
    <w:name w:val="标题 1 字符"/>
    <w:basedOn w:val="a2"/>
    <w:link w:val="1"/>
    <w:uiPriority w:val="9"/>
    <w:qFormat/>
    <w:rPr>
      <w:rFonts w:asciiTheme="majorHAnsi" w:eastAsiaTheme="majorEastAsia" w:hAnsiTheme="majorHAnsi" w:cstheme="majorBidi"/>
      <w:b/>
      <w:bCs/>
      <w:color w:val="365F91" w:themeColor="accent1" w:themeShade="BF"/>
      <w:sz w:val="28"/>
      <w:szCs w:val="28"/>
    </w:rPr>
  </w:style>
  <w:style w:type="character" w:customStyle="1" w:styleId="22">
    <w:name w:val="标题 2 字符"/>
    <w:basedOn w:val="a2"/>
    <w:link w:val="21"/>
    <w:uiPriority w:val="9"/>
    <w:rPr>
      <w:rFonts w:asciiTheme="majorHAnsi" w:eastAsiaTheme="majorEastAsia" w:hAnsiTheme="majorHAnsi" w:cstheme="majorBidi"/>
      <w:b/>
      <w:bCs/>
      <w:color w:val="4F81BD" w:themeColor="accent1"/>
      <w:sz w:val="26"/>
      <w:szCs w:val="26"/>
    </w:rPr>
  </w:style>
  <w:style w:type="character" w:customStyle="1" w:styleId="32">
    <w:name w:val="标题 3 字符"/>
    <w:basedOn w:val="a2"/>
    <w:link w:val="31"/>
    <w:uiPriority w:val="9"/>
    <w:rPr>
      <w:rFonts w:asciiTheme="majorHAnsi" w:eastAsiaTheme="majorEastAsia" w:hAnsiTheme="majorHAnsi" w:cstheme="majorBidi"/>
      <w:b/>
      <w:bCs/>
      <w:color w:val="4F81BD" w:themeColor="accent1"/>
    </w:rPr>
  </w:style>
  <w:style w:type="character" w:customStyle="1" w:styleId="af3">
    <w:name w:val="标题 字符"/>
    <w:basedOn w:val="a2"/>
    <w:link w:val="af2"/>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af0">
    <w:name w:val="副标题 字符"/>
    <w:basedOn w:val="a2"/>
    <w:link w:val="af"/>
    <w:uiPriority w:val="11"/>
    <w:rPr>
      <w:rFonts w:asciiTheme="majorHAnsi" w:eastAsiaTheme="majorEastAsia" w:hAnsiTheme="majorHAnsi" w:cstheme="majorBidi"/>
      <w:i/>
      <w:iCs/>
      <w:color w:val="4F81BD" w:themeColor="accent1"/>
      <w:spacing w:val="15"/>
      <w:sz w:val="24"/>
      <w:szCs w:val="24"/>
    </w:rPr>
  </w:style>
  <w:style w:type="paragraph" w:styleId="aff">
    <w:name w:val="List Paragraph"/>
    <w:basedOn w:val="a1"/>
    <w:uiPriority w:val="34"/>
    <w:qFormat/>
    <w:pPr>
      <w:ind w:left="720"/>
      <w:contextualSpacing/>
    </w:pPr>
  </w:style>
  <w:style w:type="character" w:customStyle="1" w:styleId="a9">
    <w:name w:val="正文文本 字符"/>
    <w:basedOn w:val="a2"/>
    <w:link w:val="a8"/>
    <w:uiPriority w:val="99"/>
  </w:style>
  <w:style w:type="character" w:customStyle="1" w:styleId="25">
    <w:name w:val="正文文本 2 字符"/>
    <w:basedOn w:val="a2"/>
    <w:link w:val="24"/>
    <w:uiPriority w:val="99"/>
  </w:style>
  <w:style w:type="character" w:customStyle="1" w:styleId="35">
    <w:name w:val="正文文本 3 字符"/>
    <w:basedOn w:val="a2"/>
    <w:link w:val="34"/>
    <w:uiPriority w:val="99"/>
    <w:rPr>
      <w:sz w:val="16"/>
      <w:szCs w:val="16"/>
    </w:rPr>
  </w:style>
  <w:style w:type="character" w:customStyle="1" w:styleId="a6">
    <w:name w:val="宏文本 字符"/>
    <w:basedOn w:val="a2"/>
    <w:link w:val="a5"/>
    <w:uiPriority w:val="99"/>
    <w:rPr>
      <w:rFonts w:ascii="Courier" w:hAnsi="Courier"/>
      <w:sz w:val="20"/>
      <w:szCs w:val="20"/>
    </w:rPr>
  </w:style>
  <w:style w:type="paragraph" w:styleId="aff0">
    <w:name w:val="Quote"/>
    <w:basedOn w:val="a1"/>
    <w:next w:val="a1"/>
    <w:link w:val="aff1"/>
    <w:uiPriority w:val="29"/>
    <w:qFormat/>
    <w:rPr>
      <w:i/>
      <w:iCs/>
      <w:color w:val="000000" w:themeColor="text1"/>
    </w:rPr>
  </w:style>
  <w:style w:type="character" w:customStyle="1" w:styleId="aff1">
    <w:name w:val="引用 字符"/>
    <w:basedOn w:val="a2"/>
    <w:link w:val="aff0"/>
    <w:uiPriority w:val="29"/>
    <w:rPr>
      <w:i/>
      <w:iCs/>
      <w:color w:val="000000" w:themeColor="text1"/>
    </w:rPr>
  </w:style>
  <w:style w:type="character" w:customStyle="1" w:styleId="40">
    <w:name w:val="标题 4 字符"/>
    <w:basedOn w:val="a2"/>
    <w:link w:val="4"/>
    <w:uiPriority w:val="9"/>
    <w:semiHidden/>
    <w:rPr>
      <w:rFonts w:asciiTheme="majorHAnsi" w:eastAsiaTheme="majorEastAsia" w:hAnsiTheme="majorHAnsi" w:cstheme="majorBidi"/>
      <w:b/>
      <w:bCs/>
      <w:i/>
      <w:iCs/>
      <w:color w:val="4F81BD" w:themeColor="accent1"/>
    </w:rPr>
  </w:style>
  <w:style w:type="character" w:customStyle="1" w:styleId="50">
    <w:name w:val="标题 5 字符"/>
    <w:basedOn w:val="a2"/>
    <w:link w:val="5"/>
    <w:uiPriority w:val="9"/>
    <w:semiHidden/>
    <w:qFormat/>
    <w:rPr>
      <w:rFonts w:asciiTheme="majorHAnsi" w:eastAsiaTheme="majorEastAsia" w:hAnsiTheme="majorHAnsi" w:cstheme="majorBidi"/>
      <w:color w:val="244061" w:themeColor="accent1" w:themeShade="80"/>
    </w:rPr>
  </w:style>
  <w:style w:type="character" w:customStyle="1" w:styleId="60">
    <w:name w:val="标题 6 字符"/>
    <w:basedOn w:val="a2"/>
    <w:link w:val="6"/>
    <w:uiPriority w:val="9"/>
    <w:semiHidden/>
    <w:rPr>
      <w:rFonts w:asciiTheme="majorHAnsi" w:eastAsiaTheme="majorEastAsia" w:hAnsiTheme="majorHAnsi" w:cstheme="majorBidi"/>
      <w:i/>
      <w:iCs/>
      <w:color w:val="244061" w:themeColor="accent1" w:themeShade="80"/>
    </w:rPr>
  </w:style>
  <w:style w:type="character" w:customStyle="1" w:styleId="70">
    <w:name w:val="标题 7 字符"/>
    <w:basedOn w:val="a2"/>
    <w:link w:val="7"/>
    <w:uiPriority w:val="9"/>
    <w:semiHidden/>
    <w:rPr>
      <w:rFonts w:asciiTheme="majorHAnsi" w:eastAsiaTheme="majorEastAsia" w:hAnsiTheme="majorHAnsi" w:cstheme="majorBidi"/>
      <w:i/>
      <w:iCs/>
      <w:color w:val="404040" w:themeColor="text1" w:themeTint="BF"/>
    </w:rPr>
  </w:style>
  <w:style w:type="character" w:customStyle="1" w:styleId="80">
    <w:name w:val="标题 8 字符"/>
    <w:basedOn w:val="a2"/>
    <w:link w:val="8"/>
    <w:uiPriority w:val="9"/>
    <w:semiHidden/>
    <w:rPr>
      <w:rFonts w:asciiTheme="majorHAnsi" w:eastAsiaTheme="majorEastAsia" w:hAnsiTheme="majorHAnsi" w:cstheme="majorBidi"/>
      <w:color w:val="4F81BD" w:themeColor="accent1"/>
      <w:sz w:val="20"/>
      <w:szCs w:val="20"/>
    </w:rPr>
  </w:style>
  <w:style w:type="character" w:customStyle="1" w:styleId="90">
    <w:name w:val="标题 9 字符"/>
    <w:basedOn w:val="a2"/>
    <w:link w:val="9"/>
    <w:uiPriority w:val="9"/>
    <w:semiHidden/>
    <w:rPr>
      <w:rFonts w:asciiTheme="majorHAnsi" w:eastAsiaTheme="majorEastAsia" w:hAnsiTheme="majorHAnsi" w:cstheme="majorBidi"/>
      <w:i/>
      <w:iCs/>
      <w:color w:val="404040" w:themeColor="text1" w:themeTint="BF"/>
      <w:sz w:val="20"/>
      <w:szCs w:val="20"/>
    </w:rPr>
  </w:style>
  <w:style w:type="paragraph" w:styleId="aff2">
    <w:name w:val="Intense Quote"/>
    <w:basedOn w:val="a1"/>
    <w:next w:val="a1"/>
    <w:link w:val="aff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ff3">
    <w:name w:val="明显引用 字符"/>
    <w:basedOn w:val="a2"/>
    <w:link w:val="aff2"/>
    <w:uiPriority w:val="30"/>
    <w:rPr>
      <w:b/>
      <w:bCs/>
      <w:i/>
      <w:iCs/>
      <w:color w:val="4F81BD" w:themeColor="accent1"/>
    </w:rPr>
  </w:style>
  <w:style w:type="character" w:customStyle="1" w:styleId="14">
    <w:name w:val="不明显强调1"/>
    <w:basedOn w:val="a2"/>
    <w:uiPriority w:val="19"/>
    <w:qFormat/>
    <w:rPr>
      <w:i/>
      <w:iCs/>
      <w:color w:val="7F7F7F" w:themeColor="text1" w:themeTint="80"/>
    </w:rPr>
  </w:style>
  <w:style w:type="character" w:customStyle="1" w:styleId="15">
    <w:name w:val="明显强调1"/>
    <w:basedOn w:val="a2"/>
    <w:uiPriority w:val="21"/>
    <w:qFormat/>
    <w:rPr>
      <w:b/>
      <w:bCs/>
      <w:i/>
      <w:iCs/>
      <w:color w:val="4F81BD" w:themeColor="accent1"/>
    </w:rPr>
  </w:style>
  <w:style w:type="character" w:customStyle="1" w:styleId="16">
    <w:name w:val="不明显参考1"/>
    <w:basedOn w:val="a2"/>
    <w:uiPriority w:val="31"/>
    <w:qFormat/>
    <w:rPr>
      <w:smallCaps/>
      <w:color w:val="C0504D" w:themeColor="accent2"/>
      <w:u w:val="single"/>
    </w:rPr>
  </w:style>
  <w:style w:type="character" w:customStyle="1" w:styleId="17">
    <w:name w:val="明显参考1"/>
    <w:basedOn w:val="a2"/>
    <w:uiPriority w:val="32"/>
    <w:qFormat/>
    <w:rPr>
      <w:b/>
      <w:bCs/>
      <w:smallCaps/>
      <w:color w:val="C0504D" w:themeColor="accent2"/>
      <w:spacing w:val="5"/>
      <w:u w:val="single"/>
    </w:rPr>
  </w:style>
  <w:style w:type="character" w:customStyle="1" w:styleId="18">
    <w:name w:val="书籍标题1"/>
    <w:basedOn w:val="a2"/>
    <w:uiPriority w:val="33"/>
    <w:qFormat/>
    <w:rPr>
      <w:b/>
      <w:bCs/>
      <w:smallCaps/>
      <w:spacing w:val="5"/>
    </w:rPr>
  </w:style>
  <w:style w:type="paragraph" w:customStyle="1" w:styleId="TOC1">
    <w:name w:val="TOC 标题1"/>
    <w:basedOn w:val="1"/>
    <w:next w:val="a1"/>
    <w:uiPriority w:val="39"/>
    <w:semiHidden/>
    <w:unhideWhenUsed/>
    <w:qFormat/>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838</Words>
  <Characters>4782</Characters>
  <Application>Microsoft Office Word</Application>
  <DocSecurity>0</DocSecurity>
  <Lines>39</Lines>
  <Paragraphs>11</Paragraphs>
  <ScaleCrop>false</ScaleCrop>
  <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python-docx</dc:creator>
  <dc:description>generated by python-docx</dc:description>
  <cp:lastModifiedBy>yinqing su</cp:lastModifiedBy>
  <cp:revision>2</cp:revision>
  <dcterms:created xsi:type="dcterms:W3CDTF">2026-02-14T05:10:00Z</dcterms:created>
  <dcterms:modified xsi:type="dcterms:W3CDTF">2026-02-14T05:10:00Z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eyJoZGlkIjoiOTc3M2Y5NzIzMDFlZjAyY2Q4Njk5ODkyYjFjNzBiNTQiLCJ1c2VySWQiOiIzMTgyODIzMTcifQ==</vt:lpwstr>
  </property>
  <property fmtid="{D5CDD505-2E9C-101B-9397-08002B2CF9AE}" pid="3" name="KSOProductBuildVer">
    <vt:lpwstr>2052-12.1.0.24034</vt:lpwstr>
  </property>
  <property fmtid="{D5CDD505-2E9C-101B-9397-08002B2CF9AE}" pid="4" name="ICV">
    <vt:lpwstr>7B27AE543CA444BD8C2E525EE7794143_12</vt:lpwstr>
  </property>
</Properties>
</file>