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759" w14:textId="77777777" w:rsidR="00D05484" w:rsidRPr="00B624C2" w:rsidRDefault="0044292F" w:rsidP="00CB58D4">
      <w:pPr>
        <w:spacing w:line="360" w:lineRule="auto"/>
        <w:jc w:val="center"/>
        <w:rPr>
          <w:rFonts w:ascii="Times New Roman" w:hAnsi="Times New Roman" w:cs="Times New Roman"/>
          <w:sz w:val="44"/>
          <w:szCs w:val="44"/>
        </w:rPr>
      </w:pPr>
      <w:r w:rsidRPr="00B624C2">
        <w:rPr>
          <w:rFonts w:ascii="Times New Roman" w:hAnsi="Times New Roman" w:cs="Times New Roman"/>
          <w:sz w:val="44"/>
          <w:szCs w:val="44"/>
        </w:rPr>
        <w:t>Supplementary Materials</w:t>
      </w:r>
    </w:p>
    <w:p w14:paraId="49307552" w14:textId="207976F2" w:rsidR="002476AE" w:rsidRPr="002476AE" w:rsidRDefault="002476AE" w:rsidP="00FA1814">
      <w:pPr>
        <w:spacing w:beforeLines="300" w:before="936" w:line="360" w:lineRule="auto"/>
        <w:jc w:val="center"/>
        <w:rPr>
          <w:rFonts w:ascii="Times New Roman" w:eastAsiaTheme="majorEastAsia" w:hAnsi="Times New Roman" w:cs="Times New Roman"/>
          <w:b/>
          <w:bCs/>
          <w:sz w:val="30"/>
          <w:szCs w:val="30"/>
        </w:rPr>
      </w:pPr>
      <w:bookmarkStart w:id="0" w:name="_Hlk137131536"/>
      <w:r w:rsidRPr="002476AE">
        <w:rPr>
          <w:rFonts w:ascii="Times New Roman" w:eastAsiaTheme="majorEastAsia" w:hAnsi="Times New Roman" w:cs="Times New Roman"/>
          <w:b/>
          <w:bCs/>
          <w:sz w:val="30"/>
          <w:szCs w:val="30"/>
        </w:rPr>
        <w:t>Enhanced Enzyme-like Activity in Bimetallic Cu-Co Prussian Blue Analogues: Highly Sensitive Glucose Detection and Efficient Antibacterial Applications</w:t>
      </w:r>
    </w:p>
    <w:p w14:paraId="0B4C5E6B" w14:textId="6D2C9069" w:rsidR="00BC52B2" w:rsidRPr="00A80FBE" w:rsidRDefault="00BC52B2" w:rsidP="00BC52B2">
      <w:pPr>
        <w:spacing w:beforeLines="100" w:before="312" w:line="360" w:lineRule="auto"/>
        <w:jc w:val="center"/>
        <w:rPr>
          <w:rFonts w:ascii="Times New Roman" w:eastAsia="等线" w:hAnsi="Times New Roman" w:cs="Times New Roman"/>
          <w:i/>
          <w:iCs/>
          <w:szCs w:val="21"/>
        </w:rPr>
      </w:pPr>
      <w:proofErr w:type="spellStart"/>
      <w:r w:rsidRPr="00A80FBE">
        <w:rPr>
          <w:rFonts w:ascii="Times New Roman" w:eastAsia="等线" w:hAnsi="Times New Roman" w:cs="Times New Roman"/>
          <w:i/>
          <w:iCs/>
          <w:szCs w:val="21"/>
        </w:rPr>
        <w:t>Yaohua</w:t>
      </w:r>
      <w:proofErr w:type="spellEnd"/>
      <w:r w:rsidRPr="00A80FBE">
        <w:rPr>
          <w:rFonts w:ascii="Times New Roman" w:eastAsia="等线" w:hAnsi="Times New Roman" w:cs="Times New Roman"/>
          <w:i/>
          <w:iCs/>
          <w:szCs w:val="21"/>
        </w:rPr>
        <w:t xml:space="preserve"> Gu</w:t>
      </w:r>
      <w:r w:rsidRPr="00A80FBE">
        <w:rPr>
          <w:rFonts w:ascii="Times New Roman" w:eastAsia="等线" w:hAnsi="Times New Roman" w:cs="Times New Roman"/>
          <w:i/>
          <w:iCs/>
          <w:szCs w:val="21"/>
          <w:vertAlign w:val="superscript"/>
        </w:rPr>
        <w:t xml:space="preserve"> a,1</w:t>
      </w:r>
      <w:r w:rsidRPr="00A80FBE">
        <w:rPr>
          <w:rFonts w:ascii="Times New Roman" w:eastAsia="等线" w:hAnsi="Times New Roman" w:cs="Times New Roman"/>
          <w:i/>
          <w:iCs/>
          <w:szCs w:val="21"/>
        </w:rPr>
        <w:t xml:space="preserve">, Xiaoqing Zhang </w:t>
      </w:r>
      <w:r w:rsidRPr="00A80FBE">
        <w:rPr>
          <w:rFonts w:ascii="Times New Roman" w:eastAsia="等线" w:hAnsi="Times New Roman" w:cs="Times New Roman"/>
          <w:i/>
          <w:iCs/>
          <w:szCs w:val="21"/>
          <w:vertAlign w:val="superscript"/>
        </w:rPr>
        <w:t>a,1</w:t>
      </w:r>
      <w:r w:rsidRPr="00A80FBE">
        <w:rPr>
          <w:rFonts w:ascii="Times New Roman" w:eastAsia="等线" w:hAnsi="Times New Roman" w:cs="Times New Roman"/>
          <w:i/>
          <w:iCs/>
          <w:szCs w:val="21"/>
        </w:rPr>
        <w:t>,</w:t>
      </w:r>
      <w:r>
        <w:rPr>
          <w:rFonts w:ascii="Times New Roman" w:eastAsia="等线" w:hAnsi="Times New Roman" w:cs="Times New Roman"/>
          <w:i/>
          <w:iCs/>
          <w:szCs w:val="21"/>
        </w:rPr>
        <w:t xml:space="preserve"> </w:t>
      </w:r>
      <w:proofErr w:type="spellStart"/>
      <w:r>
        <w:rPr>
          <w:rFonts w:ascii="Times New Roman" w:eastAsia="等线" w:hAnsi="Times New Roman" w:cs="Times New Roman" w:hint="eastAsia"/>
          <w:i/>
          <w:iCs/>
          <w:szCs w:val="21"/>
        </w:rPr>
        <w:t>Gonghui</w:t>
      </w:r>
      <w:proofErr w:type="spellEnd"/>
      <w:r>
        <w:rPr>
          <w:rFonts w:ascii="Times New Roman" w:eastAsia="等线" w:hAnsi="Times New Roman" w:cs="Times New Roman" w:hint="eastAsia"/>
          <w:i/>
          <w:iCs/>
          <w:szCs w:val="21"/>
        </w:rPr>
        <w:t xml:space="preserve"> Wang</w:t>
      </w:r>
      <w:r w:rsidRPr="00935F79">
        <w:rPr>
          <w:rFonts w:ascii="Times New Roman" w:eastAsia="等线" w:hAnsi="Times New Roman" w:cs="Times New Roman"/>
          <w:i/>
          <w:iCs/>
          <w:szCs w:val="21"/>
          <w:vertAlign w:val="superscript"/>
        </w:rPr>
        <w:t xml:space="preserve"> </w:t>
      </w:r>
      <w:r w:rsidRPr="00A80FBE">
        <w:rPr>
          <w:rFonts w:ascii="Times New Roman" w:eastAsia="等线" w:hAnsi="Times New Roman" w:cs="Times New Roman"/>
          <w:i/>
          <w:iCs/>
          <w:szCs w:val="21"/>
          <w:vertAlign w:val="superscript"/>
        </w:rPr>
        <w:t>a</w:t>
      </w:r>
      <w:r>
        <w:rPr>
          <w:rFonts w:ascii="Times New Roman" w:eastAsia="等线" w:hAnsi="Times New Roman" w:cs="Times New Roman"/>
          <w:i/>
          <w:iCs/>
          <w:szCs w:val="21"/>
          <w:vertAlign w:val="superscript"/>
        </w:rPr>
        <w:t>,1</w:t>
      </w:r>
      <w:r>
        <w:rPr>
          <w:rFonts w:ascii="Times New Roman" w:eastAsia="等线" w:hAnsi="Times New Roman" w:cs="Times New Roman" w:hint="eastAsia"/>
          <w:i/>
          <w:iCs/>
          <w:szCs w:val="21"/>
        </w:rPr>
        <w:t xml:space="preserve">, </w:t>
      </w:r>
      <w:r w:rsidRPr="00CE1AC6">
        <w:rPr>
          <w:rFonts w:ascii="Times New Roman" w:eastAsia="等线" w:hAnsi="Times New Roman" w:cs="Times New Roman" w:hint="eastAsia"/>
          <w:i/>
          <w:iCs/>
          <w:szCs w:val="21"/>
        </w:rPr>
        <w:t>Kehan Shi</w:t>
      </w:r>
      <w:r w:rsidRPr="00935F79">
        <w:rPr>
          <w:rFonts w:ascii="Times New Roman" w:eastAsia="等线" w:hAnsi="Times New Roman" w:cs="Times New Roman"/>
          <w:i/>
          <w:iCs/>
          <w:szCs w:val="21"/>
          <w:vertAlign w:val="superscript"/>
        </w:rPr>
        <w:t xml:space="preserve"> </w:t>
      </w:r>
      <w:r w:rsidRPr="00A80FBE">
        <w:rPr>
          <w:rFonts w:ascii="Times New Roman" w:eastAsia="等线" w:hAnsi="Times New Roman" w:cs="Times New Roman"/>
          <w:i/>
          <w:iCs/>
          <w:szCs w:val="21"/>
          <w:vertAlign w:val="superscript"/>
        </w:rPr>
        <w:t>a</w:t>
      </w:r>
      <w:r>
        <w:rPr>
          <w:rFonts w:ascii="Times New Roman" w:eastAsia="等线" w:hAnsi="Times New Roman" w:cs="Times New Roman"/>
          <w:i/>
          <w:iCs/>
          <w:szCs w:val="21"/>
          <w:vertAlign w:val="superscript"/>
        </w:rPr>
        <w:t>,1</w:t>
      </w:r>
      <w:r w:rsidRPr="00A80FBE">
        <w:rPr>
          <w:rFonts w:ascii="Times New Roman" w:eastAsia="等线" w:hAnsi="Times New Roman" w:cs="Times New Roman"/>
          <w:i/>
          <w:iCs/>
          <w:szCs w:val="21"/>
        </w:rPr>
        <w:t xml:space="preserve">, </w:t>
      </w:r>
      <w:r w:rsidRPr="00CE1AC6">
        <w:rPr>
          <w:rFonts w:ascii="Times New Roman" w:eastAsia="等线" w:hAnsi="Times New Roman" w:cs="Times New Roman" w:hint="eastAsia"/>
          <w:i/>
          <w:iCs/>
          <w:szCs w:val="21"/>
        </w:rPr>
        <w:t>Danian</w:t>
      </w:r>
      <w:r w:rsidRPr="00CE1AC6">
        <w:rPr>
          <w:rFonts w:ascii="Times New Roman" w:eastAsia="等线" w:hAnsi="Times New Roman" w:cs="Times New Roman"/>
          <w:i/>
          <w:iCs/>
          <w:szCs w:val="21"/>
        </w:rPr>
        <w:t xml:space="preserve"> </w:t>
      </w:r>
      <w:r w:rsidRPr="00CE1AC6">
        <w:rPr>
          <w:rFonts w:ascii="Times New Roman" w:eastAsia="等线" w:hAnsi="Times New Roman" w:cs="Times New Roman" w:hint="eastAsia"/>
          <w:i/>
          <w:iCs/>
          <w:szCs w:val="21"/>
        </w:rPr>
        <w:t>Tian</w:t>
      </w:r>
      <w:r w:rsidRPr="00A80FBE">
        <w:rPr>
          <w:rFonts w:ascii="Times New Roman" w:eastAsia="等线" w:hAnsi="Times New Roman" w:cs="Times New Roman"/>
          <w:i/>
          <w:iCs/>
          <w:szCs w:val="21"/>
          <w:vertAlign w:val="superscript"/>
        </w:rPr>
        <w:t xml:space="preserve"> </w:t>
      </w:r>
      <w:proofErr w:type="gramStart"/>
      <w:r w:rsidRPr="00A80FBE">
        <w:rPr>
          <w:rFonts w:ascii="Times New Roman" w:eastAsia="等线" w:hAnsi="Times New Roman" w:cs="Times New Roman"/>
          <w:i/>
          <w:iCs/>
          <w:szCs w:val="21"/>
          <w:vertAlign w:val="superscript"/>
        </w:rPr>
        <w:t>a,</w:t>
      </w:r>
      <w:r w:rsidR="00FA1814">
        <w:rPr>
          <w:rFonts w:ascii="Times New Roman" w:eastAsia="等线" w:hAnsi="Times New Roman" w:cs="Times New Roman" w:hint="eastAsia"/>
          <w:i/>
          <w:iCs/>
          <w:szCs w:val="21"/>
          <w:vertAlign w:val="superscript"/>
        </w:rPr>
        <w:t>*</w:t>
      </w:r>
      <w:proofErr w:type="gramEnd"/>
      <w:r w:rsidRPr="00A80FBE">
        <w:rPr>
          <w:rFonts w:ascii="Times New Roman" w:eastAsia="等线" w:hAnsi="Times New Roman" w:cs="Times New Roman"/>
          <w:i/>
          <w:iCs/>
          <w:szCs w:val="21"/>
        </w:rPr>
        <w:t>,</w:t>
      </w:r>
    </w:p>
    <w:p w14:paraId="0BCEE75F" w14:textId="77777777" w:rsidR="00BC52B2" w:rsidRPr="00A80FBE" w:rsidRDefault="00BC52B2" w:rsidP="00BC52B2">
      <w:pPr>
        <w:spacing w:line="360" w:lineRule="auto"/>
        <w:jc w:val="center"/>
        <w:rPr>
          <w:rFonts w:ascii="Times New Roman" w:eastAsia="等线" w:hAnsi="Times New Roman" w:cs="Times New Roman"/>
          <w:i/>
          <w:iCs/>
          <w:szCs w:val="21"/>
        </w:rPr>
      </w:pPr>
      <w:r w:rsidRPr="00A80FBE">
        <w:rPr>
          <w:rFonts w:ascii="Times New Roman" w:eastAsia="等线" w:hAnsi="Times New Roman" w:cs="Times New Roman"/>
          <w:i/>
          <w:iCs/>
          <w:szCs w:val="21"/>
        </w:rPr>
        <w:t>Keren Shi</w:t>
      </w:r>
      <w:r w:rsidRPr="00A80FBE">
        <w:rPr>
          <w:rFonts w:ascii="Times New Roman" w:eastAsia="等线" w:hAnsi="Times New Roman" w:cs="Times New Roman"/>
          <w:i/>
          <w:iCs/>
          <w:szCs w:val="21"/>
          <w:vertAlign w:val="superscript"/>
        </w:rPr>
        <w:t xml:space="preserve"> b</w:t>
      </w:r>
      <w:r w:rsidRPr="00A80FBE">
        <w:rPr>
          <w:rFonts w:ascii="Times New Roman" w:eastAsia="等线" w:hAnsi="Times New Roman" w:cs="Times New Roman"/>
          <w:i/>
          <w:iCs/>
          <w:szCs w:val="21"/>
        </w:rPr>
        <w:t xml:space="preserve">, </w:t>
      </w:r>
      <w:proofErr w:type="spellStart"/>
      <w:r w:rsidRPr="00A80FBE">
        <w:rPr>
          <w:rFonts w:ascii="Times New Roman" w:eastAsia="等线" w:hAnsi="Times New Roman" w:cs="Times New Roman" w:hint="eastAsia"/>
          <w:i/>
          <w:iCs/>
          <w:szCs w:val="21"/>
        </w:rPr>
        <w:t>Ruy</w:t>
      </w:r>
      <w:r w:rsidRPr="00A80FBE">
        <w:rPr>
          <w:rFonts w:ascii="Times New Roman" w:eastAsia="等线" w:hAnsi="Times New Roman" w:cs="Times New Roman"/>
          <w:i/>
          <w:iCs/>
          <w:szCs w:val="21"/>
        </w:rPr>
        <w:t>u</w:t>
      </w:r>
      <w:proofErr w:type="spellEnd"/>
      <w:r w:rsidRPr="00A80FBE">
        <w:rPr>
          <w:rFonts w:ascii="Times New Roman" w:eastAsia="等线" w:hAnsi="Times New Roman" w:cs="Times New Roman"/>
          <w:i/>
          <w:iCs/>
          <w:szCs w:val="21"/>
        </w:rPr>
        <w:t xml:space="preserve"> Bai</w:t>
      </w:r>
      <w:r w:rsidRPr="00A80FBE">
        <w:rPr>
          <w:rFonts w:ascii="Times New Roman" w:eastAsia="等线" w:hAnsi="Times New Roman" w:cs="Times New Roman"/>
          <w:i/>
          <w:iCs/>
          <w:szCs w:val="21"/>
          <w:vertAlign w:val="superscript"/>
        </w:rPr>
        <w:t xml:space="preserve"> c</w:t>
      </w:r>
      <w:r w:rsidRPr="00A80FBE">
        <w:rPr>
          <w:rFonts w:ascii="Times New Roman" w:eastAsia="等线" w:hAnsi="Times New Roman" w:cs="Times New Roman"/>
          <w:i/>
          <w:iCs/>
          <w:szCs w:val="21"/>
        </w:rPr>
        <w:t xml:space="preserve">, </w:t>
      </w:r>
      <w:r>
        <w:rPr>
          <w:rFonts w:ascii="Times New Roman" w:eastAsia="等线" w:hAnsi="Times New Roman" w:cs="Times New Roman" w:hint="eastAsia"/>
          <w:i/>
          <w:iCs/>
          <w:szCs w:val="21"/>
        </w:rPr>
        <w:t>Mingming Li</w:t>
      </w:r>
      <w:r w:rsidRPr="00A80FBE">
        <w:rPr>
          <w:rFonts w:ascii="Times New Roman" w:eastAsia="等线" w:hAnsi="Times New Roman" w:cs="Times New Roman"/>
          <w:i/>
          <w:iCs/>
          <w:szCs w:val="21"/>
          <w:vertAlign w:val="superscript"/>
        </w:rPr>
        <w:t xml:space="preserve"> </w:t>
      </w:r>
      <w:proofErr w:type="gramStart"/>
      <w:r w:rsidRPr="00A80FBE">
        <w:rPr>
          <w:rFonts w:ascii="Times New Roman" w:eastAsia="等线" w:hAnsi="Times New Roman" w:cs="Times New Roman"/>
          <w:i/>
          <w:iCs/>
          <w:szCs w:val="21"/>
          <w:vertAlign w:val="superscript"/>
        </w:rPr>
        <w:t>a,</w:t>
      </w:r>
      <w:r>
        <w:rPr>
          <w:rFonts w:ascii="Times New Roman" w:eastAsia="等线" w:hAnsi="Times New Roman" w:cs="Times New Roman" w:hint="eastAsia"/>
          <w:i/>
          <w:iCs/>
          <w:szCs w:val="21"/>
          <w:vertAlign w:val="superscript"/>
        </w:rPr>
        <w:t>*</w:t>
      </w:r>
      <w:proofErr w:type="gramEnd"/>
      <w:r w:rsidRPr="000619B7">
        <w:rPr>
          <w:rFonts w:ascii="Times New Roman" w:eastAsia="等线" w:hAnsi="Times New Roman" w:cs="Times New Roman" w:hint="eastAsia"/>
          <w:i/>
          <w:iCs/>
          <w:szCs w:val="21"/>
        </w:rPr>
        <w:t>,</w:t>
      </w:r>
      <w:r w:rsidRPr="00A80FBE">
        <w:rPr>
          <w:rFonts w:ascii="Times New Roman" w:eastAsia="等线" w:hAnsi="Times New Roman" w:cs="Times New Roman"/>
          <w:i/>
          <w:iCs/>
          <w:szCs w:val="21"/>
        </w:rPr>
        <w:t xml:space="preserve"> </w:t>
      </w:r>
      <w:proofErr w:type="spellStart"/>
      <w:r w:rsidRPr="00A80FBE">
        <w:rPr>
          <w:rFonts w:ascii="Times New Roman" w:eastAsia="等线" w:hAnsi="Times New Roman" w:cs="Times New Roman"/>
          <w:i/>
          <w:iCs/>
          <w:szCs w:val="21"/>
        </w:rPr>
        <w:t>Huiqin</w:t>
      </w:r>
      <w:proofErr w:type="spellEnd"/>
      <w:r w:rsidRPr="00A80FBE">
        <w:rPr>
          <w:rFonts w:ascii="Times New Roman" w:eastAsia="等线" w:hAnsi="Times New Roman" w:cs="Times New Roman"/>
          <w:i/>
          <w:iCs/>
          <w:szCs w:val="21"/>
        </w:rPr>
        <w:t xml:space="preserve"> Yao </w:t>
      </w:r>
      <w:proofErr w:type="gramStart"/>
      <w:r w:rsidRPr="00A80FBE">
        <w:rPr>
          <w:rFonts w:ascii="Times New Roman" w:eastAsia="等线" w:hAnsi="Times New Roman" w:cs="Times New Roman"/>
          <w:i/>
          <w:iCs/>
          <w:szCs w:val="21"/>
          <w:vertAlign w:val="superscript"/>
        </w:rPr>
        <w:t>a,*</w:t>
      </w:r>
      <w:proofErr w:type="gramEnd"/>
    </w:p>
    <w:p w14:paraId="1B8ED957" w14:textId="77777777" w:rsidR="00BC52B2" w:rsidRPr="00A80FBE" w:rsidRDefault="00BC52B2" w:rsidP="00BC52B2">
      <w:pPr>
        <w:spacing w:beforeLines="100" w:before="312" w:line="360" w:lineRule="auto"/>
        <w:jc w:val="center"/>
        <w:rPr>
          <w:rFonts w:ascii="Times New Roman" w:eastAsia="等线" w:hAnsi="Times New Roman" w:cs="Times New Roman"/>
          <w:i/>
          <w:iCs/>
          <w:szCs w:val="21"/>
        </w:rPr>
      </w:pPr>
      <w:r w:rsidRPr="00A80FBE">
        <w:rPr>
          <w:rFonts w:ascii="Times New Roman" w:eastAsia="等线" w:hAnsi="Times New Roman" w:cs="Times New Roman"/>
          <w:i/>
          <w:iCs/>
          <w:szCs w:val="21"/>
          <w:vertAlign w:val="superscript"/>
        </w:rPr>
        <w:t xml:space="preserve">a </w:t>
      </w:r>
      <w:r w:rsidRPr="00A80FBE">
        <w:rPr>
          <w:rFonts w:ascii="Times New Roman" w:eastAsia="等线" w:hAnsi="Times New Roman" w:cs="Times New Roman"/>
          <w:i/>
          <w:iCs/>
          <w:szCs w:val="21"/>
        </w:rPr>
        <w:t>College of Public Health, General Hospital of Ningxia Medical University, Ningxia Medical University, Yinchuan 750004, China.</w:t>
      </w:r>
    </w:p>
    <w:p w14:paraId="5234B06D" w14:textId="77777777" w:rsidR="00BC52B2" w:rsidRPr="00A80FBE" w:rsidRDefault="00BC52B2" w:rsidP="00BC52B2">
      <w:pPr>
        <w:spacing w:line="360" w:lineRule="auto"/>
        <w:jc w:val="center"/>
        <w:rPr>
          <w:rFonts w:ascii="Times New Roman" w:eastAsia="等线" w:hAnsi="Times New Roman" w:cs="Times New Roman"/>
          <w:i/>
          <w:iCs/>
          <w:szCs w:val="21"/>
        </w:rPr>
      </w:pPr>
      <w:r w:rsidRPr="00A80FBE">
        <w:rPr>
          <w:rFonts w:ascii="Times New Roman" w:eastAsia="等线" w:hAnsi="Times New Roman" w:cs="Times New Roman"/>
          <w:i/>
          <w:iCs/>
          <w:szCs w:val="21"/>
          <w:vertAlign w:val="superscript"/>
        </w:rPr>
        <w:t xml:space="preserve">b </w:t>
      </w:r>
      <w:r w:rsidRPr="00A80FBE">
        <w:rPr>
          <w:rFonts w:ascii="Times New Roman" w:eastAsia="等线" w:hAnsi="Times New Roman" w:cs="Times New Roman"/>
          <w:i/>
          <w:iCs/>
          <w:szCs w:val="21"/>
        </w:rPr>
        <w:t>State Key Laboratory of High-ef</w:t>
      </w:r>
      <w:r>
        <w:rPr>
          <w:rFonts w:ascii="Times New Roman" w:eastAsia="等线" w:hAnsi="Times New Roman" w:cs="Times New Roman"/>
          <w:i/>
          <w:iCs/>
          <w:szCs w:val="21"/>
        </w:rPr>
        <w:t>f</w:t>
      </w:r>
      <w:r w:rsidRPr="00A80FBE">
        <w:rPr>
          <w:rFonts w:ascii="Times New Roman" w:eastAsia="等线" w:hAnsi="Times New Roman" w:cs="Times New Roman"/>
          <w:i/>
          <w:iCs/>
          <w:szCs w:val="21"/>
        </w:rPr>
        <w:t>iciency</w:t>
      </w:r>
      <w:r>
        <w:rPr>
          <w:rFonts w:ascii="Times New Roman" w:eastAsia="等线" w:hAnsi="Times New Roman" w:cs="Times New Roman"/>
          <w:i/>
          <w:iCs/>
          <w:szCs w:val="21"/>
        </w:rPr>
        <w:t xml:space="preserve"> </w:t>
      </w:r>
      <w:r w:rsidRPr="00A80FBE">
        <w:rPr>
          <w:rFonts w:ascii="Times New Roman" w:eastAsia="等线" w:hAnsi="Times New Roman" w:cs="Times New Roman"/>
          <w:i/>
          <w:iCs/>
          <w:szCs w:val="21"/>
        </w:rPr>
        <w:t>Coal</w:t>
      </w:r>
      <w:r>
        <w:rPr>
          <w:rFonts w:ascii="Times New Roman" w:eastAsia="等线" w:hAnsi="Times New Roman" w:cs="Times New Roman"/>
          <w:i/>
          <w:iCs/>
          <w:szCs w:val="21"/>
        </w:rPr>
        <w:t xml:space="preserve"> </w:t>
      </w:r>
      <w:r w:rsidRPr="00A80FBE">
        <w:rPr>
          <w:rFonts w:ascii="Times New Roman" w:eastAsia="等线" w:hAnsi="Times New Roman" w:cs="Times New Roman"/>
          <w:i/>
          <w:iCs/>
          <w:szCs w:val="21"/>
        </w:rPr>
        <w:t>Utilization and</w:t>
      </w:r>
      <w:r>
        <w:rPr>
          <w:rFonts w:ascii="Times New Roman" w:eastAsia="等线" w:hAnsi="Times New Roman" w:cs="Times New Roman"/>
          <w:i/>
          <w:iCs/>
          <w:szCs w:val="21"/>
        </w:rPr>
        <w:t xml:space="preserve"> </w:t>
      </w:r>
      <w:r w:rsidRPr="00A80FBE">
        <w:rPr>
          <w:rFonts w:ascii="Times New Roman" w:eastAsia="等线" w:hAnsi="Times New Roman" w:cs="Times New Roman"/>
          <w:i/>
          <w:iCs/>
          <w:szCs w:val="21"/>
        </w:rPr>
        <w:t>Green</w:t>
      </w:r>
      <w:r>
        <w:rPr>
          <w:rFonts w:ascii="Times New Roman" w:eastAsia="等线" w:hAnsi="Times New Roman" w:cs="Times New Roman"/>
          <w:i/>
          <w:iCs/>
          <w:szCs w:val="21"/>
        </w:rPr>
        <w:t xml:space="preserve"> </w:t>
      </w:r>
      <w:r w:rsidRPr="00A80FBE">
        <w:rPr>
          <w:rFonts w:ascii="Times New Roman" w:eastAsia="等线" w:hAnsi="Times New Roman" w:cs="Times New Roman"/>
          <w:i/>
          <w:iCs/>
          <w:szCs w:val="21"/>
        </w:rPr>
        <w:t>Chemical</w:t>
      </w:r>
      <w:r>
        <w:rPr>
          <w:rFonts w:ascii="Times New Roman" w:eastAsia="等线" w:hAnsi="Times New Roman" w:cs="Times New Roman"/>
          <w:i/>
          <w:iCs/>
          <w:szCs w:val="21"/>
        </w:rPr>
        <w:t xml:space="preserve"> </w:t>
      </w:r>
      <w:r w:rsidRPr="00A80FBE">
        <w:rPr>
          <w:rFonts w:ascii="Times New Roman" w:eastAsia="等线" w:hAnsi="Times New Roman" w:cs="Times New Roman"/>
          <w:i/>
          <w:iCs/>
          <w:szCs w:val="21"/>
        </w:rPr>
        <w:t>Engineering,</w:t>
      </w:r>
    </w:p>
    <w:p w14:paraId="4A612CEC" w14:textId="77777777" w:rsidR="00BC52B2" w:rsidRPr="00A80FBE" w:rsidRDefault="00BC52B2" w:rsidP="00BC52B2">
      <w:pPr>
        <w:spacing w:line="360" w:lineRule="auto"/>
        <w:jc w:val="center"/>
        <w:rPr>
          <w:rFonts w:ascii="Times New Roman" w:eastAsia="等线" w:hAnsi="Times New Roman" w:cs="Times New Roman"/>
          <w:i/>
          <w:iCs/>
          <w:szCs w:val="21"/>
        </w:rPr>
      </w:pPr>
      <w:r w:rsidRPr="00A80FBE">
        <w:rPr>
          <w:rFonts w:ascii="Times New Roman" w:eastAsia="等线" w:hAnsi="Times New Roman" w:cs="Times New Roman"/>
          <w:i/>
          <w:iCs/>
          <w:szCs w:val="21"/>
        </w:rPr>
        <w:t>College of Chemistry &amp;Chemical Engineering, Ningxia University, Yinchuan 75002l, China.</w:t>
      </w:r>
    </w:p>
    <w:p w14:paraId="08959DA8" w14:textId="41AB9F63" w:rsidR="002476AE" w:rsidRPr="00BC52B2" w:rsidRDefault="00BC52B2" w:rsidP="004250BD">
      <w:pPr>
        <w:spacing w:line="360" w:lineRule="auto"/>
        <w:jc w:val="center"/>
        <w:rPr>
          <w:rFonts w:ascii="Times New Roman" w:eastAsia="等线" w:hAnsi="Times New Roman" w:cs="Times New Roman"/>
          <w:i/>
          <w:iCs/>
          <w:szCs w:val="21"/>
        </w:rPr>
      </w:pPr>
      <w:r w:rsidRPr="00A80FBE">
        <w:rPr>
          <w:rFonts w:ascii="Times New Roman" w:eastAsia="等线" w:hAnsi="Times New Roman" w:cs="Times New Roman"/>
          <w:i/>
          <w:iCs/>
          <w:szCs w:val="21"/>
          <w:vertAlign w:val="superscript"/>
        </w:rPr>
        <w:t xml:space="preserve">c </w:t>
      </w:r>
      <w:r w:rsidRPr="00A80FBE">
        <w:rPr>
          <w:rFonts w:ascii="Times New Roman" w:eastAsia="等线" w:hAnsi="Times New Roman" w:cs="Times New Roman"/>
          <w:i/>
          <w:iCs/>
          <w:szCs w:val="21"/>
        </w:rPr>
        <w:t xml:space="preserve">Ningxia </w:t>
      </w:r>
      <w:proofErr w:type="spellStart"/>
      <w:r w:rsidRPr="00A80FBE">
        <w:rPr>
          <w:rFonts w:ascii="Times New Roman" w:eastAsia="等线" w:hAnsi="Times New Roman" w:cs="Times New Roman"/>
          <w:i/>
          <w:iCs/>
          <w:szCs w:val="21"/>
        </w:rPr>
        <w:t>Fenghua</w:t>
      </w:r>
      <w:proofErr w:type="spellEnd"/>
      <w:r w:rsidRPr="00A80FBE">
        <w:rPr>
          <w:rFonts w:ascii="Times New Roman" w:eastAsia="等线" w:hAnsi="Times New Roman" w:cs="Times New Roman"/>
          <w:i/>
          <w:iCs/>
          <w:szCs w:val="21"/>
        </w:rPr>
        <w:t xml:space="preserve"> Biotechnology Co., Ltd.</w:t>
      </w:r>
      <w:r w:rsidRPr="00A80FBE">
        <w:rPr>
          <w:rFonts w:ascii="Times New Roman" w:eastAsia="等线" w:hAnsi="Times New Roman" w:cs="Times New Roman" w:hint="eastAsia"/>
          <w:i/>
          <w:iCs/>
          <w:szCs w:val="21"/>
        </w:rPr>
        <w:t>,</w:t>
      </w:r>
      <w:r w:rsidRPr="00A80FBE">
        <w:rPr>
          <w:rFonts w:ascii="Times New Roman" w:eastAsia="等线" w:hAnsi="Times New Roman" w:cs="Times New Roman"/>
          <w:i/>
          <w:iCs/>
          <w:szCs w:val="21"/>
        </w:rPr>
        <w:t xml:space="preserve"> </w:t>
      </w:r>
      <w:proofErr w:type="spellStart"/>
      <w:r w:rsidRPr="00A80FBE">
        <w:rPr>
          <w:rFonts w:ascii="Times New Roman" w:eastAsia="等线" w:hAnsi="Times New Roman" w:cs="Times New Roman"/>
          <w:i/>
          <w:iCs/>
          <w:szCs w:val="21"/>
        </w:rPr>
        <w:t>Shizuishan</w:t>
      </w:r>
      <w:proofErr w:type="spellEnd"/>
      <w:r w:rsidRPr="00A80FBE">
        <w:rPr>
          <w:rFonts w:ascii="Times New Roman" w:eastAsia="等线" w:hAnsi="Times New Roman" w:cs="Times New Roman"/>
          <w:i/>
          <w:iCs/>
          <w:szCs w:val="21"/>
        </w:rPr>
        <w:t xml:space="preserve"> 753400, China</w:t>
      </w:r>
    </w:p>
    <w:bookmarkEnd w:id="0"/>
    <w:p w14:paraId="7DB169F2" w14:textId="196B9C8D" w:rsidR="00D05484" w:rsidRPr="003824DF" w:rsidRDefault="002476AE" w:rsidP="005B2944">
      <w:pPr>
        <w:pStyle w:val="a9"/>
        <w:numPr>
          <w:ilvl w:val="0"/>
          <w:numId w:val="1"/>
        </w:numPr>
        <w:spacing w:beforeLines="300" w:before="936" w:line="360" w:lineRule="auto"/>
        <w:ind w:left="357" w:firstLineChars="0" w:hanging="357"/>
        <w:rPr>
          <w:rFonts w:ascii="Times New Roman" w:eastAsiaTheme="majorEastAsia" w:hAnsi="Times New Roman" w:cs="Times New Roman"/>
          <w:b/>
          <w:bCs/>
          <w:sz w:val="24"/>
          <w:szCs w:val="24"/>
        </w:rPr>
      </w:pPr>
      <w:r w:rsidRPr="003824DF">
        <w:rPr>
          <w:rFonts w:ascii="Times New Roman" w:eastAsiaTheme="majorEastAsia" w:hAnsi="Times New Roman" w:cs="Times New Roman" w:hint="eastAsia"/>
          <w:b/>
          <w:bCs/>
          <w:sz w:val="24"/>
          <w:szCs w:val="24"/>
        </w:rPr>
        <w:t>Selective Detection of glucose by Cu-Co PBA</w:t>
      </w:r>
    </w:p>
    <w:p w14:paraId="41F13B6E" w14:textId="49F20E0C" w:rsidR="00FA1814" w:rsidRPr="003824DF" w:rsidRDefault="002476AE" w:rsidP="003824DF">
      <w:pPr>
        <w:spacing w:beforeLines="50" w:before="156" w:line="480" w:lineRule="auto"/>
        <w:ind w:firstLineChars="200" w:firstLine="480"/>
        <w:rPr>
          <w:rFonts w:ascii="Times New Roman" w:eastAsiaTheme="majorEastAsia" w:hAnsi="Times New Roman" w:cs="Times New Roman"/>
          <w:sz w:val="24"/>
          <w:szCs w:val="24"/>
        </w:rPr>
      </w:pPr>
      <w:r w:rsidRPr="003824DF">
        <w:rPr>
          <w:rFonts w:ascii="Times New Roman" w:hAnsi="Times New Roman" w:hint="eastAsia"/>
          <w:color w:val="000000"/>
          <w:sz w:val="24"/>
          <w:szCs w:val="24"/>
        </w:rPr>
        <w:t>Different types of reagents (amino acids, common cations, typical reagents) were used to study the selectivity and anti-interference ability of the Cu-Co PBA system in detecting glucose. The final concentrations of glutamic acid (Glu), galactose (Gal), fructose (Fru), lactose (Lactose), uric acid, glucose, Zn</w:t>
      </w:r>
      <w:r w:rsidRPr="003824DF">
        <w:rPr>
          <w:rFonts w:ascii="Times New Roman" w:hAnsi="Times New Roman" w:hint="eastAsia"/>
          <w:color w:val="000000"/>
          <w:sz w:val="24"/>
          <w:szCs w:val="24"/>
          <w:vertAlign w:val="superscript"/>
        </w:rPr>
        <w:t>2+</w:t>
      </w:r>
      <w:r w:rsidRPr="003824DF">
        <w:rPr>
          <w:rFonts w:ascii="Times New Roman" w:hAnsi="Times New Roman" w:hint="eastAsia"/>
          <w:color w:val="000000"/>
          <w:sz w:val="24"/>
          <w:szCs w:val="24"/>
        </w:rPr>
        <w:t>, K</w:t>
      </w:r>
      <w:r w:rsidRPr="003824DF">
        <w:rPr>
          <w:rFonts w:ascii="Times New Roman" w:hAnsi="Times New Roman" w:hint="eastAsia"/>
          <w:color w:val="000000"/>
          <w:sz w:val="24"/>
          <w:szCs w:val="24"/>
          <w:vertAlign w:val="superscript"/>
        </w:rPr>
        <w:t>+</w:t>
      </w:r>
      <w:r w:rsidRPr="003824DF">
        <w:rPr>
          <w:rFonts w:ascii="Times New Roman" w:hAnsi="Times New Roman" w:hint="eastAsia"/>
          <w:color w:val="000000"/>
          <w:sz w:val="24"/>
          <w:szCs w:val="24"/>
        </w:rPr>
        <w:t>, Na</w:t>
      </w:r>
      <w:r w:rsidRPr="003824DF">
        <w:rPr>
          <w:rFonts w:ascii="Times New Roman" w:hAnsi="Times New Roman" w:hint="eastAsia"/>
          <w:color w:val="000000"/>
          <w:sz w:val="24"/>
          <w:szCs w:val="24"/>
          <w:vertAlign w:val="superscript"/>
        </w:rPr>
        <w:t>+</w:t>
      </w:r>
      <w:r w:rsidRPr="003824DF">
        <w:rPr>
          <w:rFonts w:ascii="Times New Roman" w:hAnsi="Times New Roman" w:hint="eastAsia"/>
          <w:color w:val="000000"/>
          <w:sz w:val="24"/>
          <w:szCs w:val="24"/>
        </w:rPr>
        <w:t>, Ca</w:t>
      </w:r>
      <w:r w:rsidRPr="003824DF">
        <w:rPr>
          <w:rFonts w:ascii="Times New Roman" w:hAnsi="Times New Roman" w:hint="eastAsia"/>
          <w:color w:val="000000"/>
          <w:sz w:val="24"/>
          <w:szCs w:val="24"/>
          <w:vertAlign w:val="superscript"/>
        </w:rPr>
        <w:t>2+</w:t>
      </w:r>
      <w:r w:rsidRPr="003824DF">
        <w:rPr>
          <w:rFonts w:ascii="Times New Roman" w:hAnsi="Times New Roman" w:hint="eastAsia"/>
          <w:color w:val="000000"/>
          <w:sz w:val="24"/>
          <w:szCs w:val="24"/>
        </w:rPr>
        <w:t>, Cu</w:t>
      </w:r>
      <w:r w:rsidRPr="003824DF">
        <w:rPr>
          <w:rFonts w:ascii="Times New Roman" w:hAnsi="Times New Roman" w:hint="eastAsia"/>
          <w:color w:val="000000"/>
          <w:sz w:val="24"/>
          <w:szCs w:val="24"/>
          <w:vertAlign w:val="superscript"/>
        </w:rPr>
        <w:t>2+</w:t>
      </w:r>
      <w:r w:rsidRPr="003824DF">
        <w:rPr>
          <w:rFonts w:ascii="Times New Roman" w:hAnsi="Times New Roman" w:hint="eastAsia"/>
          <w:color w:val="000000"/>
          <w:sz w:val="24"/>
          <w:szCs w:val="24"/>
        </w:rPr>
        <w:t>, and Mg</w:t>
      </w:r>
      <w:r w:rsidRPr="003824DF">
        <w:rPr>
          <w:rFonts w:ascii="Times New Roman" w:hAnsi="Times New Roman" w:hint="eastAsia"/>
          <w:color w:val="000000"/>
          <w:sz w:val="24"/>
          <w:szCs w:val="24"/>
          <w:vertAlign w:val="superscript"/>
        </w:rPr>
        <w:t>2+</w:t>
      </w:r>
      <w:r w:rsidRPr="003824DF">
        <w:rPr>
          <w:rFonts w:ascii="Times New Roman" w:hAnsi="Times New Roman" w:hint="eastAsia"/>
          <w:color w:val="000000"/>
          <w:sz w:val="24"/>
          <w:szCs w:val="24"/>
        </w:rPr>
        <w:t xml:space="preserve"> in the reaction system were 200 </w:t>
      </w:r>
      <w:proofErr w:type="spellStart"/>
      <w:r w:rsidRPr="003824DF">
        <w:rPr>
          <w:rFonts w:ascii="Times New Roman" w:hAnsi="Times New Roman" w:hint="eastAsia"/>
          <w:color w:val="000000"/>
          <w:sz w:val="24"/>
          <w:szCs w:val="24"/>
        </w:rPr>
        <w:t>mM.</w:t>
      </w:r>
      <w:proofErr w:type="spellEnd"/>
      <w:r w:rsidRPr="003824DF">
        <w:rPr>
          <w:rFonts w:ascii="Times New Roman" w:hAnsi="Times New Roman" w:hint="eastAsia"/>
          <w:color w:val="000000"/>
          <w:sz w:val="24"/>
          <w:szCs w:val="24"/>
        </w:rPr>
        <w:t xml:space="preserve"> The experimental method was similar to that for detecting glucose. After incubation at 35</w:t>
      </w:r>
      <w:r w:rsidRPr="003824DF">
        <w:rPr>
          <w:rFonts w:ascii="Times New Roman" w:hAnsi="Times New Roman" w:hint="eastAsia"/>
          <w:color w:val="000000"/>
          <w:sz w:val="24"/>
          <w:szCs w:val="24"/>
        </w:rPr>
        <w:t>°</w:t>
      </w:r>
      <w:r w:rsidRPr="003824DF">
        <w:rPr>
          <w:rFonts w:ascii="Times New Roman" w:hAnsi="Times New Roman" w:hint="eastAsia"/>
          <w:color w:val="000000"/>
          <w:sz w:val="24"/>
          <w:szCs w:val="24"/>
        </w:rPr>
        <w:t>C and in the dark for 20 minutes, the ultraviolet absorbance value at 652 nm wavelength was recorded. Then, glucose was added to each system and reacted at room temperature and in the dark for 20 minutes. The absorbance value at 652 nm was measured again, and the difference in the two absorbance values was compared.</w:t>
      </w:r>
    </w:p>
    <w:p w14:paraId="6E071A7A" w14:textId="506192FB" w:rsidR="00A25C90" w:rsidRPr="003824DF" w:rsidRDefault="002476AE" w:rsidP="003824DF">
      <w:pPr>
        <w:pStyle w:val="a9"/>
        <w:numPr>
          <w:ilvl w:val="0"/>
          <w:numId w:val="1"/>
        </w:numPr>
        <w:spacing w:beforeLines="100" w:before="312" w:line="360" w:lineRule="auto"/>
        <w:ind w:left="357" w:firstLineChars="0" w:hanging="357"/>
        <w:rPr>
          <w:rFonts w:ascii="Times New Roman" w:hAnsi="Times New Roman" w:cs="Times New Roman"/>
          <w:b/>
          <w:bCs/>
          <w:sz w:val="24"/>
          <w:szCs w:val="24"/>
        </w:rPr>
      </w:pPr>
      <w:r w:rsidRPr="003824DF">
        <w:rPr>
          <w:rFonts w:ascii="Times New Roman" w:hAnsi="Times New Roman" w:cs="Times New Roman" w:hint="eastAsia"/>
          <w:b/>
          <w:bCs/>
          <w:sz w:val="24"/>
          <w:szCs w:val="24"/>
        </w:rPr>
        <w:t>Cu-Co PBA Stability and Repeatability Test for glucose</w:t>
      </w:r>
    </w:p>
    <w:p w14:paraId="79F367F0" w14:textId="77777777" w:rsidR="002476AE" w:rsidRPr="003824DF" w:rsidRDefault="002476AE" w:rsidP="002476AE">
      <w:pPr>
        <w:pStyle w:val="a9"/>
        <w:snapToGrid w:val="0"/>
        <w:spacing w:line="520" w:lineRule="exact"/>
        <w:ind w:left="357" w:firstLine="480"/>
        <w:rPr>
          <w:rFonts w:ascii="Times New Roman" w:hAnsi="Times New Roman"/>
          <w:color w:val="000000"/>
          <w:sz w:val="24"/>
          <w:szCs w:val="24"/>
        </w:rPr>
      </w:pPr>
      <w:r w:rsidRPr="003824DF">
        <w:rPr>
          <w:rFonts w:ascii="Times New Roman" w:hAnsi="Times New Roman" w:hint="eastAsia"/>
          <w:color w:val="000000"/>
          <w:sz w:val="24"/>
          <w:szCs w:val="24"/>
        </w:rPr>
        <w:lastRenderedPageBreak/>
        <w:t>Prepare the Cu-Co PBA samples into suspensions and place them in the air. Every month, use the same method to detect glucose and record the absorbance value at 652 nm. For the Cu-Co PBA + H</w:t>
      </w:r>
      <w:r w:rsidRPr="003824DF">
        <w:rPr>
          <w:rFonts w:ascii="Times New Roman" w:hAnsi="Times New Roman" w:hint="eastAsia"/>
          <w:color w:val="000000"/>
          <w:sz w:val="24"/>
          <w:szCs w:val="24"/>
          <w:vertAlign w:val="subscript"/>
        </w:rPr>
        <w:t>2</w:t>
      </w:r>
      <w:r w:rsidRPr="003824DF">
        <w:rPr>
          <w:rFonts w:ascii="Times New Roman" w:hAnsi="Times New Roman" w:hint="eastAsia"/>
          <w:color w:val="000000"/>
          <w:sz w:val="24"/>
          <w:szCs w:val="24"/>
        </w:rPr>
        <w:t>O</w:t>
      </w:r>
      <w:r w:rsidRPr="003824DF">
        <w:rPr>
          <w:rFonts w:ascii="Times New Roman" w:hAnsi="Times New Roman" w:hint="eastAsia"/>
          <w:color w:val="000000"/>
          <w:sz w:val="24"/>
          <w:szCs w:val="24"/>
          <w:vertAlign w:val="subscript"/>
        </w:rPr>
        <w:t>2</w:t>
      </w:r>
      <w:r w:rsidRPr="003824DF">
        <w:rPr>
          <w:rFonts w:ascii="Times New Roman" w:hAnsi="Times New Roman" w:hint="eastAsia"/>
          <w:color w:val="000000"/>
          <w:sz w:val="24"/>
          <w:szCs w:val="24"/>
        </w:rPr>
        <w:t xml:space="preserve"> + TMB system, after detecting glucose, centrifuge the solution, remove the supernatant, and collect the precipitate. Then reconfigure it into the detection system and continue to detect glucose, repeating this process 5 times. To evaluate the repeatability of the Cu-Co PBA system for glucose detection, repeat the above steps 7 times and record the absorbance value at 652 nm wavelength.</w:t>
      </w:r>
    </w:p>
    <w:p w14:paraId="27121AB4" w14:textId="4A508525" w:rsidR="002476AE" w:rsidRPr="003824DF" w:rsidRDefault="002476AE" w:rsidP="003824DF">
      <w:pPr>
        <w:pStyle w:val="a9"/>
        <w:numPr>
          <w:ilvl w:val="0"/>
          <w:numId w:val="1"/>
        </w:numPr>
        <w:spacing w:beforeLines="100" w:before="312" w:line="360" w:lineRule="auto"/>
        <w:ind w:left="357" w:firstLineChars="0" w:hanging="357"/>
        <w:rPr>
          <w:rFonts w:ascii="Times New Roman" w:hAnsi="Times New Roman"/>
          <w:b/>
          <w:bCs/>
          <w:color w:val="000000"/>
          <w:sz w:val="24"/>
          <w:szCs w:val="24"/>
        </w:rPr>
      </w:pPr>
      <w:r w:rsidRPr="003824DF">
        <w:rPr>
          <w:rFonts w:ascii="Times New Roman" w:hAnsi="Times New Roman" w:cs="Times New Roman"/>
          <w:b/>
          <w:bCs/>
          <w:sz w:val="24"/>
          <w:szCs w:val="24"/>
        </w:rPr>
        <w:t>Cu</w:t>
      </w:r>
      <w:r w:rsidRPr="003824DF">
        <w:rPr>
          <w:rFonts w:ascii="Times New Roman" w:hAnsi="Times New Roman" w:cs="Times New Roman" w:hint="eastAsia"/>
          <w:b/>
          <w:bCs/>
          <w:sz w:val="24"/>
          <w:szCs w:val="24"/>
        </w:rPr>
        <w:t xml:space="preserve"> </w:t>
      </w:r>
      <w:r w:rsidRPr="003824DF">
        <w:rPr>
          <w:rFonts w:ascii="Times New Roman" w:hAnsi="Times New Roman" w:cs="Times New Roman"/>
          <w:b/>
          <w:bCs/>
          <w:sz w:val="24"/>
          <w:szCs w:val="24"/>
        </w:rPr>
        <w:t>-Co PBA</w:t>
      </w:r>
      <w:r w:rsidRPr="003824DF">
        <w:rPr>
          <w:rFonts w:ascii="Times New Roman" w:hAnsi="Times New Roman" w:cs="Times New Roman" w:hint="eastAsia"/>
          <w:b/>
          <w:bCs/>
          <w:sz w:val="24"/>
          <w:szCs w:val="24"/>
        </w:rPr>
        <w:t xml:space="preserve"> Steady-State Kinetic Analysis</w:t>
      </w:r>
    </w:p>
    <w:p w14:paraId="225A5CA7" w14:textId="67CCED8F" w:rsidR="002476AE" w:rsidRPr="003824DF" w:rsidRDefault="002476AE" w:rsidP="002476AE">
      <w:pPr>
        <w:pStyle w:val="a9"/>
        <w:spacing w:line="520" w:lineRule="exact"/>
        <w:ind w:left="357" w:firstLine="480"/>
        <w:rPr>
          <w:rFonts w:ascii="Times New Roman" w:hAnsi="Times New Roman"/>
          <w:color w:val="000000"/>
          <w:sz w:val="24"/>
          <w:szCs w:val="24"/>
        </w:rPr>
      </w:pPr>
      <w:r w:rsidRPr="003824DF">
        <w:rPr>
          <w:rFonts w:ascii="Times New Roman" w:hAnsi="Times New Roman" w:cs="Times New Roman" w:hint="eastAsia"/>
          <w:sz w:val="24"/>
          <w:szCs w:val="24"/>
        </w:rPr>
        <w:t>The enzymatic kinetics were studied by separately changing the concentrations of H</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O</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 xml:space="preserve"> and TMB. The concentrations of TMB and H</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O</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 xml:space="preserve"> were changed respectively, and the absorbance value at UV 652 nm was recorded under optimum temperature and pH conditions. By </w:t>
      </w:r>
      <w:r w:rsidRPr="003824DF">
        <w:rPr>
          <w:rFonts w:ascii="Times New Roman" w:hAnsi="Times New Roman" w:cs="Times New Roman"/>
          <w:sz w:val="24"/>
          <w:szCs w:val="24"/>
        </w:rPr>
        <w:t>combining the Michaelis−Menten equation</w:t>
      </w:r>
      <w:r w:rsidR="00315825" w:rsidRPr="003824DF">
        <w:rPr>
          <w:rFonts w:ascii="Times New Roman" w:hAnsi="Times New Roman" w:cs="Times New Roman" w:hint="eastAsia"/>
          <w:sz w:val="24"/>
          <w:szCs w:val="24"/>
        </w:rPr>
        <w:t xml:space="preserve"> </w:t>
      </w:r>
      <w:r w:rsidRPr="003824DF">
        <w:rPr>
          <w:rFonts w:ascii="Times New Roman" w:hAnsi="Times New Roman" w:cs="Times New Roman"/>
          <w:sz w:val="24"/>
          <w:szCs w:val="24"/>
        </w:rPr>
        <w:t>with the Lineweaver−</w:t>
      </w:r>
      <w:r w:rsidRPr="003824DF">
        <w:rPr>
          <w:rFonts w:ascii="Times New Roman" w:hAnsi="Times New Roman" w:cs="Times New Roman" w:hint="eastAsia"/>
          <w:sz w:val="24"/>
          <w:szCs w:val="24"/>
        </w:rPr>
        <w:t>Burk mapping method, the Michaelis constant (K</w:t>
      </w:r>
      <w:r w:rsidRPr="003824DF">
        <w:rPr>
          <w:rFonts w:ascii="Times New Roman" w:hAnsi="Times New Roman" w:cs="Times New Roman" w:hint="eastAsia"/>
          <w:sz w:val="24"/>
          <w:szCs w:val="24"/>
          <w:vertAlign w:val="subscript"/>
        </w:rPr>
        <w:t>m</w:t>
      </w:r>
      <w:r w:rsidRPr="003824DF">
        <w:rPr>
          <w:rFonts w:ascii="Times New Roman" w:hAnsi="Times New Roman" w:cs="Times New Roman" w:hint="eastAsia"/>
          <w:sz w:val="24"/>
          <w:szCs w:val="24"/>
        </w:rPr>
        <w:t>) and maximum reaction velocity (</w:t>
      </w:r>
      <w:r w:rsidRPr="005B2944">
        <w:rPr>
          <w:rFonts w:ascii="Times New Roman" w:hAnsi="Times New Roman" w:cs="Times New Roman" w:hint="eastAsia"/>
          <w:i/>
          <w:iCs/>
          <w:sz w:val="24"/>
          <w:szCs w:val="24"/>
        </w:rPr>
        <w:t>V</w:t>
      </w:r>
      <w:r w:rsidRPr="003824DF">
        <w:rPr>
          <w:rFonts w:ascii="Times New Roman" w:hAnsi="Times New Roman" w:cs="Times New Roman" w:hint="eastAsia"/>
          <w:sz w:val="24"/>
          <w:szCs w:val="24"/>
          <w:vertAlign w:val="subscript"/>
        </w:rPr>
        <w:t>max</w:t>
      </w:r>
      <w:r w:rsidRPr="003824DF">
        <w:rPr>
          <w:rFonts w:ascii="Times New Roman" w:hAnsi="Times New Roman" w:cs="Times New Roman" w:hint="eastAsia"/>
          <w:sz w:val="24"/>
          <w:szCs w:val="24"/>
        </w:rPr>
        <w:t>) can be determined. The specific experimental steps are as follows: For the TMB study,</w:t>
      </w:r>
      <w:r w:rsidR="00613A10" w:rsidRPr="003824DF">
        <w:rPr>
          <w:rFonts w:ascii="Times New Roman" w:hAnsi="Times New Roman" w:cs="Times New Roman" w:hint="eastAsia"/>
          <w:sz w:val="24"/>
          <w:szCs w:val="24"/>
        </w:rPr>
        <w:t xml:space="preserve"> </w:t>
      </w:r>
      <w:r w:rsidR="005B2944">
        <w:rPr>
          <w:rFonts w:ascii="Times New Roman" w:hAnsi="Times New Roman" w:cs="Times New Roman" w:hint="eastAsia"/>
          <w:color w:val="000000"/>
          <w:sz w:val="24"/>
          <w:szCs w:val="24"/>
        </w:rPr>
        <w:t>t</w:t>
      </w:r>
      <w:r w:rsidRPr="003824DF">
        <w:rPr>
          <w:rFonts w:ascii="Times New Roman" w:hAnsi="Times New Roman" w:cs="Times New Roman"/>
          <w:color w:val="000000"/>
          <w:sz w:val="24"/>
          <w:szCs w:val="24"/>
        </w:rPr>
        <w:t xml:space="preserve">his is achieved by altering the concentration of TMB in the system. Different concentrations of TMB aqueous solutions (0.25 mM, 0.5 mM, 0.75 mM, 1 mM, 1.25 mM, 1.5 mM, 1.75 mM, 2 mM), Cu-Co PBA nanozyme dispersion solution (40 </w:t>
      </w:r>
      <w:proofErr w:type="spellStart"/>
      <w:r w:rsidRPr="003824DF">
        <w:rPr>
          <w:rFonts w:ascii="Times New Roman" w:hAnsi="Times New Roman" w:cs="Times New Roman"/>
          <w:color w:val="000000"/>
          <w:sz w:val="24"/>
          <w:szCs w:val="24"/>
        </w:rPr>
        <w:t>μg</w:t>
      </w:r>
      <w:proofErr w:type="spellEnd"/>
      <w:r w:rsidR="00613A10" w:rsidRPr="003824DF">
        <w:rPr>
          <w:rFonts w:ascii="Times New Roman" w:hAnsi="Times New Roman" w:cs="Times New Roman" w:hint="eastAsia"/>
          <w:color w:val="000000"/>
          <w:sz w:val="24"/>
          <w:szCs w:val="24"/>
        </w:rPr>
        <w:t xml:space="preserve"> </w:t>
      </w:r>
      <w:r w:rsidRPr="003824DF">
        <w:rPr>
          <w:rFonts w:ascii="Times New Roman" w:hAnsi="Times New Roman" w:cs="Times New Roman"/>
          <w:color w:val="000000"/>
          <w:sz w:val="24"/>
          <w:szCs w:val="24"/>
        </w:rPr>
        <w:t>mL</w:t>
      </w:r>
      <w:r w:rsidR="00613A10" w:rsidRPr="003824DF">
        <w:rPr>
          <w:rFonts w:ascii="Times New Roman" w:hAnsi="Times New Roman" w:cs="Times New Roman"/>
          <w:color w:val="000000"/>
          <w:sz w:val="24"/>
          <w:szCs w:val="24"/>
          <w:vertAlign w:val="superscript"/>
        </w:rPr>
        <w:t>–</w:t>
      </w:r>
      <w:r w:rsidR="00613A10" w:rsidRPr="003824DF">
        <w:rPr>
          <w:rFonts w:ascii="Times New Roman" w:hAnsi="Times New Roman" w:cs="Times New Roman" w:hint="eastAsia"/>
          <w:color w:val="000000"/>
          <w:sz w:val="24"/>
          <w:szCs w:val="24"/>
          <w:vertAlign w:val="superscript"/>
        </w:rPr>
        <w:t>1</w:t>
      </w:r>
      <w:r w:rsidRPr="003824DF">
        <w:rPr>
          <w:rFonts w:ascii="Times New Roman" w:hAnsi="Times New Roman" w:cs="Times New Roman"/>
          <w:color w:val="000000"/>
          <w:sz w:val="24"/>
          <w:szCs w:val="24"/>
        </w:rPr>
        <w:t>), H</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O</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 xml:space="preserve"> aqueous solution (1 mM), and buffer solution are added separately. The final volume of the solution is adjusted to 2 </w:t>
      </w:r>
      <w:proofErr w:type="spellStart"/>
      <w:r w:rsidRPr="003824DF">
        <w:rPr>
          <w:rFonts w:ascii="Times New Roman" w:hAnsi="Times New Roman" w:cs="Times New Roman"/>
          <w:color w:val="000000"/>
          <w:sz w:val="24"/>
          <w:szCs w:val="24"/>
        </w:rPr>
        <w:t>mL.</w:t>
      </w:r>
      <w:proofErr w:type="spellEnd"/>
      <w:r w:rsidRPr="003824DF">
        <w:rPr>
          <w:rFonts w:ascii="Times New Roman" w:hAnsi="Times New Roman" w:cs="Times New Roman"/>
          <w:color w:val="000000"/>
          <w:sz w:val="24"/>
          <w:szCs w:val="24"/>
        </w:rPr>
        <w:t xml:space="preserve"> The reaction is carried out at room temperature for 10 minutes, and then the absorbance value of the solution is measured. For the H</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O</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 xml:space="preserve"> study, the effect of H</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O</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 xml:space="preserve"> concentration on the catalytic reaction is investigated by changing the concentration of the substrate H</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O</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 xml:space="preserve"> in the mixed system. H</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O</w:t>
      </w:r>
      <w:r w:rsidRPr="003824DF">
        <w:rPr>
          <w:rFonts w:ascii="Times New Roman" w:hAnsi="Times New Roman" w:cs="Times New Roman"/>
          <w:color w:val="000000"/>
          <w:sz w:val="24"/>
          <w:szCs w:val="24"/>
          <w:vertAlign w:val="subscript"/>
        </w:rPr>
        <w:t>2</w:t>
      </w:r>
      <w:r w:rsidRPr="003824DF">
        <w:rPr>
          <w:rFonts w:ascii="Times New Roman" w:hAnsi="Times New Roman" w:cs="Times New Roman"/>
          <w:color w:val="000000"/>
          <w:sz w:val="24"/>
          <w:szCs w:val="24"/>
        </w:rPr>
        <w:t xml:space="preserve"> aqueous solutions (0.25 mM, 0.5 mM, 0.75 mM, 1 mM, 1.25 mM, 1.5 mM, 1.75 mM, 2 mM), TMB aqueous solution (1 mM), and Cu-Co PBA nanozyme dispersion solution (40 </w:t>
      </w:r>
      <w:proofErr w:type="spellStart"/>
      <w:r w:rsidRPr="003824DF">
        <w:rPr>
          <w:rFonts w:ascii="Times New Roman" w:hAnsi="Times New Roman" w:cs="Times New Roman"/>
          <w:color w:val="000000"/>
          <w:sz w:val="24"/>
          <w:szCs w:val="24"/>
        </w:rPr>
        <w:t>μg</w:t>
      </w:r>
      <w:proofErr w:type="spellEnd"/>
      <w:r w:rsidR="00613A10" w:rsidRPr="003824DF">
        <w:rPr>
          <w:rFonts w:ascii="Times New Roman" w:hAnsi="Times New Roman" w:cs="Times New Roman" w:hint="eastAsia"/>
          <w:color w:val="000000"/>
          <w:sz w:val="24"/>
          <w:szCs w:val="24"/>
        </w:rPr>
        <w:t xml:space="preserve"> </w:t>
      </w:r>
      <w:r w:rsidRPr="003824DF">
        <w:rPr>
          <w:rFonts w:ascii="Times New Roman" w:hAnsi="Times New Roman" w:cs="Times New Roman"/>
          <w:color w:val="000000"/>
          <w:sz w:val="24"/>
          <w:szCs w:val="24"/>
        </w:rPr>
        <w:t>mL</w:t>
      </w:r>
      <w:r w:rsidR="00613A10" w:rsidRPr="003824DF">
        <w:rPr>
          <w:rFonts w:ascii="Times New Roman" w:hAnsi="Times New Roman" w:cs="Times New Roman"/>
          <w:color w:val="000000"/>
          <w:sz w:val="24"/>
          <w:szCs w:val="24"/>
          <w:vertAlign w:val="superscript"/>
        </w:rPr>
        <w:t>–</w:t>
      </w:r>
      <w:r w:rsidR="00613A10" w:rsidRPr="003824DF">
        <w:rPr>
          <w:rFonts w:ascii="Times New Roman" w:hAnsi="Times New Roman" w:cs="Times New Roman" w:hint="eastAsia"/>
          <w:color w:val="000000"/>
          <w:sz w:val="24"/>
          <w:szCs w:val="24"/>
          <w:vertAlign w:val="superscript"/>
        </w:rPr>
        <w:t>1</w:t>
      </w:r>
      <w:r w:rsidRPr="003824DF">
        <w:rPr>
          <w:rFonts w:ascii="Times New Roman" w:hAnsi="Times New Roman" w:cs="Times New Roman"/>
          <w:color w:val="000000"/>
          <w:sz w:val="24"/>
          <w:szCs w:val="24"/>
        </w:rPr>
        <w:t xml:space="preserve">) are added separately. Then, buffer solution is added to make the total volume 2 </w:t>
      </w:r>
      <w:proofErr w:type="spellStart"/>
      <w:r w:rsidRPr="003824DF">
        <w:rPr>
          <w:rFonts w:ascii="Times New Roman" w:hAnsi="Times New Roman" w:cs="Times New Roman"/>
          <w:color w:val="000000"/>
          <w:sz w:val="24"/>
          <w:szCs w:val="24"/>
        </w:rPr>
        <w:t>mL.</w:t>
      </w:r>
      <w:proofErr w:type="spellEnd"/>
      <w:r w:rsidRPr="003824DF">
        <w:rPr>
          <w:rFonts w:ascii="Times New Roman" w:hAnsi="Times New Roman" w:cs="Times New Roman"/>
          <w:color w:val="000000"/>
          <w:sz w:val="24"/>
          <w:szCs w:val="24"/>
        </w:rPr>
        <w:t xml:space="preserve"> After the solution is mixed evenly, it is left to react for 10 minutes, and finally, the absorbance value of the mixed system is measured.</w:t>
      </w:r>
    </w:p>
    <w:p w14:paraId="48F164F3" w14:textId="52356036" w:rsidR="00D05484" w:rsidRPr="003824DF" w:rsidRDefault="00315825" w:rsidP="003824DF">
      <w:pPr>
        <w:pStyle w:val="a9"/>
        <w:spacing w:line="520" w:lineRule="exact"/>
        <w:ind w:left="357" w:firstLine="480"/>
        <w:rPr>
          <w:rFonts w:ascii="Times New Roman" w:hAnsi="Times New Roman" w:cs="Times New Roman"/>
          <w:sz w:val="24"/>
          <w:szCs w:val="24"/>
        </w:rPr>
      </w:pPr>
      <w:r w:rsidRPr="003824DF">
        <w:rPr>
          <w:rFonts w:ascii="Times New Roman" w:hAnsi="Times New Roman" w:cs="Times New Roman" w:hint="eastAsia"/>
          <w:sz w:val="24"/>
          <w:szCs w:val="24"/>
        </w:rPr>
        <w:t>Leveraging the peroxidase-like activity of Cu-Co PBA, additional research was carried out to examine the steady-state kinetic parameters of the POD-like reaction catalyzed by Cu-Co PBA. When other factors are kept constant, the concentrations of the substrate TMB and H</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O</w:t>
      </w:r>
      <w:r w:rsidRPr="003824DF">
        <w:rPr>
          <w:rFonts w:ascii="Times New Roman" w:hAnsi="Times New Roman" w:cs="Times New Roman" w:hint="eastAsia"/>
          <w:sz w:val="24"/>
          <w:szCs w:val="24"/>
          <w:vertAlign w:val="subscript"/>
        </w:rPr>
        <w:t>2</w:t>
      </w:r>
      <w:r w:rsidRPr="003824DF">
        <w:rPr>
          <w:rFonts w:ascii="Times New Roman" w:hAnsi="Times New Roman" w:cs="Times New Roman" w:hint="eastAsia"/>
          <w:sz w:val="24"/>
          <w:szCs w:val="24"/>
        </w:rPr>
        <w:t xml:space="preserve"> are varied </w:t>
      </w:r>
      <w:r w:rsidRPr="003824DF">
        <w:rPr>
          <w:rFonts w:ascii="Times New Roman" w:hAnsi="Times New Roman" w:cs="Times New Roman" w:hint="eastAsia"/>
          <w:sz w:val="24"/>
          <w:szCs w:val="24"/>
        </w:rPr>
        <w:lastRenderedPageBreak/>
        <w:t>to obtain the relationship between substrate concentration and absorbance change. This relationship is then substituted into the equation of Beer-Lambert's law (Eq. (1)).</w:t>
      </w:r>
    </w:p>
    <w:p w14:paraId="493F95D4" w14:textId="441B99FB" w:rsidR="00B624C2" w:rsidRPr="003824DF" w:rsidRDefault="00315825" w:rsidP="005B2944">
      <w:pPr>
        <w:spacing w:line="480" w:lineRule="auto"/>
        <w:ind w:leftChars="200" w:left="420" w:firstLineChars="200" w:firstLine="480"/>
        <w:jc w:val="center"/>
        <w:rPr>
          <w:rFonts w:ascii="Times New Roman" w:hAnsi="Times New Roman" w:cs="Times New Roman"/>
          <w:sz w:val="24"/>
          <w:szCs w:val="24"/>
        </w:rPr>
      </w:pPr>
      <m:oMath>
        <m:r>
          <m:rPr>
            <m:nor/>
          </m:rPr>
          <w:rPr>
            <w:rFonts w:ascii="Times New Roman" w:hAnsi="Times New Roman" w:cs="Times New Roman"/>
            <w:i/>
            <w:iCs/>
            <w:sz w:val="24"/>
            <w:szCs w:val="24"/>
          </w:rPr>
          <m:t>A=</m:t>
        </m:r>
        <w:proofErr w:type="spellStart"/>
        <m:r>
          <m:rPr>
            <m:nor/>
          </m:rPr>
          <w:rPr>
            <w:rFonts w:ascii="Times New Roman" w:hAnsi="Times New Roman" w:cs="Times New Roman"/>
            <w:i/>
            <w:iCs/>
            <w:sz w:val="24"/>
            <w:szCs w:val="24"/>
          </w:rPr>
          <m:t>εbc</m:t>
        </m:r>
      </m:oMath>
      <w:proofErr w:type="spellEnd"/>
      <w:r w:rsidRPr="003824DF">
        <w:rPr>
          <w:rFonts w:ascii="Times New Roman" w:hAnsi="Times New Roman" w:cs="Times New Roman" w:hint="eastAsia"/>
          <w:sz w:val="24"/>
          <w:szCs w:val="24"/>
        </w:rPr>
        <w:t xml:space="preserve">                                                (1)</w:t>
      </w:r>
    </w:p>
    <w:p w14:paraId="77CA5516" w14:textId="499871E2" w:rsidR="00315825" w:rsidRPr="003824DF" w:rsidRDefault="00315825" w:rsidP="003824DF">
      <w:pPr>
        <w:pStyle w:val="a9"/>
        <w:spacing w:line="520" w:lineRule="exact"/>
        <w:ind w:left="357" w:firstLine="480"/>
        <w:rPr>
          <w:rFonts w:ascii="Times New Roman" w:hAnsi="Times New Roman" w:cs="Times New Roman"/>
          <w:sz w:val="24"/>
          <w:szCs w:val="24"/>
        </w:rPr>
      </w:pPr>
      <w:r w:rsidRPr="003824DF">
        <w:rPr>
          <w:rFonts w:ascii="Times New Roman" w:hAnsi="Times New Roman" w:cs="Times New Roman" w:hint="eastAsia"/>
          <w:sz w:val="24"/>
          <w:szCs w:val="24"/>
        </w:rPr>
        <w:t xml:space="preserve">In this equation, </w:t>
      </w:r>
      <w:r w:rsidRPr="003824DF">
        <w:rPr>
          <w:rFonts w:ascii="Times New Roman" w:hAnsi="Times New Roman" w:cs="Times New Roman" w:hint="eastAsia"/>
          <w:sz w:val="24"/>
          <w:szCs w:val="24"/>
        </w:rPr>
        <w:t>ε</w:t>
      </w:r>
      <w:r w:rsidRPr="003824DF">
        <w:rPr>
          <w:rFonts w:ascii="Times New Roman" w:hAnsi="Times New Roman" w:cs="Times New Roman" w:hint="eastAsia"/>
          <w:sz w:val="24"/>
          <w:szCs w:val="24"/>
        </w:rPr>
        <w:t xml:space="preserve"> represents the molar absorbance coefficient of TMB at 652 nm (39,000 M</w:t>
      </w:r>
      <w:r w:rsidR="00613A10" w:rsidRPr="003824DF">
        <w:rPr>
          <w:rFonts w:ascii="Times New Roman" w:hAnsi="Times New Roman" w:cs="Times New Roman" w:hint="eastAsia"/>
          <w:sz w:val="24"/>
          <w:szCs w:val="24"/>
        </w:rPr>
        <w:t xml:space="preserve"> </w:t>
      </w:r>
      <w:r w:rsidRPr="003824DF">
        <w:rPr>
          <w:rFonts w:ascii="Times New Roman" w:hAnsi="Times New Roman" w:cs="Times New Roman" w:hint="eastAsia"/>
          <w:sz w:val="24"/>
          <w:szCs w:val="24"/>
        </w:rPr>
        <w:t>cm</w:t>
      </w:r>
      <w:r w:rsidR="00613A10" w:rsidRPr="003824DF">
        <w:rPr>
          <w:rFonts w:ascii="Times New Roman" w:hAnsi="Times New Roman" w:cs="Times New Roman"/>
          <w:color w:val="000000"/>
          <w:sz w:val="24"/>
          <w:szCs w:val="24"/>
          <w:vertAlign w:val="superscript"/>
        </w:rPr>
        <w:t>–</w:t>
      </w:r>
      <w:r w:rsidR="00613A10" w:rsidRPr="003824DF">
        <w:rPr>
          <w:rFonts w:ascii="Times New Roman" w:hAnsi="Times New Roman" w:cs="Times New Roman" w:hint="eastAsia"/>
          <w:color w:val="000000"/>
          <w:sz w:val="24"/>
          <w:szCs w:val="24"/>
          <w:vertAlign w:val="superscript"/>
        </w:rPr>
        <w:t>1</w:t>
      </w:r>
      <w:r w:rsidRPr="003824DF">
        <w:rPr>
          <w:rFonts w:ascii="Times New Roman" w:hAnsi="Times New Roman" w:cs="Times New Roman" w:hint="eastAsia"/>
          <w:sz w:val="24"/>
          <w:szCs w:val="24"/>
        </w:rPr>
        <w:t>), b denotes the thickness of the test tube (1.0 cm), and c corresponds to the concentration of ox</w:t>
      </w:r>
      <w:r w:rsidR="00613A10" w:rsidRPr="003824DF">
        <w:rPr>
          <w:rFonts w:ascii="Times New Roman" w:hAnsi="Times New Roman" w:cs="Times New Roman" w:hint="eastAsia"/>
          <w:sz w:val="24"/>
          <w:szCs w:val="24"/>
        </w:rPr>
        <w:t xml:space="preserve"> </w:t>
      </w:r>
      <w:r w:rsidRPr="003824DF">
        <w:rPr>
          <w:rFonts w:ascii="Times New Roman" w:hAnsi="Times New Roman" w:cs="Times New Roman" w:hint="eastAsia"/>
          <w:sz w:val="24"/>
          <w:szCs w:val="24"/>
        </w:rPr>
        <w:t xml:space="preserve">TMB. The reaction rate v can be determined using the reaction rate equation. The reaction rate v is subsequently integrated into the Michaelis-Menten kinetic equation for the determination of </w:t>
      </w:r>
      <w:r w:rsidRPr="003824DF">
        <w:rPr>
          <w:rFonts w:ascii="Times New Roman" w:hAnsi="Times New Roman" w:cs="Times New Roman" w:hint="eastAsia"/>
          <w:i/>
          <w:iCs/>
          <w:sz w:val="24"/>
          <w:szCs w:val="24"/>
        </w:rPr>
        <w:t>K</w:t>
      </w:r>
      <w:r w:rsidRPr="003824DF">
        <w:rPr>
          <w:rFonts w:ascii="Times New Roman" w:hAnsi="Times New Roman" w:cs="Times New Roman" w:hint="eastAsia"/>
          <w:sz w:val="24"/>
          <w:szCs w:val="24"/>
          <w:vertAlign w:val="subscript"/>
        </w:rPr>
        <w:t>m</w:t>
      </w:r>
      <w:r w:rsidRPr="003824DF">
        <w:rPr>
          <w:rFonts w:ascii="Times New Roman" w:hAnsi="Times New Roman" w:cs="Times New Roman" w:hint="eastAsia"/>
          <w:sz w:val="24"/>
          <w:szCs w:val="24"/>
        </w:rPr>
        <w:t xml:space="preserve"> and </w:t>
      </w:r>
      <w:r w:rsidRPr="003824DF">
        <w:rPr>
          <w:rFonts w:ascii="Times New Roman" w:hAnsi="Times New Roman" w:cs="Times New Roman" w:hint="eastAsia"/>
          <w:i/>
          <w:iCs/>
          <w:sz w:val="24"/>
          <w:szCs w:val="24"/>
        </w:rPr>
        <w:t>V</w:t>
      </w:r>
      <w:r w:rsidRPr="003824DF">
        <w:rPr>
          <w:rFonts w:ascii="Times New Roman" w:hAnsi="Times New Roman" w:cs="Times New Roman" w:hint="eastAsia"/>
          <w:sz w:val="24"/>
          <w:szCs w:val="24"/>
          <w:vertAlign w:val="subscript"/>
        </w:rPr>
        <w:t>max</w:t>
      </w:r>
      <w:r w:rsidRPr="003824DF">
        <w:rPr>
          <w:rFonts w:ascii="Times New Roman" w:hAnsi="Times New Roman" w:cs="Times New Roman" w:hint="eastAsia"/>
          <w:sz w:val="24"/>
          <w:szCs w:val="24"/>
        </w:rPr>
        <w:t xml:space="preserve"> (Eq. (2)).</w:t>
      </w:r>
    </w:p>
    <w:p w14:paraId="3AC6D1F8" w14:textId="6CAAC5CA" w:rsidR="00D05484" w:rsidRPr="003824DF" w:rsidRDefault="00315825" w:rsidP="003824DF">
      <w:pPr>
        <w:spacing w:line="480" w:lineRule="auto"/>
        <w:ind w:firstLineChars="200" w:firstLine="480"/>
        <w:jc w:val="center"/>
        <w:rPr>
          <w:rFonts w:ascii="Times New Roman" w:hAnsi="Times New Roman" w:cs="Times New Roman"/>
          <w:sz w:val="24"/>
          <w:szCs w:val="24"/>
        </w:rPr>
      </w:pPr>
      <m:oMath>
        <m:r>
          <m:rPr>
            <m:nor/>
          </m:rPr>
          <w:rPr>
            <w:rFonts w:ascii="Times New Roman" w:hAnsi="Times New Roman" w:cs="Times New Roman"/>
            <w:sz w:val="24"/>
            <w:szCs w:val="24"/>
          </w:rPr>
          <m:t>1</m:t>
        </m:r>
        <m:r>
          <m:rPr>
            <m:nor/>
          </m:rPr>
          <w:rPr>
            <w:rFonts w:ascii="Times New Roman" w:hAnsi="Times New Roman" w:cs="Times New Roman" w:hint="eastAsia"/>
            <w:sz w:val="24"/>
            <w:szCs w:val="24"/>
          </w:rPr>
          <m:t>/</m:t>
        </m:r>
        <m:r>
          <m:rPr>
            <m:nor/>
          </m:rPr>
          <w:rPr>
            <w:rFonts w:ascii="Cambria Math" w:hAnsi="Times New Roman" w:cs="Times New Roman" w:hint="eastAsia"/>
            <w:i/>
            <w:iCs/>
            <w:sz w:val="24"/>
            <w:szCs w:val="24"/>
          </w:rPr>
          <m:t xml:space="preserve">V </m:t>
        </m:r>
        <m:r>
          <m:rPr>
            <m:nor/>
          </m:rPr>
          <w:rPr>
            <w:rFonts w:ascii="Times New Roman" w:hAnsi="Times New Roman"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i/>
                <w:iCs/>
                <w:sz w:val="24"/>
                <w:szCs w:val="24"/>
              </w:rPr>
              <m:t>K</m:t>
            </m:r>
          </m:e>
          <m:sub>
            <m:r>
              <m:rPr>
                <m:nor/>
              </m:rPr>
              <w:rPr>
                <w:rFonts w:ascii="Times New Roman" w:hAnsi="Times New Roman" w:cs="Times New Roman"/>
                <w:sz w:val="24"/>
                <w:szCs w:val="24"/>
              </w:rPr>
              <m:t>m</m:t>
            </m:r>
          </m:sub>
        </m:sSub>
        <m:r>
          <m:rPr>
            <m:nor/>
          </m:rPr>
          <w:rPr>
            <w:rFonts w:ascii="Cambria Math" w:hAnsi="Times New Roman" w:cs="Times New Roman" w:hint="eastAsia"/>
            <w:sz w:val="24"/>
            <w:szCs w:val="24"/>
          </w:rPr>
          <m:t>/</m:t>
        </m:r>
        <m:sSub>
          <m:sSubPr>
            <m:ctrlPr>
              <w:rPr>
                <w:rFonts w:ascii="Cambria Math" w:hAnsi="Cambria Math" w:cs="Times New Roman"/>
                <w:i/>
                <w:sz w:val="24"/>
                <w:szCs w:val="24"/>
              </w:rPr>
            </m:ctrlPr>
          </m:sSubPr>
          <m:e>
            <m:r>
              <m:rPr>
                <m:nor/>
              </m:rPr>
              <w:rPr>
                <w:rFonts w:ascii="Cambria Math" w:hAnsi="Times New Roman" w:cs="Times New Roman" w:hint="eastAsia"/>
                <w:i/>
                <w:iCs/>
                <w:sz w:val="24"/>
                <w:szCs w:val="24"/>
              </w:rPr>
              <m:t>V</m:t>
            </m:r>
          </m:e>
          <m:sub>
            <m:r>
              <m:rPr>
                <m:nor/>
              </m:rPr>
              <w:rPr>
                <w:rFonts w:ascii="Times New Roman" w:hAnsi="Times New Roman" w:cs="Times New Roman"/>
                <w:sz w:val="24"/>
                <w:szCs w:val="24"/>
              </w:rPr>
              <m:t>max</m:t>
            </m:r>
          </m:sub>
        </m:sSub>
        <m:d>
          <m:dPr>
            <m:ctrlPr>
              <w:rPr>
                <w:rFonts w:ascii="Cambria Math" w:hAnsi="Cambria Math" w:cs="Times New Roman"/>
                <w:i/>
                <w:sz w:val="24"/>
                <w:szCs w:val="24"/>
              </w:rPr>
            </m:ctrlPr>
          </m:dPr>
          <m:e>
            <m:r>
              <m:rPr>
                <m:nor/>
              </m:rPr>
              <w:rPr>
                <w:rFonts w:ascii="Times New Roman" w:hAnsi="Times New Roman" w:cs="Times New Roman"/>
                <w:sz w:val="24"/>
                <w:szCs w:val="24"/>
              </w:rPr>
              <m:t>1</m:t>
            </m:r>
            <m:r>
              <m:rPr>
                <m:nor/>
              </m:rPr>
              <w:rPr>
                <w:rFonts w:ascii="Times New Roman" w:hAnsi="Times New Roman" w:cs="Times New Roman" w:hint="eastAsia"/>
                <w:sz w:val="24"/>
                <w:szCs w:val="24"/>
              </w:rPr>
              <m:t>/</m:t>
            </m:r>
            <m:d>
              <m:dPr>
                <m:begChr m:val="["/>
                <m:endChr m:val="]"/>
                <m:ctrlPr>
                  <w:rPr>
                    <w:rFonts w:ascii="Cambria Math" w:hAnsi="Cambria Math" w:cs="Times New Roman"/>
                    <w:i/>
                    <w:sz w:val="24"/>
                    <w:szCs w:val="24"/>
                  </w:rPr>
                </m:ctrlPr>
              </m:dPr>
              <m:e>
                <m:r>
                  <m:rPr>
                    <m:nor/>
                  </m:rPr>
                  <w:rPr>
                    <w:rFonts w:ascii="Cambria Math" w:hAnsi="Times New Roman" w:cs="Times New Roman"/>
                    <w:sz w:val="24"/>
                    <w:szCs w:val="24"/>
                  </w:rPr>
                  <m:t>S</m:t>
                </m:r>
              </m:e>
            </m:d>
            <m:r>
              <m:rPr>
                <m:nor/>
              </m:rPr>
              <w:rPr>
                <w:rFonts w:ascii="Times New Roman" w:hAnsi="Times New Roman" w:cs="Times New Roman"/>
                <w:sz w:val="24"/>
                <w:szCs w:val="24"/>
              </w:rPr>
              <m:t xml:space="preserve"> +</m:t>
            </m:r>
            <m:r>
              <m:rPr>
                <m:nor/>
              </m:rPr>
              <w:rPr>
                <w:rFonts w:ascii="Cambria Math" w:hAnsi="Times New Roman" w:cs="Times New Roman"/>
                <w:sz w:val="24"/>
                <w:szCs w:val="24"/>
              </w:rPr>
              <m:t xml:space="preserve"> </m:t>
            </m:r>
            <m:r>
              <m:rPr>
                <m:nor/>
              </m:rPr>
              <w:rPr>
                <w:rFonts w:ascii="Times New Roman" w:hAnsi="Times New Roman" w:cs="Times New Roman"/>
                <w:sz w:val="24"/>
                <w:szCs w:val="24"/>
              </w:rPr>
              <m:t>1</m:t>
            </m:r>
            <m:r>
              <m:rPr>
                <m:nor/>
              </m:rPr>
              <w:rPr>
                <w:rFonts w:ascii="Times New Roman" w:hAnsi="Times New Roman" w:cs="Times New Roman" w:hint="eastAsia"/>
                <w:sz w:val="24"/>
                <w:szCs w:val="24"/>
              </w:rPr>
              <m:t>/</m:t>
            </m:r>
            <m:sSub>
              <m:sSubPr>
                <m:ctrlPr>
                  <w:rPr>
                    <w:rFonts w:ascii="Cambria Math" w:hAnsi="Cambria Math" w:cs="Times New Roman"/>
                    <w:i/>
                    <w:sz w:val="24"/>
                    <w:szCs w:val="24"/>
                  </w:rPr>
                </m:ctrlPr>
              </m:sSubPr>
              <m:e>
                <m:r>
                  <m:rPr>
                    <m:nor/>
                  </m:rPr>
                  <w:rPr>
                    <w:rFonts w:ascii="Times New Roman" w:hAnsi="Times New Roman" w:cs="Times New Roman"/>
                    <w:i/>
                    <w:iCs/>
                    <w:sz w:val="24"/>
                    <w:szCs w:val="24"/>
                  </w:rPr>
                  <m:t>K</m:t>
                </m:r>
              </m:e>
              <m:sub>
                <m:r>
                  <m:rPr>
                    <m:nor/>
                  </m:rPr>
                  <w:rPr>
                    <w:rFonts w:ascii="Times New Roman" w:hAnsi="Times New Roman" w:cs="Times New Roman"/>
                    <w:sz w:val="24"/>
                    <w:szCs w:val="24"/>
                  </w:rPr>
                  <m:t>m</m:t>
                </m:r>
              </m:sub>
            </m:sSub>
          </m:e>
        </m:d>
      </m:oMath>
      <w:r w:rsidRPr="003824DF">
        <w:rPr>
          <w:rFonts w:ascii="Times New Roman" w:hAnsi="Times New Roman" w:cs="Times New Roman" w:hint="eastAsia"/>
          <w:sz w:val="24"/>
          <w:szCs w:val="24"/>
        </w:rPr>
        <w:t xml:space="preserve">                                 (2)</w:t>
      </w:r>
    </w:p>
    <w:p w14:paraId="7A5BB3F6" w14:textId="186B3B49" w:rsidR="00315825" w:rsidRPr="003824DF" w:rsidRDefault="00315825" w:rsidP="003824DF">
      <w:pPr>
        <w:pStyle w:val="a9"/>
        <w:spacing w:line="520" w:lineRule="exact"/>
        <w:ind w:left="357" w:firstLine="480"/>
        <w:rPr>
          <w:rFonts w:ascii="Times New Roman" w:hAnsi="Times New Roman" w:cs="Times New Roman"/>
          <w:sz w:val="24"/>
          <w:szCs w:val="24"/>
        </w:rPr>
      </w:pPr>
      <w:r w:rsidRPr="003824DF">
        <w:rPr>
          <w:rFonts w:ascii="Times New Roman" w:hAnsi="Times New Roman" w:cs="Times New Roman" w:hint="eastAsia"/>
          <w:sz w:val="24"/>
          <w:szCs w:val="24"/>
        </w:rPr>
        <w:t xml:space="preserve">In this scenario, [S] denotes the substrate concentration, </w:t>
      </w:r>
      <w:r w:rsidR="005B2944" w:rsidRPr="003824DF">
        <w:rPr>
          <w:rFonts w:ascii="Times New Roman" w:hAnsi="Times New Roman" w:cs="Times New Roman" w:hint="eastAsia"/>
          <w:i/>
          <w:iCs/>
          <w:sz w:val="24"/>
          <w:szCs w:val="24"/>
        </w:rPr>
        <w:t>K</w:t>
      </w:r>
      <w:r w:rsidR="005B2944" w:rsidRPr="003824DF">
        <w:rPr>
          <w:rFonts w:ascii="Times New Roman" w:hAnsi="Times New Roman" w:cs="Times New Roman" w:hint="eastAsia"/>
          <w:sz w:val="24"/>
          <w:szCs w:val="24"/>
          <w:vertAlign w:val="subscript"/>
        </w:rPr>
        <w:t>m</w:t>
      </w:r>
      <w:r w:rsidRPr="003824DF">
        <w:rPr>
          <w:rFonts w:ascii="Times New Roman" w:hAnsi="Times New Roman" w:cs="Times New Roman" w:hint="eastAsia"/>
          <w:sz w:val="24"/>
          <w:szCs w:val="24"/>
        </w:rPr>
        <w:t xml:space="preserve"> represents the Michaelis constant, and </w:t>
      </w:r>
      <w:r w:rsidR="005B2944" w:rsidRPr="003824DF">
        <w:rPr>
          <w:rFonts w:ascii="Times New Roman" w:hAnsi="Times New Roman" w:cs="Times New Roman" w:hint="eastAsia"/>
          <w:i/>
          <w:iCs/>
          <w:sz w:val="24"/>
          <w:szCs w:val="24"/>
        </w:rPr>
        <w:t>V</w:t>
      </w:r>
      <w:r w:rsidR="005B2944" w:rsidRPr="003824DF">
        <w:rPr>
          <w:rFonts w:ascii="Times New Roman" w:hAnsi="Times New Roman" w:cs="Times New Roman" w:hint="eastAsia"/>
          <w:sz w:val="24"/>
          <w:szCs w:val="24"/>
          <w:vertAlign w:val="subscript"/>
        </w:rPr>
        <w:t>max</w:t>
      </w:r>
      <w:r w:rsidRPr="003824DF">
        <w:rPr>
          <w:rFonts w:ascii="Times New Roman" w:hAnsi="Times New Roman" w:cs="Times New Roman" w:hint="eastAsia"/>
          <w:sz w:val="24"/>
          <w:szCs w:val="24"/>
        </w:rPr>
        <w:t xml:space="preserve"> signifies the maximum reaction rate. A lower </w:t>
      </w:r>
      <w:r w:rsidR="005B2944" w:rsidRPr="003824DF">
        <w:rPr>
          <w:rFonts w:ascii="Times New Roman" w:hAnsi="Times New Roman" w:cs="Times New Roman" w:hint="eastAsia"/>
          <w:i/>
          <w:iCs/>
          <w:sz w:val="24"/>
          <w:szCs w:val="24"/>
        </w:rPr>
        <w:t>K</w:t>
      </w:r>
      <w:r w:rsidR="005B2944" w:rsidRPr="003824DF">
        <w:rPr>
          <w:rFonts w:ascii="Times New Roman" w:hAnsi="Times New Roman" w:cs="Times New Roman" w:hint="eastAsia"/>
          <w:sz w:val="24"/>
          <w:szCs w:val="24"/>
          <w:vertAlign w:val="subscript"/>
        </w:rPr>
        <w:t>m</w:t>
      </w:r>
      <w:r w:rsidRPr="003824DF">
        <w:rPr>
          <w:rFonts w:ascii="Times New Roman" w:hAnsi="Times New Roman" w:cs="Times New Roman" w:hint="eastAsia"/>
          <w:sz w:val="24"/>
          <w:szCs w:val="24"/>
        </w:rPr>
        <w:t xml:space="preserve"> indicates a greater affinity between the enzyme and the substrate, thereby enhancing the enzymatic reaction. </w:t>
      </w:r>
      <w:r w:rsidR="005B2944" w:rsidRPr="003824DF">
        <w:rPr>
          <w:rFonts w:ascii="Times New Roman" w:hAnsi="Times New Roman" w:cs="Times New Roman" w:hint="eastAsia"/>
          <w:i/>
          <w:iCs/>
          <w:sz w:val="24"/>
          <w:szCs w:val="24"/>
        </w:rPr>
        <w:t>V</w:t>
      </w:r>
      <w:r w:rsidR="005B2944" w:rsidRPr="003824DF">
        <w:rPr>
          <w:rFonts w:ascii="Times New Roman" w:hAnsi="Times New Roman" w:cs="Times New Roman" w:hint="eastAsia"/>
          <w:sz w:val="24"/>
          <w:szCs w:val="24"/>
          <w:vertAlign w:val="subscript"/>
        </w:rPr>
        <w:t>max</w:t>
      </w:r>
      <w:r w:rsidRPr="003824DF">
        <w:rPr>
          <w:rFonts w:ascii="Times New Roman" w:hAnsi="Times New Roman" w:cs="Times New Roman" w:hint="eastAsia"/>
          <w:sz w:val="24"/>
          <w:szCs w:val="24"/>
        </w:rPr>
        <w:t xml:space="preserve"> represents the reaction rate attained when the substrate concentration is relatively high. A greater </w:t>
      </w:r>
      <w:r w:rsidR="005B2944" w:rsidRPr="003824DF">
        <w:rPr>
          <w:rFonts w:ascii="Times New Roman" w:hAnsi="Times New Roman" w:cs="Times New Roman" w:hint="eastAsia"/>
          <w:i/>
          <w:iCs/>
          <w:sz w:val="24"/>
          <w:szCs w:val="24"/>
        </w:rPr>
        <w:t>V</w:t>
      </w:r>
      <w:r w:rsidR="005B2944" w:rsidRPr="003824DF">
        <w:rPr>
          <w:rFonts w:ascii="Times New Roman" w:hAnsi="Times New Roman" w:cs="Times New Roman" w:hint="eastAsia"/>
          <w:sz w:val="24"/>
          <w:szCs w:val="24"/>
          <w:vertAlign w:val="subscript"/>
        </w:rPr>
        <w:t>max</w:t>
      </w:r>
      <w:r w:rsidRPr="003824DF">
        <w:rPr>
          <w:rFonts w:ascii="Times New Roman" w:hAnsi="Times New Roman" w:cs="Times New Roman" w:hint="eastAsia"/>
          <w:sz w:val="24"/>
          <w:szCs w:val="24"/>
        </w:rPr>
        <w:t xml:space="preserve"> indicates a higher transformation rate and catalytic efficiency.</w:t>
      </w:r>
    </w:p>
    <w:p w14:paraId="0536DEB0" w14:textId="1725CB99" w:rsidR="00315825" w:rsidRPr="003824DF" w:rsidRDefault="00315825" w:rsidP="003824DF">
      <w:pPr>
        <w:pStyle w:val="a9"/>
        <w:numPr>
          <w:ilvl w:val="0"/>
          <w:numId w:val="1"/>
        </w:numPr>
        <w:spacing w:beforeLines="100" w:before="312" w:line="360" w:lineRule="auto"/>
        <w:ind w:left="357" w:firstLineChars="0" w:hanging="357"/>
        <w:rPr>
          <w:rFonts w:ascii="Times New Roman" w:hAnsi="Times New Roman" w:cs="Times New Roman"/>
          <w:b/>
          <w:bCs/>
          <w:sz w:val="24"/>
          <w:szCs w:val="24"/>
        </w:rPr>
      </w:pPr>
      <w:r w:rsidRPr="003824DF">
        <w:rPr>
          <w:rFonts w:ascii="Times New Roman" w:hAnsi="Times New Roman" w:cs="Times New Roman"/>
          <w:b/>
          <w:bCs/>
          <w:sz w:val="24"/>
          <w:szCs w:val="24"/>
        </w:rPr>
        <w:t>Scanning electron microscopy of bacterial morphology</w:t>
      </w:r>
    </w:p>
    <w:p w14:paraId="18972A6E" w14:textId="3E38A8F3" w:rsidR="00315825" w:rsidRPr="003824DF" w:rsidRDefault="00315825" w:rsidP="003824DF">
      <w:pPr>
        <w:pStyle w:val="a9"/>
        <w:spacing w:line="520" w:lineRule="exact"/>
        <w:ind w:left="357" w:firstLine="480"/>
        <w:rPr>
          <w:rFonts w:ascii="Times New Roman" w:hAnsi="Times New Roman"/>
          <w:color w:val="000000"/>
          <w:sz w:val="24"/>
          <w:szCs w:val="24"/>
        </w:rPr>
      </w:pPr>
      <w:r w:rsidRPr="003824DF">
        <w:rPr>
          <w:rFonts w:ascii="Times New Roman" w:hAnsi="Times New Roman" w:hint="eastAsia"/>
          <w:color w:val="000000"/>
          <w:sz w:val="24"/>
          <w:szCs w:val="24"/>
        </w:rPr>
        <w:t>The morphological changes of bacteria were observed using SEM. The experimental procedure was the same as 2.6.4. After the above different treatments, the bacterial solution was centrifuged, and then immersed in a 2.5% glutaraldehyde solution for 6 hours. Subsequently, it was washed 3 times with sterile physiological saline, and then gradually dehydrated with 30%, 40%, 50%, 60%, 70%, 80%, 90% and 100% ethanol solutions for 15 minutes in a gradient. Finally, the freeze-dried bacteria were observed using SEM.</w:t>
      </w:r>
    </w:p>
    <w:sectPr w:rsidR="00315825" w:rsidRPr="003824DF" w:rsidSect="004250BD">
      <w:pgSz w:w="11906" w:h="16838" w:code="9"/>
      <w:pgMar w:top="720" w:right="1094" w:bottom="953" w:left="109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CE1C" w14:textId="77777777" w:rsidR="00664D6C" w:rsidRDefault="00664D6C" w:rsidP="000F208B">
      <w:pPr>
        <w:rPr>
          <w:rFonts w:hint="eastAsia"/>
        </w:rPr>
      </w:pPr>
      <w:r>
        <w:separator/>
      </w:r>
    </w:p>
  </w:endnote>
  <w:endnote w:type="continuationSeparator" w:id="0">
    <w:p w14:paraId="7BAF29D3" w14:textId="77777777" w:rsidR="00664D6C" w:rsidRDefault="00664D6C" w:rsidP="000F20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64DB" w14:textId="77777777" w:rsidR="00664D6C" w:rsidRDefault="00664D6C" w:rsidP="000F208B">
      <w:pPr>
        <w:rPr>
          <w:rFonts w:hint="eastAsia"/>
        </w:rPr>
      </w:pPr>
      <w:r>
        <w:separator/>
      </w:r>
    </w:p>
  </w:footnote>
  <w:footnote w:type="continuationSeparator" w:id="0">
    <w:p w14:paraId="6EE7E747" w14:textId="77777777" w:rsidR="00664D6C" w:rsidRDefault="00664D6C" w:rsidP="000F208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2CE"/>
    <w:multiLevelType w:val="multilevel"/>
    <w:tmpl w:val="140D62C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9E245D2"/>
    <w:multiLevelType w:val="multilevel"/>
    <w:tmpl w:val="94C2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280558">
    <w:abstractNumId w:val="0"/>
  </w:num>
  <w:num w:numId="2" w16cid:durableId="133433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D68"/>
    <w:rsid w:val="000320F6"/>
    <w:rsid w:val="00070251"/>
    <w:rsid w:val="00077A35"/>
    <w:rsid w:val="00083C0E"/>
    <w:rsid w:val="000B0DB5"/>
    <w:rsid w:val="000D0CE8"/>
    <w:rsid w:val="000F0627"/>
    <w:rsid w:val="000F208B"/>
    <w:rsid w:val="000F225A"/>
    <w:rsid w:val="00104B2E"/>
    <w:rsid w:val="00142779"/>
    <w:rsid w:val="00156743"/>
    <w:rsid w:val="00162EC7"/>
    <w:rsid w:val="001830DB"/>
    <w:rsid w:val="001E74E2"/>
    <w:rsid w:val="001F3017"/>
    <w:rsid w:val="0023138D"/>
    <w:rsid w:val="00232C5C"/>
    <w:rsid w:val="002476AE"/>
    <w:rsid w:val="002845D8"/>
    <w:rsid w:val="00285386"/>
    <w:rsid w:val="00285885"/>
    <w:rsid w:val="00287FBF"/>
    <w:rsid w:val="002A0396"/>
    <w:rsid w:val="002E6E26"/>
    <w:rsid w:val="003155C5"/>
    <w:rsid w:val="00315825"/>
    <w:rsid w:val="00322800"/>
    <w:rsid w:val="00336A8C"/>
    <w:rsid w:val="003655EA"/>
    <w:rsid w:val="00380CC9"/>
    <w:rsid w:val="003824DF"/>
    <w:rsid w:val="003827AF"/>
    <w:rsid w:val="00392F7A"/>
    <w:rsid w:val="003C2BB7"/>
    <w:rsid w:val="003E5BD1"/>
    <w:rsid w:val="004250BD"/>
    <w:rsid w:val="0044292F"/>
    <w:rsid w:val="00473097"/>
    <w:rsid w:val="00492A1D"/>
    <w:rsid w:val="004A51B8"/>
    <w:rsid w:val="004A7F87"/>
    <w:rsid w:val="00510A7E"/>
    <w:rsid w:val="00550C09"/>
    <w:rsid w:val="00553108"/>
    <w:rsid w:val="00560536"/>
    <w:rsid w:val="005A37C5"/>
    <w:rsid w:val="005B2944"/>
    <w:rsid w:val="00613A10"/>
    <w:rsid w:val="0062231D"/>
    <w:rsid w:val="00634C6F"/>
    <w:rsid w:val="00664D6C"/>
    <w:rsid w:val="0068233D"/>
    <w:rsid w:val="006977DA"/>
    <w:rsid w:val="00741329"/>
    <w:rsid w:val="0074754A"/>
    <w:rsid w:val="00771294"/>
    <w:rsid w:val="00787D89"/>
    <w:rsid w:val="007A0BB0"/>
    <w:rsid w:val="007E1E3B"/>
    <w:rsid w:val="00810413"/>
    <w:rsid w:val="008117FD"/>
    <w:rsid w:val="00822325"/>
    <w:rsid w:val="008425F2"/>
    <w:rsid w:val="00876ADC"/>
    <w:rsid w:val="00882C21"/>
    <w:rsid w:val="008A27D6"/>
    <w:rsid w:val="00903B29"/>
    <w:rsid w:val="00907F51"/>
    <w:rsid w:val="00923855"/>
    <w:rsid w:val="009600F6"/>
    <w:rsid w:val="00962578"/>
    <w:rsid w:val="00992BAD"/>
    <w:rsid w:val="00997BB5"/>
    <w:rsid w:val="009A0F1F"/>
    <w:rsid w:val="009D672B"/>
    <w:rsid w:val="00A25C90"/>
    <w:rsid w:val="00A37290"/>
    <w:rsid w:val="00A51971"/>
    <w:rsid w:val="00A92294"/>
    <w:rsid w:val="00AC1359"/>
    <w:rsid w:val="00AC7D68"/>
    <w:rsid w:val="00B03AF6"/>
    <w:rsid w:val="00B11716"/>
    <w:rsid w:val="00B32351"/>
    <w:rsid w:val="00B42A57"/>
    <w:rsid w:val="00B57D05"/>
    <w:rsid w:val="00B624C2"/>
    <w:rsid w:val="00BC52B2"/>
    <w:rsid w:val="00C161C8"/>
    <w:rsid w:val="00C357EC"/>
    <w:rsid w:val="00C37D9F"/>
    <w:rsid w:val="00C50C3C"/>
    <w:rsid w:val="00C6269F"/>
    <w:rsid w:val="00C71E66"/>
    <w:rsid w:val="00C87BCD"/>
    <w:rsid w:val="00CB58D4"/>
    <w:rsid w:val="00CE38AC"/>
    <w:rsid w:val="00CE6869"/>
    <w:rsid w:val="00D05484"/>
    <w:rsid w:val="00D23A12"/>
    <w:rsid w:val="00D64590"/>
    <w:rsid w:val="00D77A85"/>
    <w:rsid w:val="00DB58DE"/>
    <w:rsid w:val="00DD471D"/>
    <w:rsid w:val="00DF1054"/>
    <w:rsid w:val="00E05C26"/>
    <w:rsid w:val="00E2355C"/>
    <w:rsid w:val="00E32DAE"/>
    <w:rsid w:val="00E833D8"/>
    <w:rsid w:val="00E951A2"/>
    <w:rsid w:val="00EB6D3F"/>
    <w:rsid w:val="00EB7B57"/>
    <w:rsid w:val="00ED528F"/>
    <w:rsid w:val="00EF3F08"/>
    <w:rsid w:val="00EF4E77"/>
    <w:rsid w:val="00EF5DC7"/>
    <w:rsid w:val="00F1380D"/>
    <w:rsid w:val="00F27BF3"/>
    <w:rsid w:val="00F35B2B"/>
    <w:rsid w:val="00F41C60"/>
    <w:rsid w:val="00FA1814"/>
    <w:rsid w:val="00FF2CE5"/>
    <w:rsid w:val="56D2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46216"/>
  <w15:docId w15:val="{D5E2AA65-DAC0-43B5-B2C1-329DE754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table" w:styleId="a7">
    <w:name w:val="Table Grid"/>
    <w:basedOn w:val="a1"/>
    <w:uiPriority w:val="59"/>
    <w:rPr>
      <w:sz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customStyle="1" w:styleId="a8">
    <w:name w:val="三线表"/>
    <w:basedOn w:val="a1"/>
    <w:uiPriority w:val="99"/>
    <w:rPr>
      <w:rFonts w:eastAsia="Times New Roman"/>
    </w:rPr>
    <w:tblPr>
      <w:tblBorders>
        <w:top w:val="single" w:sz="8" w:space="0" w:color="auto"/>
        <w:bottom w:val="single" w:sz="8" w:space="0" w:color="auto"/>
      </w:tblBorders>
    </w:tblPr>
    <w:tblStylePr w:type="firstRow">
      <w:tblPr/>
      <w:tcPr>
        <w:tcBorders>
          <w:top w:val="single" w:sz="4" w:space="0" w:color="auto"/>
          <w:left w:val="nil"/>
          <w:bottom w:val="single" w:sz="12" w:space="0" w:color="auto"/>
          <w:right w:val="nil"/>
          <w:insideH w:val="nil"/>
          <w:insideV w:val="nil"/>
          <w:tl2br w:val="nil"/>
          <w:tr2bl w:val="nil"/>
        </w:tcBorders>
      </w:tcPr>
    </w:tblStylePr>
  </w:style>
  <w:style w:type="table" w:customStyle="1" w:styleId="1">
    <w:name w:val="样式1"/>
    <w:basedOn w:val="a1"/>
    <w:uiPriority w:val="99"/>
    <w:rPr>
      <w:rFonts w:eastAsia="Times New Roman"/>
    </w:rPr>
    <w:tblPr/>
  </w:style>
  <w:style w:type="table" w:customStyle="1" w:styleId="2">
    <w:name w:val="样式2"/>
    <w:basedOn w:val="a1"/>
    <w:uiPriority w:val="99"/>
    <w:rPr>
      <w:rFonts w:eastAsia="Times New Roman"/>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a9">
    <w:name w:val="List Paragraph"/>
    <w:basedOn w:val="a"/>
    <w:uiPriority w:val="34"/>
    <w:qFormat/>
    <w:pPr>
      <w:ind w:firstLineChars="200" w:firstLine="420"/>
    </w:pPr>
  </w:style>
  <w:style w:type="character" w:styleId="aa">
    <w:name w:val="Placeholder Text"/>
    <w:basedOn w:val="a0"/>
    <w:uiPriority w:val="99"/>
    <w:semiHidden/>
    <w:rPr>
      <w:color w:val="666666"/>
    </w:rPr>
  </w:style>
  <w:style w:type="paragraph" w:styleId="ab">
    <w:name w:val="Balloon Text"/>
    <w:basedOn w:val="a"/>
    <w:link w:val="ac"/>
    <w:uiPriority w:val="99"/>
    <w:semiHidden/>
    <w:unhideWhenUsed/>
    <w:rsid w:val="00C37D9F"/>
    <w:rPr>
      <w:sz w:val="18"/>
      <w:szCs w:val="18"/>
    </w:rPr>
  </w:style>
  <w:style w:type="character" w:customStyle="1" w:styleId="ac">
    <w:name w:val="批注框文本 字符"/>
    <w:basedOn w:val="a0"/>
    <w:link w:val="ab"/>
    <w:uiPriority w:val="99"/>
    <w:semiHidden/>
    <w:rsid w:val="00C37D9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938154">
      <w:bodyDiv w:val="1"/>
      <w:marLeft w:val="0"/>
      <w:marRight w:val="0"/>
      <w:marTop w:val="0"/>
      <w:marBottom w:val="0"/>
      <w:divBdr>
        <w:top w:val="none" w:sz="0" w:space="0" w:color="auto"/>
        <w:left w:val="none" w:sz="0" w:space="0" w:color="auto"/>
        <w:bottom w:val="none" w:sz="0" w:space="0" w:color="auto"/>
        <w:right w:val="none" w:sz="0" w:space="0" w:color="auto"/>
      </w:divBdr>
    </w:div>
    <w:div w:id="691147474">
      <w:bodyDiv w:val="1"/>
      <w:marLeft w:val="0"/>
      <w:marRight w:val="0"/>
      <w:marTop w:val="0"/>
      <w:marBottom w:val="0"/>
      <w:divBdr>
        <w:top w:val="none" w:sz="0" w:space="0" w:color="auto"/>
        <w:left w:val="none" w:sz="0" w:space="0" w:color="auto"/>
        <w:bottom w:val="none" w:sz="0" w:space="0" w:color="auto"/>
        <w:right w:val="none" w:sz="0" w:space="0" w:color="auto"/>
      </w:divBdr>
    </w:div>
    <w:div w:id="1769690332">
      <w:bodyDiv w:val="1"/>
      <w:marLeft w:val="0"/>
      <w:marRight w:val="0"/>
      <w:marTop w:val="0"/>
      <w:marBottom w:val="0"/>
      <w:divBdr>
        <w:top w:val="none" w:sz="0" w:space="0" w:color="auto"/>
        <w:left w:val="none" w:sz="0" w:space="0" w:color="auto"/>
        <w:bottom w:val="none" w:sz="0" w:space="0" w:color="auto"/>
        <w:right w:val="none" w:sz="0" w:space="0" w:color="auto"/>
      </w:divBdr>
    </w:div>
    <w:div w:id="205554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Pages>
  <Words>901</Words>
  <Characters>4840</Characters>
  <Application>Microsoft Office Word</Application>
  <DocSecurity>0</DocSecurity>
  <Lines>72</Lines>
  <Paragraphs>24</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张小青</dc:creator>
  <cp:lastModifiedBy>惠琴 姚</cp:lastModifiedBy>
  <cp:revision>61</cp:revision>
  <dcterms:created xsi:type="dcterms:W3CDTF">2025-02-09T13:29:00Z</dcterms:created>
  <dcterms:modified xsi:type="dcterms:W3CDTF">2025-12-23T13:46:00Z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eyJoZGlkIjoiM2NjNjVmNjZhZGZjYzc5NDk5MmFjY2ViZjNlNzQ3OGUiLCJ1c2VySWQiOiI4OTkzMjk0ODAifQ==</vt:lpwstr>
  </property>
  <property fmtid="{D5CDD505-2E9C-101B-9397-08002B2CF9AE}" pid="3" name="KSOProductBuildVer">
    <vt:lpwstr>2052-12.1.0.21171</vt:lpwstr>
  </property>
  <property fmtid="{D5CDD505-2E9C-101B-9397-08002B2CF9AE}" pid="4" name="ICV">
    <vt:lpwstr>73594FBDD9D547BA9FBD766B64157B05_12</vt:lpwstr>
  </property>
</Properties>
</file>