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487DC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340610"/>
            <wp:effectExtent l="0" t="0" r="8255" b="2540"/>
            <wp:docPr id="4" name="图片 4" descr="FIgur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S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65F34">
      <w:pPr>
        <w:widowControl/>
        <w:spacing w:after="120" w:line="360" w:lineRule="auto"/>
        <w:jc w:val="left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eastAsia="en-US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eastAsia="en-US"/>
        </w:rPr>
        <w:t>Supplementary</w:t>
      </w:r>
      <w:r>
        <w:rPr>
          <w:rFonts w:hint="eastAsia" w:eastAsia="宋体" w:cs="Times New Roman"/>
          <w:b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eastAsia="en-US"/>
        </w:rPr>
        <w:t>Figure S1. Distribution of overlap weights in MIMIC-IV and eICU-CRD</w:t>
      </w:r>
    </w:p>
    <w:p w14:paraId="18886459">
      <w:pPr>
        <w:widowControl/>
        <w:numPr>
          <w:ilvl w:val="0"/>
          <w:numId w:val="1"/>
        </w:numPr>
        <w:spacing w:after="120" w:line="360" w:lineRule="auto"/>
        <w:jc w:val="left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en-US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en-US"/>
        </w:rPr>
        <w:t>Distribution of overlap weights in MIMIC-IV for the comparison of early (0–6 h) versus delayed (6–24 h) vasopressin initiation. The red dashed line indicates the ideal weight (w = 1), and the green solid line indicates the observed mean overlap weight. The effective sample size (ESS), total sample size (N), and mean weight are shown in the inset.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en-US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en-US"/>
        </w:rPr>
        <w:t>B. Distribution of overlap weights in eICU-CRD, with the same annotations as in panel A.</w:t>
      </w:r>
    </w:p>
    <w:p w14:paraId="52375A1F">
      <w:pPr>
        <w:rPr>
          <w:rFonts w:hint="eastAsia" w:eastAsiaTheme="minorEastAsia"/>
          <w:lang w:eastAsia="zh-CN"/>
        </w:rPr>
      </w:pPr>
    </w:p>
    <w:p w14:paraId="41CAD2F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672840"/>
            <wp:effectExtent l="0" t="0" r="8255" b="3810"/>
            <wp:docPr id="3" name="图片 3" descr="FigureS2_Stratified_Fo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S2_Stratified_Fores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7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7C06C">
      <w:pPr>
        <w:widowControl/>
        <w:spacing w:after="120" w:line="360" w:lineRule="auto"/>
        <w:jc w:val="left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eastAsia="en-US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eastAsia="en-US"/>
        </w:rPr>
        <w:t>Supplementary Figure S2. Stratified association by net fluid balance quartiles</w:t>
      </w:r>
    </w:p>
    <w:p w14:paraId="527CFBC5">
      <w:pPr>
        <w:widowControl/>
        <w:spacing w:after="120" w:line="360" w:lineRule="auto"/>
        <w:jc w:val="left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en-US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en-US"/>
        </w:rPr>
        <w:t>Association between early versus delayed vasopressin initiation and in-hospital mortality stratified by quartiles of net fluid balance (Q1 lowest to Q4 highest). Points indicate adjusted odds ratios and whiskers indicate 95% confidence intervals. The vertical dashed line indicates an odds ratio of 1.0. The interaction P value corresponds to the treatment-by-quartile interaction term from the prespecified model (net fluid balance quartile × treatment), as annotated in the figure.</w:t>
      </w:r>
    </w:p>
    <w:p w14:paraId="6584B228">
      <w:pPr>
        <w:rPr>
          <w:rFonts w:hint="eastAsia" w:eastAsiaTheme="minorEastAsia"/>
          <w:lang w:eastAsia="zh-CN"/>
        </w:rPr>
      </w:pPr>
    </w:p>
    <w:p w14:paraId="1A64E4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935730"/>
            <wp:effectExtent l="0" t="0" r="4445" b="7620"/>
            <wp:docPr id="2" name="图片 2" descr="FigureS3_PS_Overlap_eI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S3_PS_Overlap_eICU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3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5E340">
      <w:pPr>
        <w:widowControl/>
        <w:spacing w:after="120" w:line="360" w:lineRule="auto"/>
        <w:jc w:val="left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eastAsia="en-US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eastAsia="en-US"/>
        </w:rPr>
        <w:t>Supplementary Figure S3. Propensity score overlap in eICU-CRD</w:t>
      </w:r>
    </w:p>
    <w:p w14:paraId="0C0E4186">
      <w:pPr>
        <w:widowControl/>
        <w:spacing w:after="120" w:line="360" w:lineRule="auto"/>
        <w:jc w:val="left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en-US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en-US"/>
        </w:rPr>
        <w:t>Distribution of propensity scores for early versus delayed vasopressin initiation among eligible patients in eICU-CRD. The shaded region indicates the area of common support. Propensity scores were estimated using the same prespecified covariates and time window as in the primary analysis.</w:t>
      </w:r>
    </w:p>
    <w:p w14:paraId="5D405B92">
      <w:pPr>
        <w:rPr>
          <w:rFonts w:hint="eastAsia" w:eastAsiaTheme="minorEastAsia"/>
          <w:lang w:eastAsia="zh-CN"/>
        </w:rPr>
      </w:pPr>
    </w:p>
    <w:p w14:paraId="405CD23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4204335"/>
            <wp:effectExtent l="0" t="0" r="7620" b="5715"/>
            <wp:docPr id="1" name="图片 1" descr="FigureS4_LovePlot_eI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S4_LovePlot_eICU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20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A78FB">
      <w:pPr>
        <w:widowControl/>
        <w:spacing w:after="120" w:line="360" w:lineRule="auto"/>
        <w:jc w:val="left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eastAsia="en-US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eastAsia="en-US"/>
        </w:rPr>
        <w:t>Supplementary Figure S4. Covariate balance before and after overlap weighting in eICU-CRD</w:t>
      </w:r>
    </w:p>
    <w:p w14:paraId="4E360A78">
      <w:pPr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en-US"/>
        </w:rPr>
        <w:t>Absolute standardized mean differences (SMDs) for prespecified covariates comparing early versus delayed vasopressin initiation in eICU-CRD, before and after propensity score overlap weighting. The vertical dashed line marks an absolute SMD of 0.1, with values below this threshold considered indicative of adequate covariate balance.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EB928B"/>
    <w:multiLevelType w:val="singleLevel"/>
    <w:tmpl w:val="3DEB928B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0564C"/>
    <w:rsid w:val="1299771C"/>
    <w:rsid w:val="2920564C"/>
    <w:rsid w:val="2B0B402E"/>
    <w:rsid w:val="2B2A2EBD"/>
    <w:rsid w:val="5DAA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ascii="Times New Roman" w:hAnsi="Times New Roman" w:eastAsiaTheme="minorEastAsia" w:cstheme="minorBidi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267</Words>
  <Characters>1594</Characters>
  <Lines>0</Lines>
  <Paragraphs>0</Paragraphs>
  <TotalTime>0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2026-02-28T02:25:00Z</dcterms:created>
  <dc:creator>J</dc:creator>
  <cp:lastModifiedBy>巴特·龚高昂</cp:lastModifiedBy>
  <dcterms:modified xsi:type="dcterms:W3CDTF">2026-02-28T02:49:26Z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D94AB754056C4DEF9F811392FE5B756A_13</vt:lpwstr>
  </property>
  <property fmtid="{D5CDD505-2E9C-101B-9397-08002B2CF9AE}" pid="4" name="KSOTemplateDocerSaveRecord">
    <vt:lpwstr>eyJoZGlkIjoiMmE4OTU5N2ViYWEzZjFhNzdjYTZiYzI2ZWY0YjgzYTIiLCJ1c2VySWQiOiIyMzI2NTI0ODcifQ==</vt:lpwstr>
  </property>
</Properties>
</file>