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2D" w:rsidRDefault="00173A2D"/>
    <w:p w:rsidR="005E3B97" w:rsidRDefault="005E3B97"/>
    <w:p w:rsidR="005E3B97" w:rsidRDefault="005E3B97"/>
    <w:p w:rsidR="005E3B97" w:rsidRDefault="005E3B97"/>
    <w:p w:rsidR="005E3B97" w:rsidRDefault="005E3B97"/>
    <w:p w:rsidR="005E3B97" w:rsidRDefault="005E3B97"/>
    <w:p w:rsidR="005E3B97" w:rsidRDefault="005E3B97"/>
    <w:p w:rsidR="005E3B97" w:rsidRDefault="005E3B97"/>
    <w:tbl>
      <w:tblPr>
        <w:tblW w:w="10154" w:type="dxa"/>
        <w:tblInd w:w="-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53"/>
        <w:gridCol w:w="1651"/>
        <w:gridCol w:w="1651"/>
        <w:gridCol w:w="1652"/>
        <w:gridCol w:w="1651"/>
      </w:tblGrid>
      <w:tr w:rsidR="005E3B97" w:rsidRPr="00514D8B" w:rsidTr="00A66B5E">
        <w:trPr>
          <w:trHeight w:val="373"/>
        </w:trPr>
        <w:tc>
          <w:tcPr>
            <w:tcW w:w="10154" w:type="dxa"/>
            <w:gridSpan w:val="6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E3B97" w:rsidRPr="00514D8B" w:rsidRDefault="005C01D7" w:rsidP="00027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bookmarkStart w:id="0" w:name="_GoBack"/>
            <w:r w:rsidRPr="005C01D7">
              <w:rPr>
                <w:rFonts w:ascii="Arial" w:hAnsi="Arial" w:cs="Arial"/>
                <w:b/>
                <w:color w:val="000000" w:themeColor="text1"/>
              </w:rPr>
              <w:t>Supplementary</w:t>
            </w:r>
            <w:bookmarkEnd w:id="0"/>
            <w:r w:rsidR="005E3B97"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Table</w:t>
            </w:r>
            <w:r w:rsidR="004B2CC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4</w:t>
            </w:r>
            <w:r w:rsidR="00A8346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.</w:t>
            </w:r>
            <w:r w:rsidR="005E3B97"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Summary Chi-square Test for Hardy-Weinberg Equilibrium</w:t>
            </w:r>
          </w:p>
        </w:tc>
      </w:tr>
      <w:tr w:rsidR="005E3B97" w:rsidRPr="00514D8B" w:rsidTr="00A66B5E">
        <w:trPr>
          <w:trHeight w:val="373"/>
        </w:trPr>
        <w:tc>
          <w:tcPr>
            <w:tcW w:w="16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Study area</w:t>
            </w:r>
          </w:p>
        </w:tc>
        <w:tc>
          <w:tcPr>
            <w:tcW w:w="18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i/>
                <w:color w:val="000000"/>
                <w:lang w:eastAsia="fr-FR"/>
              </w:rPr>
              <w:t>Kdr</w:t>
            </w: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mutation</w:t>
            </w:r>
          </w:p>
        </w:tc>
        <w:tc>
          <w:tcPr>
            <w:tcW w:w="16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df</w:t>
            </w:r>
          </w:p>
        </w:tc>
        <w:tc>
          <w:tcPr>
            <w:tcW w:w="16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hAnsi="Arial" w:cs="Arial"/>
                <w:b/>
                <w:color w:val="000000" w:themeColor="text1"/>
              </w:rPr>
              <w:t>ꭓ</w:t>
            </w:r>
            <w:r w:rsidRPr="00514D8B">
              <w:rPr>
                <w:rFonts w:ascii="Arial" w:hAnsi="Arial" w:cs="Arial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16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p-value</w:t>
            </w:r>
          </w:p>
        </w:tc>
        <w:tc>
          <w:tcPr>
            <w:tcW w:w="16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Significativity</w:t>
            </w:r>
          </w:p>
        </w:tc>
      </w:tr>
      <w:tr w:rsidR="005E3B97" w:rsidRPr="00514D8B" w:rsidTr="00A66B5E">
        <w:trPr>
          <w:trHeight w:val="373"/>
        </w:trPr>
        <w:tc>
          <w:tcPr>
            <w:tcW w:w="1696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Anono</w:t>
            </w:r>
          </w:p>
        </w:tc>
        <w:tc>
          <w:tcPr>
            <w:tcW w:w="1853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F1534C</w:t>
            </w:r>
          </w:p>
        </w:tc>
        <w:tc>
          <w:tcPr>
            <w:tcW w:w="165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0.015</w:t>
            </w:r>
          </w:p>
        </w:tc>
        <w:tc>
          <w:tcPr>
            <w:tcW w:w="165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0.900</w:t>
            </w:r>
          </w:p>
        </w:tc>
        <w:tc>
          <w:tcPr>
            <w:tcW w:w="165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ns</w:t>
            </w:r>
          </w:p>
        </w:tc>
      </w:tr>
      <w:tr w:rsidR="005E3B97" w:rsidRPr="00514D8B" w:rsidTr="00A66B5E">
        <w:trPr>
          <w:trHeight w:val="373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V1016I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3.321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0.068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ns</w:t>
            </w:r>
          </w:p>
        </w:tc>
      </w:tr>
      <w:tr w:rsidR="005E3B97" w:rsidRPr="00514D8B" w:rsidTr="00A66B5E">
        <w:trPr>
          <w:trHeight w:val="373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V410L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2.588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0.107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ns</w:t>
            </w:r>
          </w:p>
        </w:tc>
      </w:tr>
      <w:tr w:rsidR="005E3B97" w:rsidRPr="00514D8B" w:rsidTr="00A66B5E">
        <w:trPr>
          <w:trHeight w:val="373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Ayakro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F1534C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0.125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0.722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ns</w:t>
            </w:r>
          </w:p>
        </w:tc>
      </w:tr>
      <w:tr w:rsidR="005E3B97" w:rsidRPr="00514D8B" w:rsidTr="00A66B5E">
        <w:trPr>
          <w:trHeight w:val="373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V1016I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0.635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0.421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ns</w:t>
            </w:r>
          </w:p>
        </w:tc>
      </w:tr>
      <w:tr w:rsidR="005E3B97" w:rsidRPr="00514D8B" w:rsidTr="00A66B5E">
        <w:trPr>
          <w:trHeight w:val="373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V410L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0.013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0.908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ns</w:t>
            </w:r>
          </w:p>
        </w:tc>
      </w:tr>
      <w:tr w:rsidR="005E3B97" w:rsidRPr="00514D8B" w:rsidTr="00A66B5E">
        <w:trPr>
          <w:trHeight w:val="373"/>
        </w:trPr>
        <w:tc>
          <w:tcPr>
            <w:tcW w:w="1696" w:type="dxa"/>
            <w:vMerge w:val="restart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Entente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F1534C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0.401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0.526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ns</w:t>
            </w:r>
          </w:p>
        </w:tc>
      </w:tr>
      <w:tr w:rsidR="005E3B97" w:rsidRPr="00514D8B" w:rsidTr="00A66B5E">
        <w:trPr>
          <w:trHeight w:val="373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>V1016I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>3.943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0.047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>*</w:t>
            </w:r>
          </w:p>
        </w:tc>
      </w:tr>
      <w:tr w:rsidR="005E3B97" w:rsidRPr="00514D8B" w:rsidTr="00A66B5E">
        <w:trPr>
          <w:trHeight w:val="373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V410L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0.534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0.464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ns</w:t>
            </w:r>
          </w:p>
        </w:tc>
      </w:tr>
      <w:tr w:rsidR="005E3B97" w:rsidRPr="00FE068C" w:rsidTr="00A66B5E">
        <w:trPr>
          <w:trHeight w:val="373"/>
        </w:trPr>
        <w:tc>
          <w:tcPr>
            <w:tcW w:w="1696" w:type="dxa"/>
            <w:vMerge w:val="restart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Gbagba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F1534C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514D8B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</w:t>
            </w: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009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0.922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ns</w:t>
            </w:r>
          </w:p>
        </w:tc>
      </w:tr>
      <w:tr w:rsidR="005E3B97" w:rsidRPr="00FE068C" w:rsidTr="00A66B5E">
        <w:trPr>
          <w:trHeight w:val="373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color w:val="000000"/>
                <w:lang w:eastAsia="fr-FR"/>
              </w:rPr>
              <w:t>V1016I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color w:val="000000"/>
                <w:lang w:eastAsia="fr-FR"/>
              </w:rPr>
              <w:t>8.387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0.003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color w:val="000000"/>
                <w:lang w:eastAsia="fr-FR"/>
              </w:rPr>
              <w:t>**</w:t>
            </w:r>
          </w:p>
        </w:tc>
      </w:tr>
      <w:tr w:rsidR="005E3B97" w:rsidRPr="00FE068C" w:rsidTr="00A66B5E">
        <w:trPr>
          <w:trHeight w:val="373"/>
        </w:trPr>
        <w:tc>
          <w:tcPr>
            <w:tcW w:w="1696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5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V410L</w:t>
            </w:r>
          </w:p>
        </w:tc>
        <w:tc>
          <w:tcPr>
            <w:tcW w:w="165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65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0.004</w:t>
            </w:r>
          </w:p>
        </w:tc>
        <w:tc>
          <w:tcPr>
            <w:tcW w:w="165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0.943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ns</w:t>
            </w:r>
          </w:p>
        </w:tc>
      </w:tr>
      <w:tr w:rsidR="005E3B97" w:rsidRPr="00FE068C" w:rsidTr="00A66B5E">
        <w:trPr>
          <w:trHeight w:val="373"/>
        </w:trPr>
        <w:tc>
          <w:tcPr>
            <w:tcW w:w="1015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E3B97" w:rsidRPr="00FE068C" w:rsidRDefault="005E3B97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ns=not significant, * p&lt;0.05, ** p&lt;0.01, *** p&lt;0.001</w:t>
            </w:r>
          </w:p>
        </w:tc>
      </w:tr>
    </w:tbl>
    <w:p w:rsidR="005E3B97" w:rsidRDefault="005E3B97"/>
    <w:sectPr w:rsidR="005E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97"/>
    <w:rsid w:val="00027018"/>
    <w:rsid w:val="00173A2D"/>
    <w:rsid w:val="004B2CC1"/>
    <w:rsid w:val="005C01D7"/>
    <w:rsid w:val="005E3B97"/>
    <w:rsid w:val="00A66B5E"/>
    <w:rsid w:val="00A8346F"/>
    <w:rsid w:val="00B35393"/>
    <w:rsid w:val="00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1A8EE-B435-49D2-AEF8-E255969F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97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2025-08-31T00:39:00Z</dcterms:created>
  <dcterms:modified xsi:type="dcterms:W3CDTF">2026-01-01T09:17:00Z</dcterms:modified>
</cp:coreProperties>
</file>