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2D" w:rsidRDefault="00173A2D"/>
    <w:tbl>
      <w:tblPr>
        <w:tblStyle w:val="Tableausimple2"/>
        <w:tblpPr w:leftFromText="142" w:rightFromText="142" w:vertAnchor="text" w:horzAnchor="margin" w:tblpXSpec="center" w:tblpY="131"/>
        <w:tblW w:w="15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799"/>
        <w:gridCol w:w="9922"/>
        <w:gridCol w:w="1549"/>
      </w:tblGrid>
      <w:tr w:rsidR="00A15ED5" w:rsidRPr="00791791" w:rsidTr="00A15E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66" w:type="dxa"/>
            <w:gridSpan w:val="4"/>
            <w:tcBorders>
              <w:top w:val="nil"/>
              <w:left w:val="nil"/>
              <w:right w:val="nil"/>
            </w:tcBorders>
            <w:noWrap/>
          </w:tcPr>
          <w:p w:rsidR="00A15ED5" w:rsidRPr="00F54BE9" w:rsidRDefault="00F63CB0" w:rsidP="00A15ED5">
            <w:pPr>
              <w:jc w:val="both"/>
              <w:rPr>
                <w:rFonts w:ascii="Arial" w:hAnsi="Arial" w:cs="Arial"/>
                <w:color w:val="000000" w:themeColor="text1"/>
                <w:lang w:val="en-US"/>
              </w:rPr>
            </w:pPr>
            <w:r>
              <w:rPr>
                <w:rFonts w:ascii="Arial" w:hAnsi="Arial" w:cs="Arial"/>
                <w:color w:val="000000" w:themeColor="text1"/>
                <w:lang w:val="en-US"/>
              </w:rPr>
              <w:t>Supplementary</w:t>
            </w:r>
            <w:r w:rsidR="00A15ED5" w:rsidRPr="00F54BE9">
              <w:rPr>
                <w:rFonts w:ascii="Arial" w:hAnsi="Arial" w:cs="Arial"/>
                <w:color w:val="000000" w:themeColor="text1"/>
                <w:lang w:val="en-US"/>
              </w:rPr>
              <w:t xml:space="preserve"> Table</w:t>
            </w:r>
            <w:r w:rsidR="003C4EA4">
              <w:rPr>
                <w:rFonts w:ascii="Arial" w:hAnsi="Arial" w:cs="Arial"/>
                <w:color w:val="000000" w:themeColor="text1"/>
                <w:lang w:val="en-US"/>
              </w:rPr>
              <w:t xml:space="preserve"> 1.</w:t>
            </w:r>
            <w:r w:rsidR="00A15ED5" w:rsidRPr="00F54BE9">
              <w:rPr>
                <w:rFonts w:ascii="Arial" w:hAnsi="Arial" w:cs="Arial"/>
                <w:color w:val="000000" w:themeColor="text1"/>
                <w:lang w:val="en-US"/>
              </w:rPr>
              <w:t xml:space="preserve"> List of primer sequenc</w:t>
            </w:r>
            <w:bookmarkStart w:id="0" w:name="_GoBack"/>
            <w:bookmarkEnd w:id="0"/>
            <w:r w:rsidR="00A15ED5" w:rsidRPr="00F54BE9">
              <w:rPr>
                <w:rFonts w:ascii="Arial" w:hAnsi="Arial" w:cs="Arial"/>
                <w:color w:val="000000" w:themeColor="text1"/>
                <w:lang w:val="en-US"/>
              </w:rPr>
              <w:t xml:space="preserve">es used for detecting different </w:t>
            </w:r>
            <w:r w:rsidR="00A15ED5" w:rsidRPr="00F54BE9">
              <w:rPr>
                <w:rFonts w:ascii="Arial" w:hAnsi="Arial" w:cs="Arial"/>
                <w:i/>
                <w:color w:val="000000" w:themeColor="text1"/>
                <w:lang w:val="en-US"/>
              </w:rPr>
              <w:t>kdr</w:t>
            </w:r>
            <w:r w:rsidR="00A15ED5" w:rsidRPr="00F54BE9">
              <w:rPr>
                <w:rFonts w:ascii="Arial" w:hAnsi="Arial" w:cs="Arial"/>
                <w:color w:val="000000" w:themeColor="text1"/>
                <w:lang w:val="en-US"/>
              </w:rPr>
              <w:t xml:space="preserve"> mutations </w:t>
            </w:r>
          </w:p>
        </w:tc>
      </w:tr>
      <w:tr w:rsidR="00A15ED5" w:rsidRPr="00B548C4"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tcBorders>
              <w:top w:val="none" w:sz="0" w:space="0" w:color="auto"/>
              <w:bottom w:val="none" w:sz="0" w:space="0" w:color="auto"/>
            </w:tcBorders>
            <w:noWrap/>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i/>
                <w:color w:val="000000"/>
                <w:lang w:val="en-US" w:eastAsia="fr-FR"/>
              </w:rPr>
              <w:t>kdr</w:t>
            </w:r>
            <w:r w:rsidRPr="00F54BE9">
              <w:rPr>
                <w:rFonts w:ascii="Arial" w:eastAsia="Times New Roman" w:hAnsi="Arial" w:cs="Arial"/>
                <w:color w:val="000000"/>
                <w:lang w:val="en-US" w:eastAsia="fr-FR"/>
              </w:rPr>
              <w:t xml:space="preserve"> mutations</w:t>
            </w:r>
          </w:p>
        </w:tc>
        <w:tc>
          <w:tcPr>
            <w:tcW w:w="2799" w:type="dxa"/>
            <w:tcBorders>
              <w:top w:val="none" w:sz="0" w:space="0" w:color="auto"/>
              <w:bottom w:val="none" w:sz="0" w:space="0" w:color="auto"/>
            </w:tcBorders>
            <w:noWrap/>
            <w:hideMark/>
          </w:tcPr>
          <w:p w:rsidR="00A15ED5" w:rsidRPr="00F54BE9" w:rsidRDefault="00A15ED5" w:rsidP="00A15E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lang w:val="en-US" w:eastAsia="fr-FR"/>
                <w14:ligatures w14:val="none"/>
              </w:rPr>
            </w:pPr>
            <w:r w:rsidRPr="00F54BE9">
              <w:rPr>
                <w:rFonts w:ascii="Arial" w:eastAsia="Times New Roman" w:hAnsi="Arial" w:cs="Arial"/>
                <w:b/>
                <w:bCs/>
                <w:color w:val="000000"/>
                <w:lang w:val="en-US" w:eastAsia="fr-FR"/>
              </w:rPr>
              <w:t>Primers names</w:t>
            </w:r>
            <w:r w:rsidRPr="00F54BE9">
              <w:rPr>
                <w:rFonts w:ascii="Arial" w:eastAsia="Times New Roman" w:hAnsi="Arial" w:cs="Arial"/>
                <w:color w:val="000000"/>
                <w:lang w:val="en-US" w:eastAsia="fr-FR"/>
              </w:rPr>
              <w:t xml:space="preserve"> </w:t>
            </w:r>
          </w:p>
        </w:tc>
        <w:tc>
          <w:tcPr>
            <w:tcW w:w="9922" w:type="dxa"/>
            <w:tcBorders>
              <w:top w:val="none" w:sz="0" w:space="0" w:color="auto"/>
              <w:bottom w:val="none" w:sz="0" w:space="0" w:color="auto"/>
            </w:tcBorders>
          </w:tcPr>
          <w:p w:rsidR="00A15ED5" w:rsidRPr="00F54BE9" w:rsidRDefault="00A15ED5" w:rsidP="00A15E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lang w:val="en-US" w:eastAsia="fr-FR"/>
                <w14:ligatures w14:val="none"/>
              </w:rPr>
            </w:pPr>
            <w:r w:rsidRPr="00F54BE9">
              <w:rPr>
                <w:rFonts w:ascii="Arial" w:eastAsia="Times New Roman" w:hAnsi="Arial" w:cs="Arial"/>
                <w:b/>
                <w:bCs/>
                <w:color w:val="000000"/>
                <w:lang w:val="en-US" w:eastAsia="fr-FR"/>
              </w:rPr>
              <w:t>Primers sequence</w:t>
            </w:r>
          </w:p>
        </w:tc>
        <w:tc>
          <w:tcPr>
            <w:tcW w:w="1549" w:type="dxa"/>
            <w:tcBorders>
              <w:top w:val="none" w:sz="0" w:space="0" w:color="auto"/>
              <w:bottom w:val="none" w:sz="0" w:space="0" w:color="auto"/>
            </w:tcBorders>
            <w:noWrap/>
            <w:hideMark/>
          </w:tcPr>
          <w:p w:rsidR="00A15ED5" w:rsidRPr="00F54BE9" w:rsidRDefault="00A15ED5" w:rsidP="00A15E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lang w:val="en-US" w:eastAsia="fr-FR"/>
                <w14:ligatures w14:val="none"/>
              </w:rPr>
            </w:pPr>
            <w:r w:rsidRPr="00F54BE9">
              <w:rPr>
                <w:rFonts w:ascii="Arial" w:eastAsia="Times New Roman" w:hAnsi="Arial" w:cs="Arial"/>
                <w:b/>
                <w:color w:val="000000"/>
                <w:lang w:val="en-US" w:eastAsia="fr-FR"/>
              </w:rPr>
              <w:t>R</w:t>
            </w:r>
            <w:r w:rsidRPr="00F54BE9">
              <w:rPr>
                <w:rFonts w:ascii="Arial" w:eastAsia="Times New Roman" w:hAnsi="Arial" w:cs="Arial"/>
                <w:b/>
                <w:bCs/>
                <w:color w:val="000000"/>
                <w:lang w:val="en-US" w:eastAsia="fr-FR"/>
              </w:rPr>
              <w:t>eference</w:t>
            </w:r>
            <w:r w:rsidRPr="00F54BE9">
              <w:rPr>
                <w:rFonts w:ascii="Arial" w:eastAsia="Times New Roman" w:hAnsi="Arial" w:cs="Arial"/>
                <w:color w:val="000000"/>
                <w:lang w:val="en-US" w:eastAsia="fr-FR"/>
              </w:rPr>
              <w:t xml:space="preserve"> </w:t>
            </w:r>
          </w:p>
        </w:tc>
      </w:tr>
      <w:tr w:rsidR="00A15ED5" w:rsidRPr="00B548C4"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val="restart"/>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color w:val="000000"/>
                <w:lang w:val="en-US" w:eastAsia="fr-FR"/>
              </w:rPr>
              <w:t>F1534C</w:t>
            </w: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BF41_c1534-f</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GCG TAC CTG TGT CTG TTC CA</w:t>
            </w:r>
          </w:p>
        </w:tc>
        <w:tc>
          <w:tcPr>
            <w:tcW w:w="1549" w:type="dxa"/>
            <w:vMerge w:val="restart"/>
            <w:noWrap/>
            <w:vAlign w:val="center"/>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proofErr w:type="spellStart"/>
            <w:r w:rsidRPr="00F54BE9">
              <w:rPr>
                <w:rFonts w:ascii="Arial" w:eastAsia="Times New Roman" w:hAnsi="Arial" w:cs="Arial"/>
                <w:lang w:val="en-US" w:eastAsia="fr-FR"/>
              </w:rPr>
              <w:t>Saingamsook</w:t>
            </w:r>
            <w:proofErr w:type="spellEnd"/>
            <w:r w:rsidRPr="00F54BE9">
              <w:rPr>
                <w:rFonts w:ascii="Arial" w:eastAsia="Times New Roman" w:hAnsi="Arial" w:cs="Arial"/>
                <w:lang w:val="en-US" w:eastAsia="fr-FR"/>
              </w:rPr>
              <w:t xml:space="preserve"> et al. </w:t>
            </w:r>
            <w:r w:rsidRPr="00F54BE9">
              <w:rPr>
                <w:rFonts w:ascii="Arial" w:eastAsia="Times New Roman" w:hAnsi="Arial" w:cs="Arial"/>
                <w:lang w:val="en-US" w:eastAsia="fr-FR"/>
              </w:rPr>
              <w:fldChar w:fldCharType="begin"/>
            </w:r>
            <w:r>
              <w:rPr>
                <w:rFonts w:ascii="Arial" w:eastAsia="Times New Roman" w:hAnsi="Arial" w:cs="Arial"/>
                <w:lang w:val="en-US" w:eastAsia="fr-FR"/>
              </w:rPr>
              <w:instrText xml:space="preserve"> ADDIN ZOTERO_ITEM CSL_CITATION {"citationID":"ebtow7mw","properties":{"formattedCitation":"[44]","plainCitation":"[44]","noteIndex":0},"citationItems":[{"id":886,"uris":["http://zotero.org/users/9612035/items/CEHVMEXM"],"itemData":{"id":886,"type":"article-journal","abstract":"Background: Mutation of the voltage-gated sodium channel (VGSC) gene, or knockdown resistance (kdr) gene, is an important resistance mechanism of the dengue vector Aedes aegypti mosquitoes against pyrethroids. In many countries in Asia, a valine to glycine substitution (V1016G) and a phenylalanine to cysteine substitution (F1534C) are common in Ae. aegypti populations. The G1016 and C1534 allele frequencies have been increasing in recent years, and hence there is a need to have a simple and inexpensive tool to monitor the alleles in large scale.\nMethods: A multiplex PCR to detect V1016G and F1534C mutations has been developed in the current study. This study utilized primers from previous studies for detecting the mutation at position 1016 and newly designed primers to detect variants at position 1534. The PCR conditions were validated and compared with DNA sequencing using known kdr mutant laboratory strains and field collected mosquitoes. The efficacy of this method was also compared with allele-specific PCR (AS-PCR).\nResults: The results of our multiplex PCR were in complete agreement with sequencing data and better than the AS-PCR. In addition, the efficiency of two non-toxic DNA staining dyes, Ultrapower™ and RedSafe™, were evaluated by comparing with ethidium bromide (EtBr) and the results were satisfactory.\nConclusions: Our multiplex PCR method is highly reliable and useful for implementing vector surveillance in locations where the two alleles co-occur.","container-title":"Parasites &amp; Vectors","DOI":"10.1186/s13071-017-2416-x","ISSN":"1756-3305","issue":"1","journalAbbreviation":"Parasites Vectors","language":"en","page":"465","source":"DOI.org (Crossref)","title":"A multiplex PCR for detection of knockdown resistance mutations, V1016G and F1534C, in pyrethroid-resistant Aedes aegypti","volume":"10","author":[{"family":"Saingamsook","given":"Jassada"},{"family":"Saeung","given":"Atiporn"},{"family":"Yanola","given":"Jintana"},{"family":"Lumjuan","given":"Nongkran"},{"family":"Walton","given":"Catherine"},{"family":"Somboon","given":"Pradya"}],"issued":{"date-parts":[["2017",12]]}}}],"schema":"https://github.com/citation-style-language/schema/raw/master/csl-citation.json"} </w:instrText>
            </w:r>
            <w:r w:rsidRPr="00F54BE9">
              <w:rPr>
                <w:rFonts w:ascii="Arial" w:eastAsia="Times New Roman" w:hAnsi="Arial" w:cs="Arial"/>
                <w:lang w:val="en-US" w:eastAsia="fr-FR"/>
              </w:rPr>
              <w:fldChar w:fldCharType="separate"/>
            </w:r>
            <w:r w:rsidRPr="00F972A6">
              <w:rPr>
                <w:rFonts w:ascii="Arial" w:hAnsi="Arial" w:cs="Arial"/>
              </w:rPr>
              <w:t>[44]</w:t>
            </w:r>
            <w:r w:rsidRPr="00F54BE9">
              <w:rPr>
                <w:rFonts w:ascii="Arial" w:eastAsia="Times New Roman" w:hAnsi="Arial" w:cs="Arial"/>
                <w:lang w:val="en-US" w:eastAsia="fr-FR"/>
              </w:rPr>
              <w:fldChar w:fldCharType="end"/>
            </w:r>
            <w:r w:rsidRPr="00F54BE9">
              <w:rPr>
                <w:rFonts w:ascii="Arial" w:eastAsia="Times New Roman" w:hAnsi="Arial" w:cs="Arial"/>
                <w:lang w:val="en-US" w:eastAsia="fr-FR"/>
              </w:rPr>
              <w:t xml:space="preserve"> </w:t>
            </w: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BF42_c1534-r</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GGC TTC </w:t>
            </w:r>
            <w:proofErr w:type="spellStart"/>
            <w:r w:rsidRPr="00F54BE9">
              <w:rPr>
                <w:rFonts w:ascii="Arial" w:eastAsia="Times New Roman" w:hAnsi="Arial" w:cs="Arial"/>
                <w:lang w:val="en-US" w:eastAsia="fr-FR"/>
              </w:rPr>
              <w:t>TTC</w:t>
            </w:r>
            <w:proofErr w:type="spellEnd"/>
            <w:r w:rsidRPr="00F54BE9">
              <w:rPr>
                <w:rFonts w:ascii="Arial" w:eastAsia="Times New Roman" w:hAnsi="Arial" w:cs="Arial"/>
                <w:lang w:val="en-US" w:eastAsia="fr-FR"/>
              </w:rPr>
              <w:t xml:space="preserve"> GAG CCC ATC TT</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BF43_Ae1534F-r</w:t>
            </w:r>
          </w:p>
        </w:tc>
        <w:tc>
          <w:tcPr>
            <w:tcW w:w="9922" w:type="dxa"/>
            <w:noWrap/>
            <w:hideMark/>
          </w:tcPr>
          <w:p w:rsidR="00A15ED5" w:rsidRPr="00870921"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pt-BR" w:eastAsia="fr-FR"/>
                <w14:ligatures w14:val="none"/>
              </w:rPr>
            </w:pPr>
            <w:r w:rsidRPr="00870921">
              <w:rPr>
                <w:rFonts w:ascii="Arial" w:eastAsia="Times New Roman" w:hAnsi="Arial" w:cs="Arial"/>
                <w:lang w:val="pt-BR" w:eastAsia="fr-FR"/>
              </w:rPr>
              <w:t>GCG TGA AGA ACG ACC CGA</w:t>
            </w:r>
          </w:p>
        </w:tc>
        <w:tc>
          <w:tcPr>
            <w:tcW w:w="1549" w:type="dxa"/>
            <w:vMerge/>
            <w:hideMark/>
          </w:tcPr>
          <w:p w:rsidR="00A15ED5" w:rsidRPr="00870921"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pt-BR" w:eastAsia="fr-FR"/>
                <w14:ligatures w14:val="none"/>
              </w:rPr>
            </w:pP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A77285" w:rsidRDefault="00A15ED5" w:rsidP="00A15ED5">
            <w:pPr>
              <w:spacing w:after="0" w:line="240" w:lineRule="auto"/>
              <w:rPr>
                <w:rFonts w:ascii="Arial" w:eastAsia="Times New Roman" w:hAnsi="Arial" w:cs="Arial"/>
                <w:b w:val="0"/>
                <w:bCs w:val="0"/>
                <w:color w:val="000000"/>
                <w:kern w:val="0"/>
                <w:lang w:val="pt-BR"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BF44_Ae1534C-f</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CCT CTA CTT TGT GTT CTT CAT </w:t>
            </w:r>
            <w:proofErr w:type="spellStart"/>
            <w:r w:rsidRPr="00F54BE9">
              <w:rPr>
                <w:rFonts w:ascii="Arial" w:eastAsia="Times New Roman" w:hAnsi="Arial" w:cs="Arial"/>
                <w:lang w:val="en-US" w:eastAsia="fr-FR"/>
              </w:rPr>
              <w:t>CAT</w:t>
            </w:r>
            <w:proofErr w:type="spellEnd"/>
            <w:r w:rsidRPr="00F54BE9">
              <w:rPr>
                <w:rFonts w:ascii="Arial" w:eastAsia="Times New Roman" w:hAnsi="Arial" w:cs="Arial"/>
                <w:lang w:val="en-US" w:eastAsia="fr-FR"/>
              </w:rPr>
              <w:t xml:space="preserve"> CTG</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B548C4" w:rsidTr="00A15ED5">
        <w:trPr>
          <w:trHeight w:val="285"/>
        </w:trPr>
        <w:tc>
          <w:tcPr>
            <w:cnfStyle w:val="001000000000" w:firstRow="0" w:lastRow="0" w:firstColumn="1" w:lastColumn="0" w:oddVBand="0" w:evenVBand="0" w:oddHBand="0" w:evenHBand="0" w:firstRowFirstColumn="0" w:firstRowLastColumn="0" w:lastRowFirstColumn="0" w:lastRowLastColumn="0"/>
            <w:tcW w:w="1596" w:type="dxa"/>
            <w:vMerge w:val="restart"/>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color w:val="000000"/>
                <w:lang w:val="en-US" w:eastAsia="fr-FR"/>
              </w:rPr>
              <w:t>V1016I </w:t>
            </w: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BF54_Val1016f</w:t>
            </w:r>
          </w:p>
        </w:tc>
        <w:tc>
          <w:tcPr>
            <w:tcW w:w="9922" w:type="dxa"/>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GCG GGC AGG GCG </w:t>
            </w:r>
            <w:proofErr w:type="spellStart"/>
            <w:r w:rsidRPr="00F54BE9">
              <w:rPr>
                <w:rFonts w:ascii="Arial" w:eastAsia="Times New Roman" w:hAnsi="Arial" w:cs="Arial"/>
                <w:lang w:val="en-US" w:eastAsia="fr-FR"/>
              </w:rPr>
              <w:t>GCG</w:t>
            </w:r>
            <w:proofErr w:type="spellEnd"/>
            <w:r w:rsidRPr="00F54BE9">
              <w:rPr>
                <w:rFonts w:ascii="Arial" w:eastAsia="Times New Roman" w:hAnsi="Arial" w:cs="Arial"/>
                <w:lang w:val="en-US" w:eastAsia="fr-FR"/>
              </w:rPr>
              <w:t xml:space="preserve"> GGG GCG GG GCC ACA AAT TGT TTC CCA CCC GCA CCG G</w:t>
            </w:r>
          </w:p>
        </w:tc>
        <w:tc>
          <w:tcPr>
            <w:tcW w:w="1549" w:type="dxa"/>
            <w:vMerge w:val="restart"/>
            <w:noWrap/>
            <w:vAlign w:val="center"/>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Saavedra et al. </w:t>
            </w:r>
            <w:r w:rsidRPr="00F54BE9">
              <w:rPr>
                <w:rFonts w:ascii="Arial" w:eastAsia="Times New Roman" w:hAnsi="Arial" w:cs="Arial"/>
                <w:lang w:val="en-US" w:eastAsia="fr-FR"/>
              </w:rPr>
              <w:fldChar w:fldCharType="begin"/>
            </w:r>
            <w:r>
              <w:rPr>
                <w:rFonts w:ascii="Arial" w:eastAsia="Times New Roman" w:hAnsi="Arial" w:cs="Arial"/>
                <w:lang w:val="en-US" w:eastAsia="fr-FR"/>
              </w:rPr>
              <w:instrText xml:space="preserve"> ADDIN ZOTERO_ITEM CSL_CITATION {"citationID":"xKlMWDcS","properties":{"formattedCitation":"[71]","plainCitation":"[71]","noteIndex":0},"citationItems":[{"id":882,"uris":["http://zotero.org/users/9612035/items/WWX6F92F"],"itemData":{"id":882,"type":"article-journal","abstract":"Pyrethroids are commonly used as mosquito adulticides and evolution of resistance to these compounds is a major threat to public health. 'Knockdown resistance' to pyrethroids (kdr) is frequently caused by nonsynonymous mutations in the voltage-gated sodium channel transmembrane protein (para) that reduce pyrethroid binding. Early detection of kdr is critical to the development of resistance management strategies in mosquitoes including Aedes aegypti, the most prevalent vector of dengue and yellow fever viruses. Brengues et al. described seven novel mutations in hydrophobic segment 6 of domain II of para in Ae. aegypti. Assays on larvae from strains bearing these mutations indicated reduced nerve sensitivity to permethrin inhibition. Two of these occurred in codons Iso1011 and Val1016 in exons 20 and 21 respectively. A transition in the third position of Iso1011 encoded a Met1011 replacement and a transversion in the second position of Val1016 encoded a Gly1016 replacement. We have screened this same region in 1318 mosquitoes in 32 additional strains; 30 from throughout Latin America. While the Gly1016 allele was never detected in Latin America, we found two new mutations in these same codons. A transition in the first position of codon 1011 encodes a Val replacement while a transition in the first position of codon 1016 encodes an Iso replacement. We developed PCR assays for these four mutations that can be read either on an agarose gel or as a melting curve. Selection experiments, one with deltamethrin on a field strain from Santiago de Cuba and another with permethrin on a strain from Isla Mujeres, Mexico rapidly increased the frequency of the Iso1016 allele. Bioassays of F(3) offspring arising from permethrin susceptible Val1016 homozygous parents and permethrin resistant Iso1016 homozygous parents show that Iso1016 segregates as a recessive allele in conferring kdr. Analysis of segregation between alleles at the 1011 and 1016 codons in the F(3) showed a high rate of recombination even though the two codons are only separated by a ~250 bp intron. The tools and information presented provide a means for early detection and characterization of kdr that is critical to the development of strategies for resistance management.","container-title":"Insect Molecular Biology","DOI":"10.1111/j.1365-2583.2007.00774.x","ISSN":"0962-1075","issue":"6","journalAbbreviation":"Insect Mol Biol","language":"eng","note":"PMID: 18093007","page":"785-798","source":"PubMed","title":"A mutation in the voltage-gated sodium channel gene associated with pyrethroid resistance in Latin American Aedes aegypti","volume":"16","author":[{"family":"Saavedra-Rodriguez","given":"K."},{"family":"Urdaneta-Marquez","given":"L."},{"family":"Rajatileka","given":"S."},{"family":"Moulton","given":"M."},{"family":"Flores","given":"A. E."},{"family":"Fernandez-Salas","given":"I."},{"family":"Bisset","given":"J."},{"family":"Rodriguez","given":"M."},{"family":"McCall","given":"P. J."},{"family":"Donnelly","given":"M. J."},{"family":"Ranson","given":"H."},{"family":"Hemingway","given":"J."},{"family":"Black","given":"W. C."}],"issued":{"date-parts":[["2007",12]]}}}],"schema":"https://github.com/citation-style-language/schema/raw/master/csl-citation.json"} </w:instrText>
            </w:r>
            <w:r w:rsidRPr="00F54BE9">
              <w:rPr>
                <w:rFonts w:ascii="Arial" w:eastAsia="Times New Roman" w:hAnsi="Arial" w:cs="Arial"/>
                <w:lang w:val="en-US" w:eastAsia="fr-FR"/>
              </w:rPr>
              <w:fldChar w:fldCharType="separate"/>
            </w:r>
            <w:r w:rsidRPr="002F6404">
              <w:rPr>
                <w:rFonts w:ascii="Arial" w:hAnsi="Arial" w:cs="Arial"/>
              </w:rPr>
              <w:t>[71]</w:t>
            </w:r>
            <w:r w:rsidRPr="00F54BE9">
              <w:rPr>
                <w:rFonts w:ascii="Arial" w:eastAsia="Times New Roman" w:hAnsi="Arial" w:cs="Arial"/>
                <w:lang w:val="en-US" w:eastAsia="fr-FR"/>
              </w:rPr>
              <w:fldChar w:fldCharType="end"/>
            </w: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BF55_Iso1016f</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GCG GGC ACA AAT TGT TTC CCA CCC GCA CTG A</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BF56_Iso1016r</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GGA TGA ACC GAA ATT GGA CAA AAG C</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B548C4"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val="restart"/>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color w:val="000000"/>
                <w:lang w:val="en-US" w:eastAsia="fr-FR"/>
              </w:rPr>
              <w:t>S989P</w:t>
            </w: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BF69_M1-For</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AAT GAT ATT AAC AAA ATT GCG C</w:t>
            </w:r>
          </w:p>
        </w:tc>
        <w:tc>
          <w:tcPr>
            <w:tcW w:w="1549" w:type="dxa"/>
            <w:vMerge w:val="restart"/>
            <w:noWrap/>
            <w:vAlign w:val="center"/>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lang w:val="en-US" w:eastAsia="fr-FR"/>
                <w14:ligatures w14:val="none"/>
              </w:rPr>
            </w:pPr>
            <w:r w:rsidRPr="00F54BE9">
              <w:rPr>
                <w:rFonts w:ascii="Arial" w:eastAsia="Times New Roman" w:hAnsi="Arial" w:cs="Arial"/>
                <w:color w:val="000000"/>
                <w:lang w:val="en-US" w:eastAsia="fr-FR"/>
              </w:rPr>
              <w:t xml:space="preserve">Li et al. </w:t>
            </w:r>
            <w:r w:rsidRPr="00F54BE9">
              <w:rPr>
                <w:rFonts w:ascii="Arial" w:eastAsia="Times New Roman" w:hAnsi="Arial" w:cs="Arial"/>
                <w:color w:val="000000"/>
                <w:lang w:val="en-US" w:eastAsia="fr-FR"/>
              </w:rPr>
              <w:fldChar w:fldCharType="begin"/>
            </w:r>
            <w:r>
              <w:rPr>
                <w:rFonts w:ascii="Arial" w:eastAsia="Times New Roman" w:hAnsi="Arial" w:cs="Arial"/>
                <w:color w:val="000000"/>
                <w:lang w:val="en-US" w:eastAsia="fr-FR"/>
              </w:rPr>
              <w:instrText xml:space="preserve"> ADDIN ZOTERO_ITEM CSL_CITATION {"citationID":"nmSjhuzM","properties":{"formattedCitation":"[43]","plainCitation":"[43]","noteIndex":0},"citationItems":[{"id":30,"uris":["http://zotero.org/users/9612035/items/DGSZLSLQ"],"itemData":{"id":30,"type":"article-journal","container-title":"Parasites &amp; Vectors","DOI":"10.1186/s13071-015-0933-z","ISSN":"1756-3305","issue":"1","journalAbbreviation":"Parasites Vectors","language":"en","note":"number: 1","page":"325","source":"DOI.org (Crossref)","title":"Relationship between insecticide resistance and kdr mutations in the dengue vector Aedes aegypti in Southern China","volume":"8","author":[{"family":"Li","given":"Chun-Xiao"},{"family":"Kaufman","given":"Phillip E"},{"family":"Xue","given":"Rui-De"},{"family":"Zhao","given":"Ming-Hui"},{"family":"Wang","given":"Gang"},{"family":"Yan","given":"Ting"},{"family":"Guo","given":"Xiao-Xia"},{"family":"Zhang","given":"Ying-Mei"},{"family":"Dong","given":"Yan-De"},{"family":"Xing","given":"Dan"},{"family":"Zhang","given":"Heng-Duan"},{"family":"Zhao","given":"Tong-Yan"}],"issued":{"date-parts":[["2015",12]]}}}],"schema":"https://github.com/citation-style-language/schema/raw/master/csl-citation.json"} </w:instrText>
            </w:r>
            <w:r w:rsidRPr="00F54BE9">
              <w:rPr>
                <w:rFonts w:ascii="Arial" w:eastAsia="Times New Roman" w:hAnsi="Arial" w:cs="Arial"/>
                <w:color w:val="000000"/>
                <w:lang w:val="en-US" w:eastAsia="fr-FR"/>
              </w:rPr>
              <w:fldChar w:fldCharType="separate"/>
            </w:r>
            <w:r w:rsidRPr="00F972A6">
              <w:rPr>
                <w:rFonts w:ascii="Arial" w:hAnsi="Arial" w:cs="Arial"/>
              </w:rPr>
              <w:t>[43]</w:t>
            </w:r>
            <w:r w:rsidRPr="00F54BE9">
              <w:rPr>
                <w:rFonts w:ascii="Arial" w:eastAsia="Times New Roman" w:hAnsi="Arial" w:cs="Arial"/>
                <w:color w:val="000000"/>
                <w:lang w:val="en-US" w:eastAsia="fr-FR"/>
              </w:rPr>
              <w:fldChar w:fldCharType="end"/>
            </w:r>
            <w:r w:rsidRPr="00F54BE9">
              <w:rPr>
                <w:rFonts w:ascii="Arial" w:eastAsia="Times New Roman" w:hAnsi="Arial" w:cs="Arial"/>
                <w:color w:val="000000"/>
                <w:lang w:val="en-US" w:eastAsia="fr-FR"/>
              </w:rPr>
              <w:t xml:space="preserve"> 2015</w:t>
            </w: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BF70_M1-Rev</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GCA CGC CTC TAA TAT TGA TGC</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BF71_M1-S</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GCG </w:t>
            </w:r>
            <w:proofErr w:type="spellStart"/>
            <w:r w:rsidRPr="00F54BE9">
              <w:rPr>
                <w:rFonts w:ascii="Arial" w:eastAsia="Times New Roman" w:hAnsi="Arial" w:cs="Arial"/>
                <w:lang w:val="en-US" w:eastAsia="fr-FR"/>
              </w:rPr>
              <w:t>GCG</w:t>
            </w:r>
            <w:proofErr w:type="spellEnd"/>
            <w:r w:rsidRPr="00F54BE9">
              <w:rPr>
                <w:rFonts w:ascii="Arial" w:eastAsia="Times New Roman" w:hAnsi="Arial" w:cs="Arial"/>
                <w:lang w:val="en-US" w:eastAsia="fr-FR"/>
              </w:rPr>
              <w:t xml:space="preserve"> AGT GGA TCG AAT</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BF72_M1-P</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GCG </w:t>
            </w:r>
            <w:proofErr w:type="spellStart"/>
            <w:r w:rsidRPr="00F54BE9">
              <w:rPr>
                <w:rFonts w:ascii="Arial" w:eastAsia="Times New Roman" w:hAnsi="Arial" w:cs="Arial"/>
                <w:lang w:val="en-US" w:eastAsia="fr-FR"/>
              </w:rPr>
              <w:t>GCG</w:t>
            </w:r>
            <w:proofErr w:type="spellEnd"/>
            <w:r w:rsidRPr="00F54BE9">
              <w:rPr>
                <w:rFonts w:ascii="Arial" w:eastAsia="Times New Roman" w:hAnsi="Arial" w:cs="Arial"/>
                <w:lang w:val="en-US" w:eastAsia="fr-FR"/>
              </w:rPr>
              <w:t xml:space="preserve"> AGT GGA TCG AAC</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val="restart"/>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color w:val="000000"/>
                <w:lang w:val="en-US" w:eastAsia="fr-FR"/>
              </w:rPr>
              <w:t>V1016G</w:t>
            </w: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BF73_M2-For</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GCC ACC GTA GTG ATA GGA AAT C</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BF74_M2-Rev</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CGG GTT AAG TTT CGT TTA GTA GC</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B548C4"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BF75_M2-V</w:t>
            </w:r>
          </w:p>
        </w:tc>
        <w:tc>
          <w:tcPr>
            <w:tcW w:w="9922" w:type="dxa"/>
            <w:noWrap/>
            <w:hideMark/>
          </w:tcPr>
          <w:p w:rsidR="00A15ED5" w:rsidRPr="00870921"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fr-FR"/>
                <w14:ligatures w14:val="none"/>
              </w:rPr>
            </w:pPr>
            <w:r w:rsidRPr="00870921">
              <w:rPr>
                <w:rFonts w:ascii="Arial" w:eastAsia="Times New Roman" w:hAnsi="Arial" w:cs="Arial"/>
                <w:lang w:eastAsia="fr-FR"/>
              </w:rPr>
              <w:t>GTT TCC CAC TCG CAC AGG T</w:t>
            </w:r>
          </w:p>
        </w:tc>
        <w:tc>
          <w:tcPr>
            <w:tcW w:w="1549" w:type="dxa"/>
            <w:vMerge/>
            <w:hideMark/>
          </w:tcPr>
          <w:p w:rsidR="00A15ED5" w:rsidRPr="00870921"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lang w:eastAsia="fr-FR"/>
                <w14:ligatures w14:val="none"/>
              </w:rPr>
            </w:pPr>
          </w:p>
        </w:tc>
      </w:tr>
      <w:tr w:rsidR="00A15ED5" w:rsidRPr="00B548C4"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vAlign w:val="center"/>
            <w:hideMark/>
          </w:tcPr>
          <w:p w:rsidR="00A15ED5" w:rsidRPr="00A77285" w:rsidRDefault="00A15ED5" w:rsidP="00A15ED5">
            <w:pPr>
              <w:spacing w:after="0" w:line="240" w:lineRule="auto"/>
              <w:rPr>
                <w:rFonts w:ascii="Arial" w:eastAsia="Times New Roman" w:hAnsi="Arial" w:cs="Arial"/>
                <w:b w:val="0"/>
                <w:bCs w:val="0"/>
                <w:color w:val="000000"/>
                <w:kern w:val="0"/>
                <w:lang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BF76_M2-G</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GTT TCC CAC TCG CAC AGG G</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val="en-US" w:eastAsia="fr-FR"/>
                <w14:ligatures w14:val="none"/>
              </w:rPr>
            </w:pPr>
          </w:p>
        </w:tc>
      </w:tr>
      <w:tr w:rsidR="00A15ED5" w:rsidRPr="00B548C4"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val="restart"/>
            <w:noWrap/>
            <w:vAlign w:val="center"/>
            <w:hideMark/>
          </w:tcPr>
          <w:p w:rsidR="00A15ED5" w:rsidRPr="00F54BE9" w:rsidRDefault="00A15ED5" w:rsidP="00A15ED5">
            <w:pPr>
              <w:spacing w:after="0" w:line="240" w:lineRule="auto"/>
              <w:rPr>
                <w:rFonts w:ascii="Arial" w:eastAsia="Times New Roman" w:hAnsi="Arial" w:cs="Arial"/>
                <w:color w:val="000000"/>
                <w:kern w:val="0"/>
                <w:lang w:val="en-US" w:eastAsia="fr-FR"/>
                <w14:ligatures w14:val="none"/>
              </w:rPr>
            </w:pPr>
            <w:r w:rsidRPr="00F54BE9">
              <w:rPr>
                <w:rFonts w:ascii="Arial" w:eastAsia="Times New Roman" w:hAnsi="Arial" w:cs="Arial"/>
                <w:color w:val="000000"/>
                <w:lang w:val="en-US" w:eastAsia="fr-FR"/>
              </w:rPr>
              <w:t>V410L </w:t>
            </w:r>
          </w:p>
          <w:p w:rsidR="00A15ED5" w:rsidRPr="00F54BE9" w:rsidRDefault="00A15ED5" w:rsidP="00A15ED5">
            <w:pPr>
              <w:spacing w:after="0" w:line="240" w:lineRule="auto"/>
              <w:rPr>
                <w:rFonts w:ascii="Arial" w:eastAsia="Times New Roman" w:hAnsi="Arial" w:cs="Arial"/>
                <w:color w:val="000000"/>
                <w:kern w:val="0"/>
                <w:lang w:val="en-US" w:eastAsia="fr-FR"/>
                <w14:ligatures w14:val="none"/>
              </w:rPr>
            </w:pPr>
            <w:r w:rsidRPr="00F54BE9">
              <w:rPr>
                <w:rFonts w:ascii="Arial" w:eastAsia="Times New Roman" w:hAnsi="Arial" w:cs="Arial"/>
                <w:color w:val="000000"/>
                <w:lang w:val="en-US" w:eastAsia="fr-FR"/>
              </w:rPr>
              <w:t> </w:t>
            </w:r>
          </w:p>
          <w:p w:rsidR="00A15ED5" w:rsidRPr="00F54BE9" w:rsidRDefault="00A15ED5" w:rsidP="00A15ED5">
            <w:pPr>
              <w:spacing w:after="0" w:line="240" w:lineRule="auto"/>
              <w:rPr>
                <w:rFonts w:ascii="Arial" w:eastAsia="Times New Roman" w:hAnsi="Arial" w:cs="Arial"/>
                <w:b w:val="0"/>
                <w:bCs w:val="0"/>
                <w:color w:val="000000"/>
                <w:kern w:val="0"/>
                <w:lang w:val="en-US" w:eastAsia="fr-FR"/>
                <w14:ligatures w14:val="none"/>
              </w:rPr>
            </w:pPr>
            <w:r w:rsidRPr="00F54BE9">
              <w:rPr>
                <w:rFonts w:ascii="Arial" w:eastAsia="Times New Roman" w:hAnsi="Arial" w:cs="Arial"/>
                <w:color w:val="000000"/>
                <w:lang w:val="en-US" w:eastAsia="fr-FR"/>
              </w:rPr>
              <w:t> </w:t>
            </w: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BF103: PM1_Ext_419F</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GAT TCC </w:t>
            </w:r>
            <w:proofErr w:type="spellStart"/>
            <w:r w:rsidRPr="00F54BE9">
              <w:rPr>
                <w:rFonts w:ascii="Arial" w:eastAsia="Times New Roman" w:hAnsi="Arial" w:cs="Arial"/>
                <w:lang w:val="en-US" w:eastAsia="fr-FR"/>
              </w:rPr>
              <w:t>TCC</w:t>
            </w:r>
            <w:proofErr w:type="spellEnd"/>
            <w:r w:rsidRPr="00F54BE9">
              <w:rPr>
                <w:rFonts w:ascii="Arial" w:eastAsia="Times New Roman" w:hAnsi="Arial" w:cs="Arial"/>
                <w:lang w:val="en-US" w:eastAsia="fr-FR"/>
              </w:rPr>
              <w:t xml:space="preserve"> AGA ACT CCA CC </w:t>
            </w:r>
          </w:p>
        </w:tc>
        <w:tc>
          <w:tcPr>
            <w:tcW w:w="1549" w:type="dxa"/>
            <w:vMerge w:val="restart"/>
            <w:noWrap/>
            <w:vAlign w:val="center"/>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Granada et al. </w:t>
            </w:r>
            <w:r w:rsidRPr="00F54BE9">
              <w:rPr>
                <w:rFonts w:ascii="Arial" w:eastAsia="Times New Roman" w:hAnsi="Arial" w:cs="Arial"/>
                <w:lang w:val="en-US" w:eastAsia="fr-FR"/>
              </w:rPr>
              <w:fldChar w:fldCharType="begin"/>
            </w:r>
            <w:r>
              <w:rPr>
                <w:rFonts w:ascii="Arial" w:eastAsia="Times New Roman" w:hAnsi="Arial" w:cs="Arial"/>
                <w:lang w:val="en-US" w:eastAsia="fr-FR"/>
              </w:rPr>
              <w:instrText xml:space="preserve"> ADDIN ZOTERO_ITEM CSL_CITATION {"citationID":"EqNi71H1","properties":{"formattedCitation":"[45]","plainCitation":"[45]","noteIndex":0},"citationItems":[{"id":878,"uris":["http://zotero.org/users/9612035/items/LA8RPVTS"],"itemData":{"id":878,"type":"article-journal","container-title":"Insects","DOI":"10.3390/insects9010023","ISSN":"2075-4450","issue":"1","journalAbbreviation":"Insects","language":"en","page":"23","source":"DOI.org (Crossref)","title":"A Point Mutation V419L in the Sodium Channel Gene from Natural Populations of Aedes aegypti Is Involved in Resistance to λ-Cyhalothrin in Colombia","volume":"9","author":[{"family":"Granada","given":"Yurany"},{"family":"Mejía-Jaramillo","given":"Ana"},{"family":"Strode","given":"Clare"},{"family":"Triana-Chavez","given":"Omar"}],"issued":{"date-parts":[["2018",2,14]]}}}],"schema":"https://github.com/citation-style-language/schema/raw/master/csl-citation.json"} </w:instrText>
            </w:r>
            <w:r w:rsidRPr="00F54BE9">
              <w:rPr>
                <w:rFonts w:ascii="Arial" w:eastAsia="Times New Roman" w:hAnsi="Arial" w:cs="Arial"/>
                <w:lang w:val="en-US" w:eastAsia="fr-FR"/>
              </w:rPr>
              <w:fldChar w:fldCharType="separate"/>
            </w:r>
            <w:r w:rsidRPr="00F972A6">
              <w:rPr>
                <w:rFonts w:ascii="Arial" w:hAnsi="Arial" w:cs="Arial"/>
              </w:rPr>
              <w:t>[45]</w:t>
            </w:r>
            <w:r w:rsidRPr="00F54BE9">
              <w:rPr>
                <w:rFonts w:ascii="Arial" w:eastAsia="Times New Roman" w:hAnsi="Arial" w:cs="Arial"/>
                <w:lang w:val="en-US" w:eastAsia="fr-FR"/>
              </w:rPr>
              <w:fldChar w:fldCharType="end"/>
            </w: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hideMark/>
          </w:tcPr>
          <w:p w:rsidR="00A15ED5" w:rsidRPr="00F54BE9" w:rsidRDefault="00A15ED5" w:rsidP="00A15ED5">
            <w:pPr>
              <w:spacing w:after="0" w:line="240" w:lineRule="auto"/>
              <w:jc w:val="right"/>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BF104: PM1_Ext_419R</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TCA ATG GAT TTG GGT GAC AA </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791791" w:rsidTr="00A15E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vMerge/>
            <w:noWrap/>
            <w:hideMark/>
          </w:tcPr>
          <w:p w:rsidR="00A15ED5" w:rsidRPr="00F54BE9" w:rsidRDefault="00A15ED5" w:rsidP="00A15ED5">
            <w:pPr>
              <w:spacing w:after="0" w:line="240" w:lineRule="auto"/>
              <w:jc w:val="right"/>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BF105: PM1_F_419Wt</w:t>
            </w:r>
          </w:p>
        </w:tc>
        <w:tc>
          <w:tcPr>
            <w:tcW w:w="9922" w:type="dxa"/>
            <w:noWrap/>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 xml:space="preserve">CTT GGG TTC GTT CTA CCT TG </w:t>
            </w:r>
          </w:p>
        </w:tc>
        <w:tc>
          <w:tcPr>
            <w:tcW w:w="1549" w:type="dxa"/>
            <w:vMerge/>
            <w:hideMark/>
          </w:tcPr>
          <w:p w:rsidR="00A15ED5" w:rsidRPr="00F54BE9" w:rsidRDefault="00A15ED5" w:rsidP="00A15ED5">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val="en-US" w:eastAsia="fr-FR"/>
                <w14:ligatures w14:val="none"/>
              </w:rPr>
            </w:pPr>
          </w:p>
        </w:tc>
      </w:tr>
      <w:tr w:rsidR="00A15ED5" w:rsidRPr="00791791" w:rsidTr="00A15ED5">
        <w:trPr>
          <w:trHeight w:val="300"/>
        </w:trPr>
        <w:tc>
          <w:tcPr>
            <w:cnfStyle w:val="001000000000" w:firstRow="0" w:lastRow="0" w:firstColumn="1" w:lastColumn="0" w:oddVBand="0" w:evenVBand="0" w:oddHBand="0" w:evenHBand="0" w:firstRowFirstColumn="0" w:firstRowLastColumn="0" w:lastRowFirstColumn="0" w:lastRowLastColumn="0"/>
            <w:tcW w:w="1596" w:type="dxa"/>
            <w:vMerge/>
            <w:noWrap/>
            <w:hideMark/>
          </w:tcPr>
          <w:p w:rsidR="00A15ED5" w:rsidRPr="00F54BE9" w:rsidRDefault="00A15ED5" w:rsidP="00A15ED5">
            <w:pPr>
              <w:spacing w:after="0" w:line="240" w:lineRule="auto"/>
              <w:jc w:val="right"/>
              <w:rPr>
                <w:rFonts w:ascii="Arial" w:eastAsia="Times New Roman" w:hAnsi="Arial" w:cs="Arial"/>
                <w:b w:val="0"/>
                <w:bCs w:val="0"/>
                <w:color w:val="000000"/>
                <w:kern w:val="0"/>
                <w:lang w:val="en-US" w:eastAsia="fr-FR"/>
                <w14:ligatures w14:val="none"/>
              </w:rPr>
            </w:pPr>
          </w:p>
        </w:tc>
        <w:tc>
          <w:tcPr>
            <w:tcW w:w="2799"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BF106: PM1_F_419Mut</w:t>
            </w:r>
          </w:p>
        </w:tc>
        <w:tc>
          <w:tcPr>
            <w:tcW w:w="9922" w:type="dxa"/>
            <w:noWrap/>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r w:rsidRPr="00F54BE9">
              <w:rPr>
                <w:rFonts w:ascii="Arial" w:eastAsia="Times New Roman" w:hAnsi="Arial" w:cs="Arial"/>
                <w:lang w:val="en-US" w:eastAsia="fr-FR"/>
              </w:rPr>
              <w:t>CTT GGG TTC GTT CTA CCT TT</w:t>
            </w:r>
          </w:p>
        </w:tc>
        <w:tc>
          <w:tcPr>
            <w:tcW w:w="1549" w:type="dxa"/>
            <w:vMerge/>
            <w:hideMark/>
          </w:tcPr>
          <w:p w:rsidR="00A15ED5" w:rsidRPr="00F54BE9" w:rsidRDefault="00A15ED5" w:rsidP="00A15ED5">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US" w:eastAsia="fr-FR"/>
                <w14:ligatures w14:val="none"/>
              </w:rPr>
            </w:pPr>
          </w:p>
        </w:tc>
      </w:tr>
    </w:tbl>
    <w:p w:rsidR="00A15ED5" w:rsidRDefault="00A15ED5" w:rsidP="00A15ED5"/>
    <w:sectPr w:rsidR="00A15ED5" w:rsidSect="00A15ED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D5"/>
    <w:rsid w:val="00173A2D"/>
    <w:rsid w:val="003C4EA4"/>
    <w:rsid w:val="00A15ED5"/>
    <w:rsid w:val="00F63CB0"/>
    <w:rsid w:val="00FA6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A540"/>
  <w15:chartTrackingRefBased/>
  <w15:docId w15:val="{770740CD-9826-48E9-B381-35B5E04B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D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2">
    <w:name w:val="Plain Table 2"/>
    <w:basedOn w:val="TableauNormal"/>
    <w:uiPriority w:val="42"/>
    <w:rsid w:val="00A15ED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1440</Words>
  <Characters>7924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2025-06-26T01:14:00Z</dcterms:created>
  <dcterms:modified xsi:type="dcterms:W3CDTF">2026-01-01T09:04:00Z</dcterms:modified>
</cp:coreProperties>
</file>