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DC8" w:rsidRDefault="003E1DC8" w:rsidP="00BE34CE">
      <w:pPr>
        <w:spacing w:line="480" w:lineRule="auto"/>
        <w:jc w:val="left"/>
        <w:rPr>
          <w:rFonts w:eastAsiaTheme="minorEastAsia"/>
          <w:b/>
        </w:rPr>
      </w:pPr>
      <w:r w:rsidRPr="003E1DC8">
        <w:rPr>
          <w:rFonts w:eastAsiaTheme="minorEastAsia"/>
          <w:b/>
        </w:rPr>
        <w:t>Supplementary Material</w:t>
      </w:r>
    </w:p>
    <w:p w:rsidR="00BE34CE" w:rsidRPr="00DC39EE" w:rsidRDefault="00BE34CE" w:rsidP="00BE34CE">
      <w:pPr>
        <w:spacing w:line="480" w:lineRule="auto"/>
        <w:jc w:val="left"/>
        <w:rPr>
          <w:rFonts w:eastAsia="Times New Roman"/>
        </w:rPr>
      </w:pPr>
      <w:r w:rsidRPr="00DC39EE">
        <w:rPr>
          <w:rFonts w:eastAsia="Times New Roman"/>
          <w:b/>
        </w:rPr>
        <w:t>Table S1.</w:t>
      </w:r>
      <w:r w:rsidRPr="00DC39EE">
        <w:rPr>
          <w:rFonts w:eastAsia="Times New Roman"/>
        </w:rPr>
        <w:t xml:space="preserve"> </w:t>
      </w:r>
      <w:proofErr w:type="gramStart"/>
      <w:r w:rsidRPr="00DC39EE">
        <w:rPr>
          <w:rFonts w:eastAsia="Times New Roman"/>
        </w:rPr>
        <w:t xml:space="preserve">Definitions of chlorophyll </w:t>
      </w:r>
      <w:r w:rsidRPr="00DC39EE">
        <w:rPr>
          <w:rFonts w:eastAsia="Times New Roman"/>
          <w:i/>
        </w:rPr>
        <w:t>a</w:t>
      </w:r>
      <w:r w:rsidRPr="00DC39EE">
        <w:rPr>
          <w:rFonts w:eastAsia="Times New Roman"/>
        </w:rPr>
        <w:t xml:space="preserve"> fluorescence parameters.</w:t>
      </w:r>
      <w:proofErr w:type="gramEnd"/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28"/>
        <w:gridCol w:w="6462"/>
      </w:tblGrid>
      <w:tr w:rsidR="00BE34CE" w:rsidRPr="00DC39EE" w:rsidTr="00005739">
        <w:trPr>
          <w:trHeight w:val="405"/>
          <w:jc w:val="center"/>
        </w:trPr>
        <w:tc>
          <w:tcPr>
            <w:tcW w:w="1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E34CE" w:rsidRPr="00DC39EE" w:rsidRDefault="00BE34CE" w:rsidP="00005739">
            <w:pPr>
              <w:spacing w:line="480" w:lineRule="auto"/>
              <w:jc w:val="left"/>
              <w:rPr>
                <w:rFonts w:eastAsia="Times New Roman"/>
              </w:rPr>
            </w:pPr>
            <w:r w:rsidRPr="00DC39EE">
              <w:rPr>
                <w:rFonts w:eastAsia="Times New Roman"/>
              </w:rPr>
              <w:t>Parameter</w:t>
            </w:r>
          </w:p>
        </w:tc>
        <w:tc>
          <w:tcPr>
            <w:tcW w:w="64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E34CE" w:rsidRPr="00DC39EE" w:rsidRDefault="00BE34CE" w:rsidP="00005739">
            <w:pPr>
              <w:spacing w:line="480" w:lineRule="auto"/>
              <w:jc w:val="left"/>
              <w:rPr>
                <w:rFonts w:eastAsia="Times New Roman"/>
              </w:rPr>
            </w:pPr>
            <w:r w:rsidRPr="00DC39EE">
              <w:rPr>
                <w:rFonts w:eastAsia="Times New Roman"/>
              </w:rPr>
              <w:t>Definition</w:t>
            </w:r>
          </w:p>
        </w:tc>
      </w:tr>
      <w:tr w:rsidR="00BE34CE" w:rsidRPr="00DC39EE" w:rsidTr="00005739">
        <w:trPr>
          <w:trHeight w:val="405"/>
          <w:jc w:val="center"/>
        </w:trPr>
        <w:tc>
          <w:tcPr>
            <w:tcW w:w="18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34CE" w:rsidRPr="00DC39EE" w:rsidRDefault="00BE34CE" w:rsidP="00005739">
            <w:pPr>
              <w:widowControl/>
              <w:spacing w:line="480" w:lineRule="auto"/>
              <w:jc w:val="left"/>
              <w:rPr>
                <w:i/>
                <w:sz w:val="20"/>
              </w:rPr>
            </w:pPr>
            <w:proofErr w:type="spellStart"/>
            <w:r w:rsidRPr="00DC39EE">
              <w:rPr>
                <w:rFonts w:eastAsia="Times New Roman"/>
                <w:i/>
                <w:sz w:val="20"/>
              </w:rPr>
              <w:t>F</w:t>
            </w:r>
            <w:r w:rsidRPr="00DC39EE">
              <w:rPr>
                <w:rFonts w:eastAsia="Times New Roman"/>
                <w:sz w:val="20"/>
                <w:vertAlign w:val="subscript"/>
              </w:rPr>
              <w:t>v</w:t>
            </w:r>
            <w:proofErr w:type="spellEnd"/>
            <w:r w:rsidRPr="00DC39EE">
              <w:rPr>
                <w:rFonts w:eastAsia="Times New Roman"/>
                <w:sz w:val="20"/>
              </w:rPr>
              <w:t>/</w:t>
            </w:r>
            <w:proofErr w:type="spellStart"/>
            <w:r w:rsidRPr="00DC39EE">
              <w:rPr>
                <w:rFonts w:eastAsia="Times New Roman"/>
                <w:i/>
                <w:sz w:val="20"/>
              </w:rPr>
              <w:t>F</w:t>
            </w:r>
            <w:r w:rsidRPr="00DC39EE">
              <w:rPr>
                <w:rFonts w:eastAsia="Times New Roman"/>
                <w:sz w:val="20"/>
                <w:vertAlign w:val="subscript"/>
              </w:rPr>
              <w:t>m</w:t>
            </w:r>
            <w:proofErr w:type="spellEnd"/>
            <w:r w:rsidRPr="00DC39EE">
              <w:rPr>
                <w:rFonts w:eastAsia="Times New Roman"/>
                <w:sz w:val="20"/>
              </w:rPr>
              <w:t xml:space="preserve"> = </w:t>
            </w:r>
            <w:proofErr w:type="spellStart"/>
            <w:r w:rsidRPr="00DC39EE">
              <w:rPr>
                <w:rFonts w:eastAsia="Times New Roman"/>
                <w:i/>
                <w:sz w:val="20"/>
              </w:rPr>
              <w:t>Φ</w:t>
            </w:r>
            <w:r w:rsidRPr="00DC39EE">
              <w:rPr>
                <w:rFonts w:eastAsia="Times New Roman"/>
                <w:sz w:val="20"/>
                <w:vertAlign w:val="subscript"/>
              </w:rPr>
              <w:t>Po</w:t>
            </w:r>
            <w:proofErr w:type="spellEnd"/>
          </w:p>
        </w:tc>
        <w:tc>
          <w:tcPr>
            <w:tcW w:w="64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E34CE" w:rsidRPr="00DC39EE" w:rsidRDefault="00BE34CE" w:rsidP="00005739">
            <w:pPr>
              <w:widowControl/>
              <w:spacing w:line="480" w:lineRule="auto"/>
              <w:jc w:val="left"/>
              <w:rPr>
                <w:sz w:val="20"/>
              </w:rPr>
            </w:pPr>
            <w:r w:rsidRPr="00DC39EE">
              <w:rPr>
                <w:rFonts w:eastAsia="Times New Roman"/>
                <w:sz w:val="20"/>
              </w:rPr>
              <w:t>Maximum photochemical efficiency</w:t>
            </w:r>
          </w:p>
        </w:tc>
      </w:tr>
      <w:tr w:rsidR="00BE34CE" w:rsidRPr="00DC39EE" w:rsidTr="00005739">
        <w:trPr>
          <w:trHeight w:val="405"/>
          <w:jc w:val="center"/>
        </w:trPr>
        <w:tc>
          <w:tcPr>
            <w:tcW w:w="1828" w:type="dxa"/>
            <w:shd w:val="clear" w:color="auto" w:fill="auto"/>
            <w:vAlign w:val="center"/>
          </w:tcPr>
          <w:p w:rsidR="00BE34CE" w:rsidRPr="00DC39EE" w:rsidRDefault="00BE34CE" w:rsidP="00005739">
            <w:pPr>
              <w:widowControl/>
              <w:spacing w:line="480" w:lineRule="auto"/>
              <w:jc w:val="left"/>
              <w:rPr>
                <w:i/>
                <w:sz w:val="20"/>
              </w:rPr>
            </w:pPr>
            <w:proofErr w:type="spellStart"/>
            <w:r w:rsidRPr="00DC39EE">
              <w:rPr>
                <w:rFonts w:eastAsia="Times New Roman"/>
                <w:i/>
                <w:sz w:val="20"/>
              </w:rPr>
              <w:t>Ψ</w:t>
            </w:r>
            <w:r w:rsidRPr="00DC39EE">
              <w:rPr>
                <w:rFonts w:eastAsia="Times New Roman"/>
                <w:sz w:val="20"/>
                <w:vertAlign w:val="subscript"/>
              </w:rPr>
              <w:t>Eo</w:t>
            </w:r>
            <w:proofErr w:type="spellEnd"/>
          </w:p>
        </w:tc>
        <w:tc>
          <w:tcPr>
            <w:tcW w:w="6462" w:type="dxa"/>
            <w:shd w:val="clear" w:color="auto" w:fill="auto"/>
            <w:vAlign w:val="center"/>
          </w:tcPr>
          <w:p w:rsidR="00BE34CE" w:rsidRPr="00DC39EE" w:rsidRDefault="00BE34CE" w:rsidP="00005739">
            <w:pPr>
              <w:widowControl/>
              <w:spacing w:line="480" w:lineRule="auto"/>
              <w:jc w:val="left"/>
              <w:rPr>
                <w:sz w:val="20"/>
              </w:rPr>
            </w:pPr>
            <w:r w:rsidRPr="00DC39EE">
              <w:rPr>
                <w:rFonts w:eastAsia="Times New Roman"/>
                <w:sz w:val="20"/>
              </w:rPr>
              <w:t>The ratio of excitons captured by the reaction center and used to promote electron transfer to other electron acceptors in the electron transport chain exceeding Q</w:t>
            </w:r>
            <w:r w:rsidRPr="00DC39EE">
              <w:rPr>
                <w:rFonts w:eastAsia="Times New Roman"/>
                <w:sz w:val="20"/>
                <w:vertAlign w:val="subscript"/>
              </w:rPr>
              <w:t>A</w:t>
            </w:r>
            <w:r w:rsidRPr="00DC39EE">
              <w:rPr>
                <w:rFonts w:eastAsia="Times New Roman"/>
                <w:sz w:val="20"/>
              </w:rPr>
              <w:t xml:space="preserve"> to promote Q</w:t>
            </w:r>
            <w:r w:rsidRPr="00DC39EE">
              <w:rPr>
                <w:rFonts w:eastAsia="Times New Roman"/>
                <w:sz w:val="20"/>
                <w:vertAlign w:val="subscript"/>
              </w:rPr>
              <w:t>A</w:t>
            </w:r>
            <w:r w:rsidRPr="00DC39EE">
              <w:rPr>
                <w:rFonts w:eastAsia="Times New Roman"/>
                <w:sz w:val="20"/>
              </w:rPr>
              <w:t xml:space="preserve"> reduction excitons (t = 0).</w:t>
            </w:r>
          </w:p>
        </w:tc>
      </w:tr>
      <w:tr w:rsidR="00BE34CE" w:rsidRPr="00DC39EE" w:rsidTr="00005739">
        <w:trPr>
          <w:trHeight w:val="405"/>
          <w:jc w:val="center"/>
        </w:trPr>
        <w:tc>
          <w:tcPr>
            <w:tcW w:w="1828" w:type="dxa"/>
            <w:shd w:val="clear" w:color="auto" w:fill="auto"/>
            <w:vAlign w:val="center"/>
          </w:tcPr>
          <w:p w:rsidR="00BE34CE" w:rsidRPr="00DC39EE" w:rsidRDefault="00BE34CE" w:rsidP="00005739">
            <w:pPr>
              <w:widowControl/>
              <w:spacing w:line="480" w:lineRule="auto"/>
              <w:jc w:val="left"/>
              <w:rPr>
                <w:i/>
                <w:sz w:val="20"/>
              </w:rPr>
            </w:pPr>
            <w:proofErr w:type="spellStart"/>
            <w:r w:rsidRPr="00DC39EE">
              <w:rPr>
                <w:rFonts w:eastAsia="Times New Roman"/>
                <w:i/>
                <w:sz w:val="20"/>
              </w:rPr>
              <w:t>Φ</w:t>
            </w:r>
            <w:r w:rsidRPr="00DC39EE">
              <w:rPr>
                <w:rFonts w:eastAsia="Times New Roman"/>
                <w:sz w:val="20"/>
                <w:vertAlign w:val="subscript"/>
              </w:rPr>
              <w:t>Eo</w:t>
            </w:r>
            <w:proofErr w:type="spellEnd"/>
          </w:p>
        </w:tc>
        <w:tc>
          <w:tcPr>
            <w:tcW w:w="6462" w:type="dxa"/>
            <w:shd w:val="clear" w:color="auto" w:fill="auto"/>
            <w:vAlign w:val="center"/>
          </w:tcPr>
          <w:p w:rsidR="00BE34CE" w:rsidRPr="00DC39EE" w:rsidRDefault="00BE34CE" w:rsidP="00005739">
            <w:pPr>
              <w:widowControl/>
              <w:spacing w:line="480" w:lineRule="auto"/>
              <w:jc w:val="left"/>
              <w:rPr>
                <w:sz w:val="20"/>
              </w:rPr>
            </w:pPr>
            <w:r w:rsidRPr="00DC39EE">
              <w:rPr>
                <w:rFonts w:eastAsia="Times New Roman"/>
                <w:sz w:val="20"/>
              </w:rPr>
              <w:t>Quantum yield for electron transfer (t = 0).</w:t>
            </w:r>
          </w:p>
        </w:tc>
      </w:tr>
      <w:tr w:rsidR="00BE34CE" w:rsidRPr="00DC39EE" w:rsidTr="00005739">
        <w:trPr>
          <w:trHeight w:val="405"/>
          <w:jc w:val="center"/>
        </w:trPr>
        <w:tc>
          <w:tcPr>
            <w:tcW w:w="1828" w:type="dxa"/>
            <w:shd w:val="clear" w:color="auto" w:fill="auto"/>
            <w:vAlign w:val="center"/>
          </w:tcPr>
          <w:p w:rsidR="00BE34CE" w:rsidRPr="00DC39EE" w:rsidRDefault="00BE34CE" w:rsidP="00005739">
            <w:pPr>
              <w:widowControl/>
              <w:spacing w:line="480" w:lineRule="auto"/>
              <w:jc w:val="left"/>
              <w:rPr>
                <w:i/>
                <w:sz w:val="20"/>
              </w:rPr>
            </w:pPr>
            <w:proofErr w:type="spellStart"/>
            <w:r w:rsidRPr="00DC39EE">
              <w:rPr>
                <w:rFonts w:eastAsia="Times New Roman"/>
                <w:i/>
                <w:sz w:val="20"/>
              </w:rPr>
              <w:t>δ</w:t>
            </w:r>
            <w:r w:rsidRPr="00DC39EE">
              <w:rPr>
                <w:rFonts w:eastAsia="Times New Roman"/>
                <w:sz w:val="20"/>
                <w:vertAlign w:val="subscript"/>
              </w:rPr>
              <w:t>Ro</w:t>
            </w:r>
            <w:proofErr w:type="spellEnd"/>
          </w:p>
        </w:tc>
        <w:tc>
          <w:tcPr>
            <w:tcW w:w="6462" w:type="dxa"/>
            <w:shd w:val="clear" w:color="auto" w:fill="auto"/>
            <w:vAlign w:val="center"/>
          </w:tcPr>
          <w:p w:rsidR="00BE34CE" w:rsidRPr="00DC39EE" w:rsidRDefault="00BE34CE" w:rsidP="00005739">
            <w:pPr>
              <w:widowControl/>
              <w:spacing w:line="480" w:lineRule="auto"/>
              <w:jc w:val="left"/>
              <w:rPr>
                <w:sz w:val="20"/>
              </w:rPr>
            </w:pPr>
            <w:r w:rsidRPr="00DC39EE">
              <w:rPr>
                <w:rFonts w:eastAsia="Times New Roman"/>
                <w:sz w:val="20"/>
              </w:rPr>
              <w:t>Probability of electrons passing from the intersystem electron transfer body to the electron acceptor on the acceptor side of the PSI.</w:t>
            </w:r>
          </w:p>
        </w:tc>
      </w:tr>
      <w:tr w:rsidR="00BE34CE" w:rsidRPr="00DC39EE" w:rsidTr="00005739">
        <w:trPr>
          <w:trHeight w:val="405"/>
          <w:jc w:val="center"/>
        </w:trPr>
        <w:tc>
          <w:tcPr>
            <w:tcW w:w="1828" w:type="dxa"/>
            <w:shd w:val="clear" w:color="auto" w:fill="auto"/>
            <w:vAlign w:val="center"/>
          </w:tcPr>
          <w:p w:rsidR="00BE34CE" w:rsidRPr="00DC39EE" w:rsidRDefault="00BE34CE" w:rsidP="00005739">
            <w:pPr>
              <w:widowControl/>
              <w:spacing w:line="480" w:lineRule="auto"/>
              <w:jc w:val="left"/>
              <w:rPr>
                <w:i/>
                <w:sz w:val="20"/>
              </w:rPr>
            </w:pPr>
            <w:proofErr w:type="spellStart"/>
            <w:r w:rsidRPr="00DC39EE">
              <w:rPr>
                <w:rFonts w:eastAsia="Times New Roman"/>
                <w:i/>
                <w:sz w:val="20"/>
              </w:rPr>
              <w:t>W</w:t>
            </w:r>
            <w:r w:rsidRPr="00DC39EE">
              <w:rPr>
                <w:rFonts w:eastAsia="Times New Roman"/>
                <w:sz w:val="20"/>
                <w:vertAlign w:val="subscript"/>
              </w:rPr>
              <w:t>k</w:t>
            </w:r>
            <w:proofErr w:type="spellEnd"/>
          </w:p>
        </w:tc>
        <w:tc>
          <w:tcPr>
            <w:tcW w:w="6462" w:type="dxa"/>
            <w:shd w:val="clear" w:color="auto" w:fill="auto"/>
            <w:vAlign w:val="center"/>
          </w:tcPr>
          <w:p w:rsidR="00BE34CE" w:rsidRPr="00DC39EE" w:rsidRDefault="00BE34CE" w:rsidP="00005739">
            <w:pPr>
              <w:widowControl/>
              <w:spacing w:line="480" w:lineRule="auto"/>
              <w:jc w:val="left"/>
              <w:rPr>
                <w:sz w:val="20"/>
              </w:rPr>
            </w:pPr>
            <w:r w:rsidRPr="00DC39EE">
              <w:rPr>
                <w:rFonts w:eastAsia="Times New Roman"/>
                <w:sz w:val="20"/>
              </w:rPr>
              <w:t>Ratio of K-phase variable fluorescence to J-phase variable fluorescence.</w:t>
            </w:r>
          </w:p>
        </w:tc>
      </w:tr>
      <w:tr w:rsidR="00BE34CE" w:rsidRPr="00DC39EE" w:rsidTr="00005739">
        <w:trPr>
          <w:trHeight w:val="405"/>
          <w:jc w:val="center"/>
        </w:trPr>
        <w:tc>
          <w:tcPr>
            <w:tcW w:w="1828" w:type="dxa"/>
            <w:shd w:val="clear" w:color="auto" w:fill="auto"/>
            <w:vAlign w:val="center"/>
          </w:tcPr>
          <w:p w:rsidR="00BE34CE" w:rsidRPr="00DC39EE" w:rsidRDefault="00BE34CE" w:rsidP="00005739">
            <w:pPr>
              <w:widowControl/>
              <w:spacing w:line="480" w:lineRule="auto"/>
              <w:jc w:val="left"/>
              <w:rPr>
                <w:i/>
                <w:sz w:val="20"/>
              </w:rPr>
            </w:pPr>
            <w:r w:rsidRPr="00DC39EE">
              <w:rPr>
                <w:rFonts w:eastAsia="Times New Roman"/>
                <w:i/>
                <w:sz w:val="20"/>
              </w:rPr>
              <w:t>Mo</w:t>
            </w:r>
          </w:p>
        </w:tc>
        <w:tc>
          <w:tcPr>
            <w:tcW w:w="6462" w:type="dxa"/>
            <w:shd w:val="clear" w:color="auto" w:fill="auto"/>
            <w:vAlign w:val="center"/>
          </w:tcPr>
          <w:p w:rsidR="00BE34CE" w:rsidRPr="00DC39EE" w:rsidRDefault="00BE34CE" w:rsidP="00005739">
            <w:pPr>
              <w:widowControl/>
              <w:spacing w:line="480" w:lineRule="auto"/>
              <w:jc w:val="left"/>
              <w:rPr>
                <w:sz w:val="20"/>
              </w:rPr>
            </w:pPr>
            <w:r w:rsidRPr="00DC39EE">
              <w:rPr>
                <w:rFonts w:eastAsia="Times New Roman"/>
                <w:sz w:val="20"/>
              </w:rPr>
              <w:t xml:space="preserve">Approximate initial slope of transient fluorescence, V = </w:t>
            </w:r>
            <w:proofErr w:type="gramStart"/>
            <w:r w:rsidRPr="00DC39EE">
              <w:rPr>
                <w:rFonts w:eastAsia="Times New Roman"/>
                <w:sz w:val="20"/>
              </w:rPr>
              <w:t>f(</w:t>
            </w:r>
            <w:proofErr w:type="gramEnd"/>
            <w:r w:rsidRPr="00DC39EE">
              <w:rPr>
                <w:rFonts w:eastAsia="Times New Roman"/>
                <w:sz w:val="20"/>
              </w:rPr>
              <w:t xml:space="preserve">t) (per </w:t>
            </w:r>
            <w:proofErr w:type="spellStart"/>
            <w:r w:rsidRPr="00DC39EE">
              <w:rPr>
                <w:rFonts w:eastAsia="Times New Roman"/>
                <w:sz w:val="20"/>
              </w:rPr>
              <w:t>ms</w:t>
            </w:r>
            <w:proofErr w:type="spellEnd"/>
            <w:r w:rsidRPr="00DC39EE">
              <w:rPr>
                <w:rFonts w:eastAsia="Times New Roman"/>
                <w:sz w:val="20"/>
              </w:rPr>
              <w:t>). This parameter reflects the closing rate of PSII active reaction centers (RCs)</w:t>
            </w:r>
            <w:r w:rsidRPr="00DC39EE">
              <w:rPr>
                <w:rFonts w:ascii="宋体" w:hAnsi="宋体" w:cs="宋体"/>
                <w:sz w:val="20"/>
              </w:rPr>
              <w:t>.</w:t>
            </w:r>
          </w:p>
        </w:tc>
      </w:tr>
      <w:tr w:rsidR="00BE34CE" w:rsidRPr="00AB77C7" w:rsidTr="00005739">
        <w:trPr>
          <w:trHeight w:val="405"/>
          <w:jc w:val="center"/>
        </w:trPr>
        <w:tc>
          <w:tcPr>
            <w:tcW w:w="1828" w:type="dxa"/>
            <w:shd w:val="clear" w:color="auto" w:fill="auto"/>
            <w:vAlign w:val="center"/>
          </w:tcPr>
          <w:p w:rsidR="00BE34CE" w:rsidRPr="00DC39EE" w:rsidRDefault="00BE34CE" w:rsidP="00005739">
            <w:pPr>
              <w:widowControl/>
              <w:spacing w:line="480" w:lineRule="auto"/>
              <w:jc w:val="left"/>
              <w:rPr>
                <w:i/>
                <w:sz w:val="20"/>
              </w:rPr>
            </w:pPr>
            <w:r w:rsidRPr="00DC39EE">
              <w:rPr>
                <w:rFonts w:eastAsia="Times New Roman"/>
                <w:i/>
                <w:sz w:val="20"/>
              </w:rPr>
              <w:t>PI</w:t>
            </w:r>
            <w:r w:rsidRPr="00DC39EE">
              <w:rPr>
                <w:rFonts w:eastAsia="Times New Roman"/>
                <w:sz w:val="20"/>
                <w:vertAlign w:val="subscript"/>
              </w:rPr>
              <w:t>ABS</w:t>
            </w:r>
          </w:p>
        </w:tc>
        <w:tc>
          <w:tcPr>
            <w:tcW w:w="6462" w:type="dxa"/>
            <w:shd w:val="clear" w:color="auto" w:fill="auto"/>
            <w:vAlign w:val="center"/>
          </w:tcPr>
          <w:p w:rsidR="00BE34CE" w:rsidRPr="00AB77C7" w:rsidRDefault="00BE34CE" w:rsidP="00005739">
            <w:pPr>
              <w:widowControl/>
              <w:spacing w:line="480" w:lineRule="auto"/>
              <w:jc w:val="left"/>
              <w:rPr>
                <w:sz w:val="20"/>
              </w:rPr>
            </w:pPr>
            <w:r w:rsidRPr="00DC39EE">
              <w:rPr>
                <w:rFonts w:eastAsia="Times New Roman"/>
                <w:sz w:val="20"/>
              </w:rPr>
              <w:t>Performance index based on absorption of light energy</w:t>
            </w:r>
          </w:p>
        </w:tc>
      </w:tr>
    </w:tbl>
    <w:p w:rsidR="003E1DC8" w:rsidRDefault="003E1DC8" w:rsidP="00BE34CE">
      <w:pPr>
        <w:autoSpaceDE w:val="0"/>
        <w:autoSpaceDN w:val="0"/>
        <w:adjustRightInd w:val="0"/>
        <w:spacing w:line="480" w:lineRule="auto"/>
        <w:ind w:left="440" w:hangingChars="200" w:hanging="440"/>
        <w:rPr>
          <w:rFonts w:eastAsiaTheme="minorEastAsia"/>
          <w:kern w:val="0"/>
          <w:sz w:val="22"/>
          <w:szCs w:val="22"/>
        </w:rPr>
      </w:pPr>
    </w:p>
    <w:p w:rsidR="003E1DC8" w:rsidRDefault="003E1DC8">
      <w:pPr>
        <w:widowControl/>
        <w:jc w:val="left"/>
        <w:rPr>
          <w:rFonts w:eastAsiaTheme="minorEastAsia"/>
          <w:kern w:val="0"/>
          <w:sz w:val="22"/>
          <w:szCs w:val="22"/>
        </w:rPr>
      </w:pPr>
      <w:r>
        <w:rPr>
          <w:rFonts w:eastAsiaTheme="minorEastAsia"/>
          <w:kern w:val="0"/>
          <w:sz w:val="22"/>
          <w:szCs w:val="22"/>
        </w:rPr>
        <w:br w:type="page"/>
      </w:r>
    </w:p>
    <w:p w:rsidR="00BE34CE" w:rsidRDefault="00BE34CE" w:rsidP="00BE34CE">
      <w:pPr>
        <w:autoSpaceDE w:val="0"/>
        <w:autoSpaceDN w:val="0"/>
        <w:adjustRightInd w:val="0"/>
        <w:spacing w:line="480" w:lineRule="auto"/>
        <w:ind w:left="440" w:hangingChars="200" w:hanging="440"/>
        <w:rPr>
          <w:rFonts w:eastAsiaTheme="minorEastAsia"/>
          <w:kern w:val="0"/>
          <w:sz w:val="22"/>
          <w:szCs w:val="22"/>
        </w:rPr>
      </w:pPr>
    </w:p>
    <w:p w:rsidR="00BE34CE" w:rsidRDefault="003E1DC8" w:rsidP="003E1DC8">
      <w:pPr>
        <w:autoSpaceDE w:val="0"/>
        <w:autoSpaceDN w:val="0"/>
        <w:adjustRightInd w:val="0"/>
        <w:spacing w:line="480" w:lineRule="auto"/>
        <w:ind w:left="440" w:hangingChars="200" w:hanging="440"/>
        <w:rPr>
          <w:rFonts w:eastAsiaTheme="minorEastAsia"/>
          <w:kern w:val="0"/>
          <w:sz w:val="22"/>
          <w:szCs w:val="22"/>
        </w:rPr>
      </w:pPr>
      <w:r>
        <w:rPr>
          <w:rFonts w:eastAsiaTheme="minorEastAsia"/>
          <w:noProof/>
          <w:kern w:val="0"/>
          <w:sz w:val="22"/>
          <w:szCs w:val="22"/>
        </w:rPr>
        <w:drawing>
          <wp:inline distT="0" distB="0" distL="0" distR="0">
            <wp:extent cx="5274310" cy="2580179"/>
            <wp:effectExtent l="0" t="0" r="2540" b="0"/>
            <wp:docPr id="1" name="图片 1" descr="C:\Users\mapige\Desktop\20210702submit HEB\supp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pige\Desktop\20210702submit HEB\supp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80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DC8" w:rsidRDefault="003E1DC8" w:rsidP="003E1DC8">
      <w:pPr>
        <w:autoSpaceDE w:val="0"/>
        <w:autoSpaceDN w:val="0"/>
        <w:adjustRightInd w:val="0"/>
        <w:snapToGrid w:val="0"/>
        <w:spacing w:line="480" w:lineRule="auto"/>
        <w:jc w:val="center"/>
        <w:rPr>
          <w:rFonts w:eastAsia="MicrosoftYaHei"/>
          <w:kern w:val="0"/>
          <w:sz w:val="22"/>
          <w:szCs w:val="22"/>
        </w:rPr>
      </w:pPr>
      <w:r>
        <w:rPr>
          <w:rFonts w:eastAsia="MicrosoftYaHei" w:hint="eastAsia"/>
          <w:kern w:val="0"/>
          <w:sz w:val="22"/>
          <w:szCs w:val="22"/>
        </w:rPr>
        <w:t xml:space="preserve">Figure S1. </w:t>
      </w:r>
      <w:r w:rsidRPr="002D01E3">
        <w:rPr>
          <w:rFonts w:eastAsia="MicrosoftYaHei"/>
          <w:kern w:val="0"/>
          <w:sz w:val="22"/>
          <w:szCs w:val="22"/>
        </w:rPr>
        <w:t>Field performance of grape berries under different treatments</w:t>
      </w:r>
    </w:p>
    <w:p w:rsidR="003E1DC8" w:rsidRPr="003E1DC8" w:rsidRDefault="00216FAA" w:rsidP="003E1DC8">
      <w:pPr>
        <w:autoSpaceDE w:val="0"/>
        <w:autoSpaceDN w:val="0"/>
        <w:adjustRightInd w:val="0"/>
        <w:spacing w:line="480" w:lineRule="auto"/>
        <w:ind w:left="440" w:hangingChars="200" w:hanging="440"/>
        <w:rPr>
          <w:rFonts w:eastAsiaTheme="minorEastAsia"/>
          <w:kern w:val="0"/>
          <w:sz w:val="22"/>
          <w:szCs w:val="22"/>
        </w:rPr>
      </w:pPr>
      <w:r>
        <w:rPr>
          <w:sz w:val="22"/>
          <w:szCs w:val="22"/>
        </w:rPr>
        <w:t>NONE: no shading; GRAY, BLUE, GREEN, and BLACK</w:t>
      </w:r>
      <w:r>
        <w:t xml:space="preserve">: </w:t>
      </w:r>
      <w:r>
        <w:rPr>
          <w:sz w:val="22"/>
          <w:szCs w:val="22"/>
        </w:rPr>
        <w:t>shade net colors.</w:t>
      </w:r>
      <w:r>
        <w:rPr>
          <w:iCs/>
          <w:sz w:val="22"/>
          <w:szCs w:val="22"/>
        </w:rPr>
        <w:t xml:space="preserve"> PQ and ZH: experimental vineyard sites at the </w:t>
      </w:r>
      <w:r>
        <w:rPr>
          <w:rFonts w:eastAsiaTheme="minorEastAsia"/>
          <w:kern w:val="0"/>
          <w:sz w:val="22"/>
          <w:szCs w:val="22"/>
        </w:rPr>
        <w:t xml:space="preserve">Shanghai </w:t>
      </w:r>
      <w:proofErr w:type="spellStart"/>
      <w:r>
        <w:rPr>
          <w:rFonts w:eastAsiaTheme="minorEastAsia"/>
          <w:kern w:val="0"/>
          <w:sz w:val="22"/>
          <w:szCs w:val="22"/>
        </w:rPr>
        <w:t>Pingqi</w:t>
      </w:r>
      <w:proofErr w:type="spellEnd"/>
      <w:r>
        <w:rPr>
          <w:rFonts w:eastAsiaTheme="minorEastAsia"/>
          <w:kern w:val="0"/>
          <w:sz w:val="22"/>
          <w:szCs w:val="22"/>
        </w:rPr>
        <w:t xml:space="preserve"> Grape Planting Professional Cooperative (30°11′N, 121°25′E), and at </w:t>
      </w:r>
      <w:proofErr w:type="spellStart"/>
      <w:r>
        <w:rPr>
          <w:rFonts w:eastAsiaTheme="minorEastAsia"/>
          <w:kern w:val="0"/>
          <w:sz w:val="22"/>
          <w:szCs w:val="22"/>
        </w:rPr>
        <w:t>Zhuanghang</w:t>
      </w:r>
      <w:proofErr w:type="spellEnd"/>
      <w:r>
        <w:rPr>
          <w:rFonts w:eastAsiaTheme="minorEastAsia"/>
          <w:kern w:val="0"/>
          <w:sz w:val="22"/>
          <w:szCs w:val="22"/>
        </w:rPr>
        <w:t>, the site at the Shanghai Academy of Agricultural Sciences, Shanghai, China (30°51′N, 121°13′E), respectively.</w:t>
      </w:r>
      <w:bookmarkStart w:id="0" w:name="_GoBack"/>
      <w:bookmarkEnd w:id="0"/>
    </w:p>
    <w:p w:rsidR="00F458D0" w:rsidRPr="003E1DC8" w:rsidRDefault="00BE34CE">
      <w:pPr>
        <w:rPr>
          <w:rFonts w:eastAsiaTheme="minorEastAsia"/>
          <w:kern w:val="0"/>
          <w:sz w:val="22"/>
          <w:szCs w:val="22"/>
        </w:rPr>
      </w:pPr>
      <w:r>
        <w:fldChar w:fldCharType="begin"/>
      </w:r>
      <w:r>
        <w:instrText xml:space="preserve"> ADDIN EN.REFLIST </w:instrText>
      </w:r>
      <w:r>
        <w:fldChar w:fldCharType="end"/>
      </w:r>
    </w:p>
    <w:sectPr w:rsidR="00F458D0" w:rsidRPr="003E1DC8" w:rsidSect="00CF35B5">
      <w:footerReference w:type="even" r:id="rId8"/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56F" w:rsidRDefault="00F8756F">
      <w:r>
        <w:separator/>
      </w:r>
    </w:p>
  </w:endnote>
  <w:endnote w:type="continuationSeparator" w:id="0">
    <w:p w:rsidR="00F8756F" w:rsidRDefault="00F87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4"/>
      </w:rPr>
      <w:id w:val="-1427580042"/>
      <w:docPartObj>
        <w:docPartGallery w:val="Page Numbers (Bottom of Page)"/>
        <w:docPartUnique/>
      </w:docPartObj>
    </w:sdtPr>
    <w:sdtEndPr>
      <w:rPr>
        <w:rStyle w:val="a4"/>
      </w:rPr>
    </w:sdtEndPr>
    <w:sdtContent>
      <w:p w:rsidR="007E4917" w:rsidRDefault="00BE34CE" w:rsidP="00E85449">
        <w:pPr>
          <w:pStyle w:val="a3"/>
          <w:framePr w:wrap="none" w:vAnchor="text" w:hAnchor="margin" w:xAlign="right" w:y="1"/>
          <w:rPr>
            <w:rStyle w:val="a4"/>
          </w:rPr>
        </w:pPr>
        <w:r>
          <w:rPr>
            <w:rStyle w:val="a4"/>
          </w:rPr>
          <w:fldChar w:fldCharType="begin"/>
        </w:r>
        <w:r>
          <w:rPr>
            <w:rStyle w:val="a4"/>
          </w:rPr>
          <w:instrText xml:space="preserve"> PAGE </w:instrText>
        </w:r>
        <w:r>
          <w:rPr>
            <w:rStyle w:val="a4"/>
          </w:rPr>
          <w:fldChar w:fldCharType="end"/>
        </w:r>
      </w:p>
    </w:sdtContent>
  </w:sdt>
  <w:p w:rsidR="007E4917" w:rsidRDefault="00F8756F" w:rsidP="002C1BB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4"/>
      </w:rPr>
      <w:id w:val="-62342073"/>
      <w:docPartObj>
        <w:docPartGallery w:val="Page Numbers (Bottom of Page)"/>
        <w:docPartUnique/>
      </w:docPartObj>
    </w:sdtPr>
    <w:sdtEndPr>
      <w:rPr>
        <w:rStyle w:val="a4"/>
      </w:rPr>
    </w:sdtEndPr>
    <w:sdtContent>
      <w:p w:rsidR="007E4917" w:rsidRDefault="00BE34CE" w:rsidP="00E85449">
        <w:pPr>
          <w:pStyle w:val="a3"/>
          <w:framePr w:wrap="none" w:vAnchor="text" w:hAnchor="margin" w:xAlign="right" w:y="1"/>
          <w:rPr>
            <w:rStyle w:val="a4"/>
          </w:rPr>
        </w:pPr>
        <w:r>
          <w:rPr>
            <w:rStyle w:val="a4"/>
          </w:rPr>
          <w:fldChar w:fldCharType="begin"/>
        </w:r>
        <w:r>
          <w:rPr>
            <w:rStyle w:val="a4"/>
          </w:rPr>
          <w:instrText xml:space="preserve"> PAGE </w:instrText>
        </w:r>
        <w:r>
          <w:rPr>
            <w:rStyle w:val="a4"/>
          </w:rPr>
          <w:fldChar w:fldCharType="separate"/>
        </w:r>
        <w:r w:rsidR="00216FAA">
          <w:rPr>
            <w:rStyle w:val="a4"/>
            <w:noProof/>
          </w:rPr>
          <w:t>1</w:t>
        </w:r>
        <w:r>
          <w:rPr>
            <w:rStyle w:val="a4"/>
          </w:rPr>
          <w:fldChar w:fldCharType="end"/>
        </w:r>
      </w:p>
    </w:sdtContent>
  </w:sdt>
  <w:p w:rsidR="007E4917" w:rsidRDefault="00F8756F" w:rsidP="006331F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56F" w:rsidRDefault="00F8756F">
      <w:r>
        <w:separator/>
      </w:r>
    </w:p>
  </w:footnote>
  <w:footnote w:type="continuationSeparator" w:id="0">
    <w:p w:rsidR="00F8756F" w:rsidRDefault="00F875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4CE"/>
    <w:rsid w:val="00054756"/>
    <w:rsid w:val="00216FAA"/>
    <w:rsid w:val="003E1DC8"/>
    <w:rsid w:val="00BE34CE"/>
    <w:rsid w:val="00CB4836"/>
    <w:rsid w:val="00F458D0"/>
    <w:rsid w:val="00F87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34C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E34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E34CE"/>
    <w:rPr>
      <w:kern w:val="2"/>
      <w:sz w:val="18"/>
      <w:szCs w:val="18"/>
    </w:rPr>
  </w:style>
  <w:style w:type="character" w:styleId="a4">
    <w:name w:val="page number"/>
    <w:basedOn w:val="a0"/>
    <w:unhideWhenUsed/>
    <w:rsid w:val="00BE34CE"/>
  </w:style>
  <w:style w:type="character" w:styleId="a5">
    <w:name w:val="line number"/>
    <w:basedOn w:val="a0"/>
    <w:rsid w:val="00BE34CE"/>
  </w:style>
  <w:style w:type="paragraph" w:styleId="a6">
    <w:name w:val="header"/>
    <w:basedOn w:val="a"/>
    <w:link w:val="Char0"/>
    <w:rsid w:val="003E1D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3E1DC8"/>
    <w:rPr>
      <w:kern w:val="2"/>
      <w:sz w:val="18"/>
      <w:szCs w:val="18"/>
    </w:rPr>
  </w:style>
  <w:style w:type="paragraph" w:styleId="a7">
    <w:name w:val="Balloon Text"/>
    <w:basedOn w:val="a"/>
    <w:link w:val="Char1"/>
    <w:rsid w:val="003E1DC8"/>
    <w:rPr>
      <w:sz w:val="18"/>
      <w:szCs w:val="18"/>
    </w:rPr>
  </w:style>
  <w:style w:type="character" w:customStyle="1" w:styleId="Char1">
    <w:name w:val="批注框文本 Char"/>
    <w:basedOn w:val="a0"/>
    <w:link w:val="a7"/>
    <w:rsid w:val="003E1DC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34C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E34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E34CE"/>
    <w:rPr>
      <w:kern w:val="2"/>
      <w:sz w:val="18"/>
      <w:szCs w:val="18"/>
    </w:rPr>
  </w:style>
  <w:style w:type="character" w:styleId="a4">
    <w:name w:val="page number"/>
    <w:basedOn w:val="a0"/>
    <w:unhideWhenUsed/>
    <w:rsid w:val="00BE34CE"/>
  </w:style>
  <w:style w:type="character" w:styleId="a5">
    <w:name w:val="line number"/>
    <w:basedOn w:val="a0"/>
    <w:rsid w:val="00BE34CE"/>
  </w:style>
  <w:style w:type="paragraph" w:styleId="a6">
    <w:name w:val="header"/>
    <w:basedOn w:val="a"/>
    <w:link w:val="Char0"/>
    <w:rsid w:val="003E1D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3E1DC8"/>
    <w:rPr>
      <w:kern w:val="2"/>
      <w:sz w:val="18"/>
      <w:szCs w:val="18"/>
    </w:rPr>
  </w:style>
  <w:style w:type="paragraph" w:styleId="a7">
    <w:name w:val="Balloon Text"/>
    <w:basedOn w:val="a"/>
    <w:link w:val="Char1"/>
    <w:rsid w:val="003E1DC8"/>
    <w:rPr>
      <w:sz w:val="18"/>
      <w:szCs w:val="18"/>
    </w:rPr>
  </w:style>
  <w:style w:type="character" w:customStyle="1" w:styleId="Char1">
    <w:name w:val="批注框文本 Char"/>
    <w:basedOn w:val="a0"/>
    <w:link w:val="a7"/>
    <w:rsid w:val="003E1DC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mapige</dc:creator>
  <cp:lastModifiedBy>mapige</cp:lastModifiedBy>
  <cp:revision>3</cp:revision>
  <dcterms:created xsi:type="dcterms:W3CDTF">2021-07-02T04:03:00Z</dcterms:created>
  <dcterms:modified xsi:type="dcterms:W3CDTF">2021-09-16T04:21:00Z</dcterms:modified>
</cp:coreProperties>
</file>