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F1002" w14:textId="77777777" w:rsidR="00B160AB" w:rsidRPr="009C0C28" w:rsidRDefault="00B160AB" w:rsidP="00B160AB">
      <w:pPr>
        <w:rPr>
          <w:rFonts w:ascii="Calibri" w:hAnsi="Calibri" w:cs="Calibri"/>
          <w:b/>
          <w:sz w:val="28"/>
        </w:rPr>
      </w:pPr>
      <w:r w:rsidRPr="009C0C28">
        <w:rPr>
          <w:rFonts w:ascii="Calibri" w:hAnsi="Calibri" w:cs="Calibri"/>
          <w:b/>
          <w:sz w:val="28"/>
        </w:rPr>
        <w:t xml:space="preserve">Supplementary Information </w:t>
      </w:r>
    </w:p>
    <w:p w14:paraId="2DD5F6A4" w14:textId="77777777" w:rsidR="00B160AB" w:rsidRDefault="00B160AB" w:rsidP="00B160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C13C9E" wp14:editId="783F32A4">
            <wp:extent cx="5760720" cy="6912864"/>
            <wp:effectExtent l="0" t="0" r="5080" b="0"/>
            <wp:docPr id="511664359" name="Picture 2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664359" name="Picture 2" descr="A diagram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1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CA39" w14:textId="77777777" w:rsidR="00B160AB" w:rsidRPr="007C6ABC" w:rsidRDefault="00B160AB" w:rsidP="00B160AB">
      <w:pPr>
        <w:rPr>
          <w:rFonts w:cstheme="minorHAnsi"/>
          <w:sz w:val="20"/>
          <w:szCs w:val="20"/>
        </w:rPr>
      </w:pPr>
      <w:r w:rsidRPr="009C0C28">
        <w:rPr>
          <w:rFonts w:cstheme="minorHAnsi"/>
          <w:b/>
          <w:bCs/>
          <w:sz w:val="20"/>
          <w:szCs w:val="20"/>
        </w:rPr>
        <w:t>Supplementary Figure S1. Spontaneous persister formation does not explain the observed time-kill data</w:t>
      </w:r>
      <w:r w:rsidRPr="009C0C28">
        <w:rPr>
          <w:rFonts w:cstheme="minorHAnsi"/>
          <w:sz w:val="20"/>
          <w:szCs w:val="20"/>
        </w:rPr>
        <w:t xml:space="preserve"> </w:t>
      </w:r>
      <w:r w:rsidRPr="009C0C28">
        <w:rPr>
          <w:rFonts w:cstheme="minorHAnsi"/>
          <w:b/>
          <w:bCs/>
          <w:sz w:val="20"/>
          <w:szCs w:val="20"/>
        </w:rPr>
        <w:t>from overnight batch cultures.</w:t>
      </w:r>
      <w:r w:rsidRPr="009C0C28">
        <w:rPr>
          <w:rFonts w:cstheme="minorHAnsi"/>
          <w:sz w:val="20"/>
          <w:szCs w:val="20"/>
        </w:rPr>
        <w:t xml:space="preserve"> (a) A schematic representation of the experimental setup and the associated kinetic model</w:t>
      </w:r>
      <w:r>
        <w:rPr>
          <w:rFonts w:cstheme="minorHAnsi"/>
          <w:sz w:val="20"/>
          <w:szCs w:val="20"/>
        </w:rPr>
        <w:t>ing</w:t>
      </w:r>
      <w:r w:rsidRPr="009C0C28">
        <w:rPr>
          <w:rFonts w:cstheme="minorHAnsi"/>
          <w:sz w:val="20"/>
          <w:szCs w:val="20"/>
        </w:rPr>
        <w:t xml:space="preserve"> for each step. In the</w:t>
      </w:r>
      <w:r>
        <w:rPr>
          <w:rFonts w:cstheme="minorHAnsi"/>
          <w:sz w:val="20"/>
          <w:szCs w:val="20"/>
        </w:rPr>
        <w:t xml:space="preserve"> prior art model incorporating spontaneous persister formation (</w:t>
      </w:r>
      <w:r w:rsidRPr="009C0C28">
        <w:rPr>
          <w:rFonts w:cstheme="minorHAnsi"/>
          <w:sz w:val="20"/>
          <w:szCs w:val="20"/>
        </w:rPr>
        <w:t xml:space="preserve">Balaban </w:t>
      </w:r>
      <w:r w:rsidRPr="009C0C28">
        <w:rPr>
          <w:rFonts w:cstheme="minorHAnsi"/>
          <w:i/>
          <w:iCs/>
          <w:sz w:val="20"/>
          <w:szCs w:val="20"/>
        </w:rPr>
        <w:t xml:space="preserve">et al. </w:t>
      </w:r>
      <w:r w:rsidRPr="009C0C28">
        <w:rPr>
          <w:rFonts w:cstheme="minorHAnsi"/>
          <w:iCs/>
          <w:sz w:val="20"/>
          <w:szCs w:val="20"/>
        </w:rPr>
        <w:t>2004)</w:t>
      </w:r>
      <w:r w:rsidRPr="009C0C28">
        <w:rPr>
          <w:rFonts w:cstheme="minorHAnsi"/>
          <w:sz w:val="20"/>
          <w:szCs w:val="20"/>
        </w:rPr>
        <w:t xml:space="preserve">, </w:t>
      </w:r>
      <w:r w:rsidRPr="009C0C28">
        <w:rPr>
          <w:rFonts w:cstheme="minorHAnsi"/>
          <w:i/>
          <w:iCs/>
          <w:sz w:val="20"/>
          <w:szCs w:val="20"/>
        </w:rPr>
        <w:t>P</w:t>
      </w:r>
      <w:r w:rsidRPr="009C0C28">
        <w:rPr>
          <w:rFonts w:cstheme="minorHAnsi"/>
          <w:i/>
          <w:iCs/>
          <w:sz w:val="20"/>
          <w:szCs w:val="20"/>
          <w:vertAlign w:val="subscript"/>
        </w:rPr>
        <w:t>1</w:t>
      </w:r>
      <w:r w:rsidRPr="009C0C28">
        <w:rPr>
          <w:rFonts w:cstheme="minorHAnsi"/>
          <w:sz w:val="20"/>
          <w:szCs w:val="20"/>
        </w:rPr>
        <w:t xml:space="preserve"> represents pre-existing persisters from the stationary phase inoculum and </w:t>
      </w:r>
      <w:r w:rsidRPr="009C0C28">
        <w:rPr>
          <w:rFonts w:cstheme="minorHAnsi"/>
          <w:i/>
          <w:sz w:val="20"/>
          <w:szCs w:val="20"/>
        </w:rPr>
        <w:t>P</w:t>
      </w:r>
      <w:r w:rsidRPr="009C0C28">
        <w:rPr>
          <w:rFonts w:cstheme="minorHAnsi"/>
          <w:i/>
          <w:sz w:val="20"/>
          <w:szCs w:val="20"/>
          <w:vertAlign w:val="subscript"/>
        </w:rPr>
        <w:t>2</w:t>
      </w:r>
      <w:r w:rsidRPr="009C0C28">
        <w:rPr>
          <w:rFonts w:cstheme="minorHAnsi"/>
          <w:sz w:val="20"/>
          <w:szCs w:val="20"/>
        </w:rPr>
        <w:t xml:space="preserve"> represents spontaneous persisters</w:t>
      </w:r>
      <w:r>
        <w:rPr>
          <w:rFonts w:cstheme="minorHAnsi"/>
          <w:sz w:val="20"/>
          <w:szCs w:val="20"/>
        </w:rPr>
        <w:t xml:space="preserve"> that</w:t>
      </w:r>
      <w:r w:rsidRPr="009C0C28">
        <w:rPr>
          <w:rFonts w:cstheme="minorHAnsi"/>
          <w:sz w:val="20"/>
          <w:szCs w:val="20"/>
        </w:rPr>
        <w:t xml:space="preserve"> arise from susceptible cells at a rate </w:t>
      </w:r>
      <w:r w:rsidRPr="009C0C28">
        <w:rPr>
          <w:rFonts w:cstheme="minorHAnsi"/>
          <w:i/>
          <w:iCs/>
          <w:sz w:val="20"/>
          <w:szCs w:val="20"/>
        </w:rPr>
        <w:t>a</w:t>
      </w:r>
      <w:r w:rsidRPr="009C0C28">
        <w:rPr>
          <w:rFonts w:cstheme="minorHAnsi"/>
          <w:i/>
          <w:iCs/>
          <w:sz w:val="20"/>
          <w:szCs w:val="20"/>
          <w:vertAlign w:val="subscript"/>
        </w:rPr>
        <w:t>2</w:t>
      </w:r>
      <w:r w:rsidRPr="009C0C28">
        <w:rPr>
          <w:rFonts w:cstheme="minorHAnsi"/>
          <w:sz w:val="20"/>
          <w:szCs w:val="20"/>
        </w:rPr>
        <w:t xml:space="preserve">. In this figure, we used our </w:t>
      </w:r>
      <w:r w:rsidRPr="009C0C28">
        <w:rPr>
          <w:rFonts w:cstheme="minorHAnsi"/>
          <w:sz w:val="20"/>
          <w:szCs w:val="20"/>
        </w:rPr>
        <w:lastRenderedPageBreak/>
        <w:t xml:space="preserve">experimental data and model fitting to compare the pre-existing persister model (b), </w:t>
      </w:r>
      <w:r>
        <w:rPr>
          <w:rFonts w:cstheme="minorHAnsi"/>
          <w:sz w:val="20"/>
          <w:szCs w:val="20"/>
        </w:rPr>
        <w:t xml:space="preserve">our </w:t>
      </w:r>
      <w:r w:rsidRPr="009C0C28">
        <w:rPr>
          <w:rFonts w:cstheme="minorHAnsi"/>
          <w:sz w:val="20"/>
          <w:szCs w:val="20"/>
        </w:rPr>
        <w:t xml:space="preserve">drug-induced persister model (c), </w:t>
      </w:r>
      <w:r>
        <w:rPr>
          <w:rFonts w:cstheme="minorHAnsi"/>
          <w:sz w:val="20"/>
          <w:szCs w:val="20"/>
        </w:rPr>
        <w:t xml:space="preserve">the prior art </w:t>
      </w:r>
      <w:r w:rsidRPr="009C0C28">
        <w:rPr>
          <w:rFonts w:cstheme="minorHAnsi"/>
          <w:sz w:val="20"/>
          <w:szCs w:val="20"/>
        </w:rPr>
        <w:t>spontaneous</w:t>
      </w:r>
      <w:r>
        <w:rPr>
          <w:rFonts w:cstheme="minorHAnsi"/>
          <w:sz w:val="20"/>
          <w:szCs w:val="20"/>
        </w:rPr>
        <w:t>-</w:t>
      </w:r>
      <w:r w:rsidRPr="009C0C28">
        <w:rPr>
          <w:rFonts w:cstheme="minorHAnsi"/>
          <w:sz w:val="20"/>
          <w:szCs w:val="20"/>
        </w:rPr>
        <w:t>persister</w:t>
      </w:r>
      <w:r>
        <w:rPr>
          <w:rFonts w:cstheme="minorHAnsi"/>
          <w:sz w:val="20"/>
          <w:szCs w:val="20"/>
        </w:rPr>
        <w:t>-</w:t>
      </w:r>
      <w:r w:rsidRPr="009C0C28">
        <w:rPr>
          <w:rFonts w:cstheme="minorHAnsi"/>
          <w:sz w:val="20"/>
          <w:szCs w:val="20"/>
        </w:rPr>
        <w:t>formation model (d) and the combined model of the latter two (e)</w:t>
      </w:r>
      <w:r>
        <w:rPr>
          <w:rFonts w:cstheme="minorHAnsi"/>
          <w:sz w:val="20"/>
          <w:szCs w:val="20"/>
        </w:rPr>
        <w:t xml:space="preserve">, </w:t>
      </w:r>
      <w:r w:rsidRPr="009C0C28">
        <w:rPr>
          <w:rFonts w:cstheme="minorHAnsi"/>
          <w:sz w:val="20"/>
          <w:szCs w:val="20"/>
        </w:rPr>
        <w:t>model</w:t>
      </w:r>
      <w:r>
        <w:rPr>
          <w:rFonts w:cstheme="minorHAnsi"/>
          <w:sz w:val="20"/>
          <w:szCs w:val="20"/>
        </w:rPr>
        <w:t>ing</w:t>
      </w:r>
      <w:r w:rsidRPr="009C0C28">
        <w:rPr>
          <w:rFonts w:cstheme="minorHAnsi"/>
          <w:sz w:val="20"/>
          <w:szCs w:val="20"/>
        </w:rPr>
        <w:t xml:space="preserve"> the persister dynamics from the beginning of inoculation until the end of the time-kill assay</w:t>
      </w:r>
      <w:r>
        <w:rPr>
          <w:rFonts w:cstheme="minorHAnsi"/>
          <w:sz w:val="20"/>
          <w:szCs w:val="20"/>
        </w:rPr>
        <w:t xml:space="preserve"> in each case</w:t>
      </w:r>
      <w:r w:rsidRPr="009C0C28">
        <w:rPr>
          <w:rFonts w:cstheme="minorHAnsi"/>
          <w:sz w:val="20"/>
          <w:szCs w:val="20"/>
        </w:rPr>
        <w:t xml:space="preserve">. Results show that our model faithfully captures experimental data (c) while </w:t>
      </w:r>
      <w:r>
        <w:rPr>
          <w:rFonts w:cstheme="minorHAnsi"/>
          <w:sz w:val="20"/>
          <w:szCs w:val="20"/>
        </w:rPr>
        <w:t xml:space="preserve">the prior art </w:t>
      </w:r>
      <w:r w:rsidRPr="009C0C28">
        <w:rPr>
          <w:rFonts w:cstheme="minorHAnsi"/>
          <w:sz w:val="20"/>
          <w:szCs w:val="20"/>
        </w:rPr>
        <w:t xml:space="preserve">model does not (d). Incorporation of </w:t>
      </w:r>
      <w:r>
        <w:rPr>
          <w:rFonts w:cstheme="minorHAnsi"/>
          <w:sz w:val="20"/>
          <w:szCs w:val="20"/>
        </w:rPr>
        <w:t xml:space="preserve">spontaneous persister formation </w:t>
      </w:r>
      <w:r w:rsidRPr="009C0C28">
        <w:rPr>
          <w:rFonts w:cstheme="minorHAnsi"/>
          <w:sz w:val="20"/>
          <w:szCs w:val="20"/>
        </w:rPr>
        <w:t>is not necessary because the contribution of spontaneous persisters is negligible</w:t>
      </w:r>
      <w:r>
        <w:rPr>
          <w:rFonts w:cstheme="minorHAnsi"/>
          <w:sz w:val="20"/>
          <w:szCs w:val="20"/>
        </w:rPr>
        <w:t xml:space="preserve"> compared to the pre-existing and drug-induced persisters</w:t>
      </w:r>
      <w:r w:rsidRPr="009C0C28">
        <w:rPr>
          <w:rFonts w:cstheme="minorHAnsi"/>
          <w:sz w:val="20"/>
          <w:szCs w:val="20"/>
        </w:rPr>
        <w:t xml:space="preserve"> (e). To explore the possibility for </w:t>
      </w:r>
      <w:r>
        <w:rPr>
          <w:rFonts w:cstheme="minorHAnsi"/>
          <w:sz w:val="20"/>
          <w:szCs w:val="20"/>
        </w:rPr>
        <w:t>the prior art</w:t>
      </w:r>
      <w:r w:rsidRPr="009C0C28">
        <w:rPr>
          <w:rFonts w:cstheme="minorHAnsi"/>
          <w:sz w:val="20"/>
          <w:szCs w:val="20"/>
        </w:rPr>
        <w:t xml:space="preserve"> model to fit our experimental data, we arbitrarily increased </w:t>
      </w:r>
      <w:r w:rsidRPr="009C0C28">
        <w:rPr>
          <w:rFonts w:cstheme="minorHAnsi"/>
          <w:i/>
          <w:sz w:val="20"/>
          <w:szCs w:val="20"/>
        </w:rPr>
        <w:t>a</w:t>
      </w:r>
      <w:r w:rsidRPr="009C0C28">
        <w:rPr>
          <w:rFonts w:cstheme="minorHAnsi"/>
          <w:i/>
          <w:sz w:val="20"/>
          <w:szCs w:val="20"/>
          <w:vertAlign w:val="subscript"/>
        </w:rPr>
        <w:t>2</w:t>
      </w:r>
      <w:r w:rsidRPr="009C0C28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for the wild-type strain </w:t>
      </w:r>
      <w:r w:rsidRPr="009C0C28">
        <w:rPr>
          <w:rFonts w:cstheme="minorHAnsi"/>
          <w:sz w:val="20"/>
          <w:szCs w:val="20"/>
        </w:rPr>
        <w:t xml:space="preserve">to </w:t>
      </w:r>
      <w:r>
        <w:rPr>
          <w:rFonts w:cstheme="minorHAnsi"/>
          <w:sz w:val="20"/>
          <w:szCs w:val="20"/>
        </w:rPr>
        <w:t xml:space="preserve">biologically implausible </w:t>
      </w:r>
      <w:r w:rsidRPr="009C0C28">
        <w:rPr>
          <w:rFonts w:cstheme="minorHAnsi"/>
          <w:sz w:val="20"/>
          <w:szCs w:val="20"/>
        </w:rPr>
        <w:t xml:space="preserve">values by 10-fold (f) or 100-fold (g). We found that the spontaneous persister formation rate must increase by at least 100-fold to achieve a reasonable fit (g). In other words, only when the spontaneous persister fraction becomes orders of magnitude larger, dominating the overall persister subpopulation, can </w:t>
      </w:r>
      <w:r>
        <w:rPr>
          <w:rFonts w:cstheme="minorHAnsi"/>
          <w:sz w:val="20"/>
          <w:szCs w:val="20"/>
        </w:rPr>
        <w:t>the spontaneous-persister-</w:t>
      </w:r>
      <w:r w:rsidRPr="009C0C28">
        <w:rPr>
          <w:rFonts w:cstheme="minorHAnsi"/>
          <w:sz w:val="20"/>
          <w:szCs w:val="20"/>
        </w:rPr>
        <w:t xml:space="preserve">formation model begin to fit the observed SDTK data. Under normal conditions, however, spontaneous persisters in the wild-type strain typically constitute only a small fraction of the total persister population because the spontaneous persister formation rate for the wild-type strain is expected to be extremely low, as </w:t>
      </w:r>
      <w:r>
        <w:rPr>
          <w:rFonts w:cstheme="minorHAnsi"/>
          <w:sz w:val="20"/>
          <w:szCs w:val="20"/>
        </w:rPr>
        <w:t>reported</w:t>
      </w:r>
      <w:r w:rsidRPr="009C0C28">
        <w:rPr>
          <w:rFonts w:cstheme="minorHAnsi"/>
          <w:sz w:val="20"/>
          <w:szCs w:val="20"/>
        </w:rPr>
        <w:t xml:space="preserve"> by Balaban </w:t>
      </w:r>
      <w:r w:rsidRPr="009C0C28">
        <w:rPr>
          <w:rFonts w:cstheme="minorHAnsi"/>
          <w:i/>
          <w:iCs/>
          <w:sz w:val="20"/>
          <w:szCs w:val="20"/>
        </w:rPr>
        <w:t>et al</w:t>
      </w:r>
      <w:r>
        <w:rPr>
          <w:rFonts w:cstheme="minorHAnsi"/>
          <w:sz w:val="20"/>
          <w:szCs w:val="20"/>
        </w:rPr>
        <w:t xml:space="preserve"> (2004)</w:t>
      </w:r>
      <w:r w:rsidRPr="009C0C28">
        <w:rPr>
          <w:rFonts w:cstheme="minorHAnsi"/>
          <w:sz w:val="20"/>
          <w:szCs w:val="20"/>
        </w:rPr>
        <w:t>. In panels (b-g), the curves for the 100-, 1,000-, and 10,000-fold diluted cultures are time-shifted to align the start of drug treatment at t=0. The inoculation times of these diluted pre-drug cultures are marked by arrows, with the 10,000-fold diluted culture starting at 4.5 hours before drug exposure (-4.5 h).</w:t>
      </w:r>
      <w:r>
        <w:rPr>
          <w:rFonts w:cstheme="minorHAnsi"/>
          <w:sz w:val="20"/>
          <w:szCs w:val="20"/>
        </w:rPr>
        <w:t xml:space="preserve"> The experimental data are from Fig. 2a, an ampicillin SDTK assay performed on batch-seeded wild-type </w:t>
      </w:r>
      <w:r>
        <w:rPr>
          <w:rFonts w:cstheme="minorHAnsi"/>
          <w:i/>
          <w:iCs/>
          <w:sz w:val="20"/>
          <w:szCs w:val="20"/>
        </w:rPr>
        <w:t>E coli</w:t>
      </w:r>
      <w:r>
        <w:rPr>
          <w:rFonts w:cstheme="minorHAnsi"/>
          <w:sz w:val="20"/>
          <w:szCs w:val="20"/>
        </w:rPr>
        <w:t xml:space="preserve"> cultures.</w:t>
      </w:r>
    </w:p>
    <w:p w14:paraId="03519B9E" w14:textId="77777777" w:rsidR="00B160AB" w:rsidRDefault="00B160AB" w:rsidP="00B160AB"/>
    <w:p w14:paraId="6CCBA4A2" w14:textId="77777777" w:rsidR="00B160AB" w:rsidRDefault="00B160AB" w:rsidP="00B160AB">
      <w:r>
        <w:br w:type="page"/>
      </w:r>
    </w:p>
    <w:p w14:paraId="5B77C972" w14:textId="77777777" w:rsidR="00B160AB" w:rsidRDefault="00B160AB" w:rsidP="00B160AB"/>
    <w:p w14:paraId="1D780F3B" w14:textId="77777777" w:rsidR="00B160AB" w:rsidRDefault="00B160AB" w:rsidP="00B160AB">
      <w:pPr>
        <w:jc w:val="center"/>
      </w:pPr>
      <w:r w:rsidRPr="00684330">
        <w:rPr>
          <w:noProof/>
        </w:rPr>
        <w:drawing>
          <wp:inline distT="0" distB="0" distL="0" distR="0" wp14:anchorId="2B86B517" wp14:editId="69DE0267">
            <wp:extent cx="5943600" cy="7132320"/>
            <wp:effectExtent l="0" t="0" r="0" b="0"/>
            <wp:docPr id="15" name="Picture 15" descr="C:\Users\f003vn7\Dropbox\Drug persistence modeling\111 Manuscript\Supplemental materials\Figure Supple PNG\FigS2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003vn7\Dropbox\Drug persistence modeling\111 Manuscript\Supplemental materials\Figure Supple PNG\FigS2 pn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D04BB" w14:textId="77777777" w:rsidR="00B160AB" w:rsidRPr="009C0C28" w:rsidRDefault="00B160AB" w:rsidP="00B160AB">
      <w:pPr>
        <w:rPr>
          <w:rFonts w:ascii="Calibri" w:hAnsi="Calibri" w:cs="Calibri"/>
          <w:sz w:val="20"/>
          <w:szCs w:val="20"/>
        </w:rPr>
      </w:pPr>
      <w:r w:rsidRPr="009C0C28">
        <w:rPr>
          <w:rFonts w:ascii="Calibri" w:hAnsi="Calibri" w:cs="Calibri"/>
          <w:b/>
          <w:bCs/>
          <w:sz w:val="20"/>
          <w:szCs w:val="20"/>
        </w:rPr>
        <w:t>Supplementary Figure S2. Spontaneous persister formation does not explain the observed time-kill data from turbidostat experiments.</w:t>
      </w:r>
      <w:r w:rsidRPr="009C0C28">
        <w:rPr>
          <w:rFonts w:ascii="Calibri" w:hAnsi="Calibri" w:cs="Calibri"/>
          <w:sz w:val="20"/>
          <w:szCs w:val="20"/>
        </w:rPr>
        <w:t xml:space="preserve"> This figure largely parallels Supplementary Figure S1 but with an overnight turbidostat culture instead of an overnight batch culture. (a) A schematic representation of the experimental procedure and the associated kinetic model</w:t>
      </w:r>
      <w:r>
        <w:rPr>
          <w:rFonts w:ascii="Calibri" w:hAnsi="Calibri" w:cs="Calibri"/>
          <w:sz w:val="20"/>
          <w:szCs w:val="20"/>
        </w:rPr>
        <w:t>ing</w:t>
      </w:r>
      <w:r w:rsidRPr="009C0C28">
        <w:rPr>
          <w:rFonts w:ascii="Calibri" w:hAnsi="Calibri" w:cs="Calibri"/>
          <w:sz w:val="20"/>
          <w:szCs w:val="20"/>
        </w:rPr>
        <w:t xml:space="preserve"> for each step. </w:t>
      </w:r>
      <w:r>
        <w:rPr>
          <w:rFonts w:ascii="Calibri" w:hAnsi="Calibri" w:cs="Calibri"/>
          <w:sz w:val="20"/>
          <w:szCs w:val="20"/>
        </w:rPr>
        <w:t xml:space="preserve">The prior art model is the spontaneous-persister-formation model </w:t>
      </w:r>
      <w:r>
        <w:rPr>
          <w:rFonts w:ascii="Calibri" w:hAnsi="Calibri" w:cs="Calibri"/>
          <w:sz w:val="20"/>
          <w:szCs w:val="20"/>
        </w:rPr>
        <w:lastRenderedPageBreak/>
        <w:t xml:space="preserve">developed by Balaban </w:t>
      </w:r>
      <w:r w:rsidRPr="000164D0">
        <w:rPr>
          <w:rFonts w:ascii="Calibri" w:hAnsi="Calibri" w:cs="Calibri"/>
          <w:i/>
          <w:sz w:val="20"/>
          <w:szCs w:val="20"/>
        </w:rPr>
        <w:t>et. al.</w:t>
      </w:r>
      <w:r>
        <w:rPr>
          <w:rFonts w:ascii="Calibri" w:hAnsi="Calibri" w:cs="Calibri"/>
          <w:sz w:val="20"/>
          <w:szCs w:val="20"/>
        </w:rPr>
        <w:t xml:space="preserve"> (2004). </w:t>
      </w:r>
      <w:r w:rsidRPr="009C0C28">
        <w:rPr>
          <w:rFonts w:ascii="Calibri" w:hAnsi="Calibri" w:cs="Calibri"/>
          <w:sz w:val="20"/>
          <w:szCs w:val="20"/>
        </w:rPr>
        <w:t xml:space="preserve">The pre-existing persister model (b) cannot fit our experimental data because the </w:t>
      </w:r>
      <w:r>
        <w:rPr>
          <w:rFonts w:ascii="Calibri" w:hAnsi="Calibri" w:cs="Calibri"/>
          <w:sz w:val="20"/>
          <w:szCs w:val="20"/>
        </w:rPr>
        <w:t xml:space="preserve">continuous </w:t>
      </w:r>
      <w:r w:rsidRPr="009C0C28">
        <w:rPr>
          <w:rFonts w:ascii="Calibri" w:hAnsi="Calibri" w:cs="Calibri"/>
          <w:sz w:val="20"/>
          <w:szCs w:val="20"/>
        </w:rPr>
        <w:t>turbidostat</w:t>
      </w:r>
      <w:r>
        <w:rPr>
          <w:rFonts w:ascii="Calibri" w:hAnsi="Calibri" w:cs="Calibri"/>
          <w:sz w:val="20"/>
          <w:szCs w:val="20"/>
        </w:rPr>
        <w:t>ic</w:t>
      </w:r>
      <w:r w:rsidRPr="009C0C2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cultivation </w:t>
      </w:r>
      <w:r w:rsidRPr="009C0C28">
        <w:rPr>
          <w:rFonts w:ascii="Calibri" w:hAnsi="Calibri" w:cs="Calibri"/>
          <w:sz w:val="20"/>
          <w:szCs w:val="20"/>
        </w:rPr>
        <w:t xml:space="preserve">removes virtually all pre-existing persisters from the seed culture. Simulation results show that our drug-induced persister model faithfully captures all experimental data (c) while </w:t>
      </w:r>
      <w:r>
        <w:rPr>
          <w:rFonts w:ascii="Calibri" w:hAnsi="Calibri" w:cs="Calibri"/>
          <w:sz w:val="20"/>
          <w:szCs w:val="20"/>
        </w:rPr>
        <w:t xml:space="preserve">the prior </w:t>
      </w:r>
      <w:r w:rsidRPr="009C0C28">
        <w:rPr>
          <w:rFonts w:ascii="Calibri" w:hAnsi="Calibri" w:cs="Calibri"/>
          <w:sz w:val="20"/>
          <w:szCs w:val="20"/>
        </w:rPr>
        <w:t>spontaneous</w:t>
      </w:r>
      <w:r>
        <w:rPr>
          <w:rFonts w:ascii="Calibri" w:hAnsi="Calibri" w:cs="Calibri"/>
          <w:sz w:val="20"/>
          <w:szCs w:val="20"/>
        </w:rPr>
        <w:t>-</w:t>
      </w:r>
      <w:r w:rsidRPr="009C0C28">
        <w:rPr>
          <w:rFonts w:ascii="Calibri" w:hAnsi="Calibri" w:cs="Calibri"/>
          <w:sz w:val="20"/>
          <w:szCs w:val="20"/>
        </w:rPr>
        <w:t>persister</w:t>
      </w:r>
      <w:r>
        <w:rPr>
          <w:rFonts w:ascii="Calibri" w:hAnsi="Calibri" w:cs="Calibri"/>
          <w:sz w:val="20"/>
          <w:szCs w:val="20"/>
        </w:rPr>
        <w:t>-</w:t>
      </w:r>
      <w:r w:rsidRPr="009C0C28">
        <w:rPr>
          <w:rFonts w:ascii="Calibri" w:hAnsi="Calibri" w:cs="Calibri"/>
          <w:sz w:val="20"/>
          <w:szCs w:val="20"/>
        </w:rPr>
        <w:t>formation model</w:t>
      </w:r>
      <w:r>
        <w:rPr>
          <w:rFonts w:ascii="Calibri" w:hAnsi="Calibri" w:cs="Calibri"/>
          <w:sz w:val="20"/>
          <w:szCs w:val="20"/>
        </w:rPr>
        <w:t xml:space="preserve"> </w:t>
      </w:r>
      <w:r w:rsidRPr="009C0C28">
        <w:rPr>
          <w:rFonts w:ascii="Calibri" w:hAnsi="Calibri" w:cs="Calibri"/>
          <w:sz w:val="20"/>
          <w:szCs w:val="20"/>
        </w:rPr>
        <w:t xml:space="preserve">does not (d). Incorporation of </w:t>
      </w:r>
      <w:r>
        <w:rPr>
          <w:rFonts w:ascii="Calibri" w:hAnsi="Calibri" w:cs="Calibri"/>
          <w:sz w:val="20"/>
          <w:szCs w:val="20"/>
        </w:rPr>
        <w:t>spontaneous persister formation</w:t>
      </w:r>
      <w:r w:rsidRPr="009C0C28">
        <w:rPr>
          <w:rFonts w:ascii="Calibri" w:hAnsi="Calibri" w:cs="Calibri"/>
          <w:sz w:val="20"/>
          <w:szCs w:val="20"/>
        </w:rPr>
        <w:t xml:space="preserve"> is not necessary because the contribution of spontaneous persisters </w:t>
      </w:r>
      <w:r>
        <w:rPr>
          <w:rFonts w:ascii="Calibri" w:hAnsi="Calibri" w:cs="Calibri"/>
          <w:sz w:val="20"/>
          <w:szCs w:val="20"/>
        </w:rPr>
        <w:t>is negligible</w:t>
      </w:r>
      <w:r w:rsidRPr="009C0C2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compared to the drug-induced persisters </w:t>
      </w:r>
      <w:r w:rsidRPr="009C0C28">
        <w:rPr>
          <w:rFonts w:ascii="Calibri" w:hAnsi="Calibri" w:cs="Calibri"/>
          <w:sz w:val="20"/>
          <w:szCs w:val="20"/>
        </w:rPr>
        <w:t xml:space="preserve">(e). To explore the possibility for </w:t>
      </w:r>
      <w:r>
        <w:rPr>
          <w:rFonts w:ascii="Calibri" w:hAnsi="Calibri" w:cs="Calibri"/>
          <w:sz w:val="20"/>
          <w:szCs w:val="20"/>
        </w:rPr>
        <w:t xml:space="preserve">the prior art </w:t>
      </w:r>
      <w:r w:rsidRPr="009C0C28">
        <w:rPr>
          <w:rFonts w:ascii="Calibri" w:hAnsi="Calibri" w:cs="Calibri"/>
          <w:sz w:val="20"/>
          <w:szCs w:val="20"/>
        </w:rPr>
        <w:t>model to fit our experimental data, we arbitrarily increased the spontaneous persister formation rate (</w:t>
      </w:r>
      <w:r w:rsidRPr="009C0C28">
        <w:rPr>
          <w:rFonts w:ascii="Calibri" w:hAnsi="Calibri" w:cs="Calibri"/>
          <w:i/>
          <w:sz w:val="20"/>
          <w:szCs w:val="20"/>
        </w:rPr>
        <w:t>a</w:t>
      </w:r>
      <w:r w:rsidRPr="009C0C28">
        <w:rPr>
          <w:rFonts w:ascii="Calibri" w:hAnsi="Calibri" w:cs="Calibri"/>
          <w:i/>
          <w:sz w:val="20"/>
          <w:szCs w:val="20"/>
          <w:vertAlign w:val="subscript"/>
        </w:rPr>
        <w:t>2</w:t>
      </w:r>
      <w:r w:rsidRPr="009C0C28">
        <w:rPr>
          <w:rFonts w:ascii="Calibri" w:hAnsi="Calibri" w:cs="Calibri"/>
          <w:sz w:val="20"/>
          <w:szCs w:val="20"/>
        </w:rPr>
        <w:t xml:space="preserve">) </w:t>
      </w:r>
      <w:r>
        <w:rPr>
          <w:rFonts w:ascii="Calibri" w:hAnsi="Calibri" w:cs="Calibri"/>
          <w:sz w:val="20"/>
          <w:szCs w:val="20"/>
        </w:rPr>
        <w:t xml:space="preserve">for the wild-type strain </w:t>
      </w:r>
      <w:r w:rsidRPr="009C0C28">
        <w:rPr>
          <w:rFonts w:ascii="Calibri" w:hAnsi="Calibri" w:cs="Calibri"/>
          <w:sz w:val="20"/>
          <w:szCs w:val="20"/>
        </w:rPr>
        <w:t xml:space="preserve">to </w:t>
      </w:r>
      <w:r>
        <w:rPr>
          <w:rFonts w:ascii="Calibri" w:hAnsi="Calibri" w:cs="Calibri"/>
          <w:sz w:val="20"/>
          <w:szCs w:val="20"/>
        </w:rPr>
        <w:t xml:space="preserve">biologically implausible </w:t>
      </w:r>
      <w:r w:rsidRPr="009C0C28">
        <w:rPr>
          <w:rFonts w:ascii="Calibri" w:hAnsi="Calibri" w:cs="Calibri"/>
          <w:sz w:val="20"/>
          <w:szCs w:val="20"/>
        </w:rPr>
        <w:t xml:space="preserve">values by 10-fold (f) or 200-fold (g). We found that the spontaneous persister formation rate must increase by at least 200-fold to achieve a reasonable fit (g). In other words, only when the spontaneous persister formation rate becomes orders of magnitude larger than </w:t>
      </w:r>
      <w:r>
        <w:rPr>
          <w:rFonts w:ascii="Calibri" w:hAnsi="Calibri" w:cs="Calibri"/>
          <w:sz w:val="20"/>
          <w:szCs w:val="20"/>
        </w:rPr>
        <w:t>reported</w:t>
      </w:r>
      <w:r w:rsidRPr="009C0C2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value </w:t>
      </w:r>
      <w:r w:rsidRPr="009C0C28">
        <w:rPr>
          <w:rFonts w:ascii="Calibri" w:hAnsi="Calibri" w:cs="Calibri"/>
          <w:sz w:val="20"/>
          <w:szCs w:val="20"/>
        </w:rPr>
        <w:t xml:space="preserve">can </w:t>
      </w:r>
      <w:r>
        <w:rPr>
          <w:rFonts w:ascii="Calibri" w:hAnsi="Calibri" w:cs="Calibri"/>
          <w:sz w:val="20"/>
          <w:szCs w:val="20"/>
        </w:rPr>
        <w:t>the spontaneous-persister-formation</w:t>
      </w:r>
      <w:r w:rsidRPr="009C0C28">
        <w:rPr>
          <w:rFonts w:ascii="Calibri" w:hAnsi="Calibri" w:cs="Calibri"/>
          <w:sz w:val="20"/>
          <w:szCs w:val="20"/>
        </w:rPr>
        <w:t xml:space="preserve"> model begin to capture the observed experimental data.</w:t>
      </w:r>
      <w:r>
        <w:rPr>
          <w:rFonts w:ascii="Calibri" w:hAnsi="Calibri" w:cs="Calibri"/>
          <w:sz w:val="20"/>
          <w:szCs w:val="20"/>
        </w:rPr>
        <w:t xml:space="preserve"> </w:t>
      </w:r>
      <w:r w:rsidRPr="009C0C28">
        <w:rPr>
          <w:rFonts w:ascii="Calibri" w:hAnsi="Calibri" w:cs="Calibri"/>
          <w:sz w:val="20"/>
          <w:szCs w:val="20"/>
        </w:rPr>
        <w:t>In panels b-g, the curves for the 20-, 200-, and 2000-fold diluted cultures are time-shifted to align the start of drug treatment at t = 0. The inoculation times of these diluted pre-drug cultures are marked by arrows, with the 2000-fold diluted culture starting at 5 hours before drug exposure (-5 h).</w:t>
      </w:r>
      <w:r>
        <w:rPr>
          <w:rFonts w:ascii="Calibri" w:hAnsi="Calibri" w:cs="Calibr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The experimental data for fitting are from Fig. 2c, an ampicillin SDTK assay performed on turbidostat-seeded wild-type </w:t>
      </w:r>
      <w:r>
        <w:rPr>
          <w:rFonts w:cstheme="minorHAnsi"/>
          <w:i/>
          <w:iCs/>
          <w:sz w:val="20"/>
          <w:szCs w:val="20"/>
        </w:rPr>
        <w:t>E coli</w:t>
      </w:r>
      <w:r>
        <w:rPr>
          <w:rFonts w:cstheme="minorHAnsi"/>
          <w:sz w:val="20"/>
          <w:szCs w:val="20"/>
        </w:rPr>
        <w:t xml:space="preserve"> cultures.</w:t>
      </w:r>
    </w:p>
    <w:p w14:paraId="1CDB398D" w14:textId="77777777" w:rsidR="00B160AB" w:rsidRDefault="00B160AB" w:rsidP="00B160AB">
      <w:pPr>
        <w:jc w:val="both"/>
        <w:rPr>
          <w:rFonts w:ascii="Times New Roman" w:hAnsi="Times New Roman" w:cs="Times New Roman"/>
        </w:rPr>
      </w:pPr>
    </w:p>
    <w:p w14:paraId="213B91DE" w14:textId="77777777" w:rsidR="00B160AB" w:rsidRDefault="00B160AB" w:rsidP="00B160AB"/>
    <w:p w14:paraId="0557BB9B" w14:textId="77777777" w:rsidR="00B160AB" w:rsidRDefault="00B160AB" w:rsidP="00B160AB">
      <w:r>
        <w:br w:type="page"/>
      </w:r>
    </w:p>
    <w:p w14:paraId="11C4E781" w14:textId="77777777" w:rsidR="00B160AB" w:rsidRDefault="00B160AB" w:rsidP="00B160AB"/>
    <w:p w14:paraId="49F1EA33" w14:textId="77777777" w:rsidR="00B160AB" w:rsidRDefault="00B160AB" w:rsidP="00B160AB">
      <w:r w:rsidRPr="00287DB8">
        <w:rPr>
          <w:noProof/>
        </w:rPr>
        <w:drawing>
          <wp:inline distT="0" distB="0" distL="0" distR="0" wp14:anchorId="050F1B76" wp14:editId="2F9D42E1">
            <wp:extent cx="5943600" cy="1699498"/>
            <wp:effectExtent l="0" t="0" r="0" b="0"/>
            <wp:docPr id="6" name="Picture 6" descr="C:\Users\f003vn7\Dropbox\Drug persistence modeling\111 Manuscript\Supplemental materials\Figure Supple PNG\Fig S3 rapid rise 1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003vn7\Dropbox\Drug persistence modeling\111 Manuscript\Supplemental materials\Figure Supple PNG\Fig S3 rapid rise 1-2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2720E" w14:textId="77777777" w:rsidR="00B160AB" w:rsidRPr="00B502B6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Fonts w:ascii="Calibri" w:hAnsi="Calibri" w:cs="Calibri"/>
          <w:b/>
          <w:bCs/>
          <w:sz w:val="20"/>
          <w:szCs w:val="20"/>
        </w:rPr>
        <w:t xml:space="preserve">Supplementary </w:t>
      </w:r>
      <w:r w:rsidRPr="00B502B6">
        <w:rPr>
          <w:rFonts w:ascii="Calibri" w:hAnsi="Calibri" w:cs="Calibri"/>
          <w:b/>
          <w:sz w:val="20"/>
          <w:szCs w:val="20"/>
        </w:rPr>
        <w:t xml:space="preserve">Fig. S3. Model simulation of persister dynamics in cultures derived from 10,000-fold seed dilution. </w:t>
      </w:r>
      <w:r w:rsidRPr="00B502B6">
        <w:rPr>
          <w:rFonts w:ascii="Calibri" w:hAnsi="Calibri" w:cs="Calibri"/>
          <w:sz w:val="20"/>
          <w:szCs w:val="20"/>
        </w:rPr>
        <w:t>(a) Dynamics of persisters and total cells exposed to ampicillin. (b) Relative composition of surviving cells over 8 hours of treatment with ampicillin. (c) Relative fractions of pre-existing and drug-induced persisters in the first 30 min upon ampicillin exposure. The relative ratio reaches a steady state within 20 min of exposure.</w:t>
      </w:r>
    </w:p>
    <w:p w14:paraId="38CE6086" w14:textId="77777777" w:rsidR="00B160AB" w:rsidRDefault="00B160AB" w:rsidP="00B160AB">
      <w:r>
        <w:br w:type="page"/>
      </w:r>
    </w:p>
    <w:p w14:paraId="6059BB8F" w14:textId="77777777" w:rsidR="00B160AB" w:rsidRDefault="00B160AB" w:rsidP="00B160AB">
      <w:pPr>
        <w:jc w:val="center"/>
      </w:pPr>
      <w:r w:rsidRPr="00233D2F">
        <w:rPr>
          <w:noProof/>
        </w:rPr>
        <w:lastRenderedPageBreak/>
        <w:drawing>
          <wp:inline distT="0" distB="0" distL="0" distR="0" wp14:anchorId="3F1B7061" wp14:editId="1AB30D63">
            <wp:extent cx="5943600" cy="2743200"/>
            <wp:effectExtent l="0" t="0" r="0" b="0"/>
            <wp:docPr id="12" name="Picture 12" descr="C:\Users\f003vn7\Dropbox\Drug persistence modeling\111 Manuscript\Supplemental materials\Fig S4 – Multi-Drug Pre-Existing vs 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003vn7\Dropbox\Drug persistence modeling\111 Manuscript\Supplemental materials\Fig S4 – Multi-Drug Pre-Existing vs  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D56B5" w14:textId="77777777" w:rsidR="00B160AB" w:rsidRPr="00B502B6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Fonts w:ascii="Calibri" w:hAnsi="Calibri" w:cs="Calibri"/>
          <w:b/>
          <w:bCs/>
          <w:sz w:val="20"/>
          <w:szCs w:val="20"/>
        </w:rPr>
        <w:t xml:space="preserve">Supplementary </w:t>
      </w:r>
      <w:r w:rsidRPr="00B502B6">
        <w:rPr>
          <w:rFonts w:ascii="Calibri" w:hAnsi="Calibri" w:cs="Calibri"/>
          <w:b/>
          <w:sz w:val="20"/>
          <w:szCs w:val="20"/>
        </w:rPr>
        <w:t>Fig. S4. Same exponential</w:t>
      </w:r>
      <w:r>
        <w:rPr>
          <w:rFonts w:ascii="Calibri" w:hAnsi="Calibri" w:cs="Calibri"/>
          <w:b/>
          <w:sz w:val="20"/>
          <w:szCs w:val="20"/>
        </w:rPr>
        <w:t xml:space="preserve">-phase cultures were treated with </w:t>
      </w:r>
      <w:r w:rsidRPr="00B502B6">
        <w:rPr>
          <w:rFonts w:ascii="Calibri" w:hAnsi="Calibri" w:cs="Calibri"/>
          <w:b/>
          <w:sz w:val="20"/>
          <w:szCs w:val="20"/>
        </w:rPr>
        <w:t>different antibiotics.</w:t>
      </w:r>
      <w:r w:rsidRPr="00B502B6">
        <w:rPr>
          <w:rFonts w:ascii="Calibri" w:hAnsi="Calibri" w:cs="Calibri"/>
          <w:sz w:val="20"/>
          <w:szCs w:val="20"/>
        </w:rPr>
        <w:t xml:space="preserve"> (a) </w:t>
      </w:r>
      <w:r>
        <w:rPr>
          <w:rFonts w:ascii="Calibri" w:hAnsi="Calibri" w:cs="Calibri"/>
          <w:sz w:val="20"/>
          <w:szCs w:val="20"/>
        </w:rPr>
        <w:t>Simulation of a static persister model assuming</w:t>
      </w:r>
      <w:r w:rsidRPr="00B502B6">
        <w:rPr>
          <w:rFonts w:ascii="Calibri" w:hAnsi="Calibri" w:cs="Calibri"/>
          <w:sz w:val="20"/>
          <w:szCs w:val="20"/>
        </w:rPr>
        <w:t xml:space="preserve"> that the same pre-existing subpopulation is persistent to different antibiotics. (b) Experimental data showing the same cultures treated by ampicillin (Amp), ciprofloxacin (Cip), and kanamycin (Kan), each at 10x MICs. </w:t>
      </w:r>
      <w:r>
        <w:rPr>
          <w:rFonts w:ascii="Calibri" w:hAnsi="Calibri" w:cs="Calibri"/>
          <w:sz w:val="20"/>
          <w:szCs w:val="20"/>
        </w:rPr>
        <w:t xml:space="preserve">Antibiotics select and induce distinct subsets of persisters with substantial differences in fractions. </w:t>
      </w:r>
      <w:r w:rsidRPr="00B502B6">
        <w:rPr>
          <w:rFonts w:ascii="Calibri" w:hAnsi="Calibri" w:cs="Calibri"/>
          <w:sz w:val="20"/>
          <w:szCs w:val="20"/>
        </w:rPr>
        <w:t>The data support the drug-induced persister model and rule out the static model in which the same persister subpopulation is assumed to tolerate different antibiotics. Data points represent means ± SD from four replicates across two independent experiments.</w:t>
      </w:r>
    </w:p>
    <w:p w14:paraId="7C743DF5" w14:textId="77777777" w:rsidR="00B160AB" w:rsidRDefault="00B160AB" w:rsidP="00B160AB">
      <w:r>
        <w:br w:type="page"/>
      </w:r>
    </w:p>
    <w:p w14:paraId="1279E8E7" w14:textId="77777777" w:rsidR="00B160AB" w:rsidRDefault="00B160AB" w:rsidP="00B160AB"/>
    <w:p w14:paraId="69E893FF" w14:textId="77777777" w:rsidR="00B160AB" w:rsidRDefault="00B160AB" w:rsidP="00B160AB">
      <w:pPr>
        <w:jc w:val="center"/>
      </w:pPr>
      <w:r>
        <w:rPr>
          <w:noProof/>
        </w:rPr>
        <w:drawing>
          <wp:inline distT="0" distB="0" distL="0" distR="0" wp14:anchorId="621541C4" wp14:editId="6488DBE2">
            <wp:extent cx="4377350" cy="2355517"/>
            <wp:effectExtent l="0" t="0" r="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211" cy="2366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8292AD" w14:textId="77777777" w:rsidR="00B160AB" w:rsidRPr="00B502B6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Style w:val="Strong"/>
          <w:rFonts w:ascii="Calibri" w:hAnsi="Calibri" w:cs="Calibri"/>
          <w:sz w:val="20"/>
          <w:szCs w:val="20"/>
        </w:rPr>
        <w:t>Supplementary Fig. S5.</w:t>
      </w:r>
      <w:r w:rsidRPr="00B502B6">
        <w:rPr>
          <w:rFonts w:ascii="Calibri" w:hAnsi="Calibri" w:cs="Calibri"/>
          <w:b/>
          <w:bCs/>
          <w:sz w:val="20"/>
          <w:szCs w:val="20"/>
        </w:rPr>
        <w:t xml:space="preserve"> The small colonies observed after </w:t>
      </w:r>
      <w:r>
        <w:rPr>
          <w:rFonts w:ascii="Calibri" w:hAnsi="Calibri" w:cs="Calibri"/>
          <w:b/>
          <w:bCs/>
          <w:sz w:val="20"/>
          <w:szCs w:val="20"/>
        </w:rPr>
        <w:t>antibiotic</w:t>
      </w:r>
      <w:r w:rsidRPr="00B502B6">
        <w:rPr>
          <w:rFonts w:ascii="Calibri" w:hAnsi="Calibri" w:cs="Calibri"/>
          <w:b/>
          <w:bCs/>
          <w:sz w:val="20"/>
          <w:szCs w:val="20"/>
        </w:rPr>
        <w:t xml:space="preserve"> treatment do not result from genetic mutations.</w:t>
      </w:r>
      <w:r w:rsidRPr="00B502B6">
        <w:rPr>
          <w:rFonts w:ascii="Calibri" w:hAnsi="Calibri" w:cs="Calibri"/>
          <w:sz w:val="20"/>
          <w:szCs w:val="20"/>
        </w:rPr>
        <w:t xml:space="preserve"> When isolated and regrown, the small colonies emerging from ciprofloxacin treatment display colony size and morphology indistinguishable from the wild type prior to antibiotic exposure. Exponential-phase cultures were treated with ciprofloxacin (Cip) for 4 hours, after which persister cells were washed and plated on LB agar. Plates were incubated at 37 °C for 20 hours and then at room temperature for an additional </w:t>
      </w:r>
      <w:r>
        <w:rPr>
          <w:rFonts w:ascii="Calibri" w:hAnsi="Calibri" w:cs="Calibri"/>
          <w:sz w:val="20"/>
          <w:szCs w:val="20"/>
        </w:rPr>
        <w:t>1-2 days</w:t>
      </w:r>
      <w:r w:rsidRPr="00B502B6">
        <w:rPr>
          <w:rFonts w:ascii="Calibri" w:hAnsi="Calibri" w:cs="Calibri"/>
          <w:sz w:val="20"/>
          <w:szCs w:val="20"/>
        </w:rPr>
        <w:t xml:space="preserve"> to allow small colonies to emerge. These small colonies were randomly picked, grown in LB broth to exponential phase, and replated on LB agar to assess their colony size</w:t>
      </w:r>
      <w:r>
        <w:rPr>
          <w:rFonts w:ascii="Calibri" w:hAnsi="Calibri" w:cs="Calibri"/>
          <w:sz w:val="20"/>
          <w:szCs w:val="20"/>
        </w:rPr>
        <w:t>s</w:t>
      </w:r>
      <w:r w:rsidRPr="00B502B6">
        <w:rPr>
          <w:rFonts w:ascii="Calibri" w:hAnsi="Calibri" w:cs="Calibri"/>
          <w:sz w:val="20"/>
          <w:szCs w:val="20"/>
        </w:rPr>
        <w:t xml:space="preserve"> and morphology. In all cases, the regrown colonies matched wild-type characteristics, confirming that the initial small-colony phenotype was transient and not mutation-driven.</w:t>
      </w:r>
    </w:p>
    <w:p w14:paraId="1E41C60D" w14:textId="77777777" w:rsidR="00B160AB" w:rsidRDefault="00B160AB" w:rsidP="00B160AB"/>
    <w:p w14:paraId="5C5793F9" w14:textId="77777777" w:rsidR="00B160AB" w:rsidRDefault="00B160AB" w:rsidP="00B160AB">
      <w:r>
        <w:br w:type="page"/>
      </w:r>
    </w:p>
    <w:p w14:paraId="26D49A97" w14:textId="77777777" w:rsidR="00B160AB" w:rsidRDefault="00B160AB" w:rsidP="00B160AB">
      <w:pPr>
        <w:jc w:val="center"/>
      </w:pPr>
      <w:r w:rsidRPr="006508C2">
        <w:rPr>
          <w:noProof/>
        </w:rPr>
        <w:lastRenderedPageBreak/>
        <w:drawing>
          <wp:inline distT="0" distB="0" distL="0" distR="0" wp14:anchorId="71686B94" wp14:editId="4DF3FDFB">
            <wp:extent cx="5943600" cy="2808222"/>
            <wp:effectExtent l="0" t="0" r="0" b="0"/>
            <wp:docPr id="4" name="Picture 4" descr="C:\Users\f003vn7\Dropbox\Drug persistence modeling\111 Manuscript\Supplemental materials\Fig S1-S8 Tiff\Fig S6 24h   12-30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003vn7\Dropbox\Drug persistence modeling\111 Manuscript\Supplemental materials\Fig S1-S8 Tiff\Fig S6 24h   12-30.tiff"/>
                    <pic:cNvPicPr>
                      <a:picLocks noChangeAspect="1" noChangeArrowheads="1" noCrop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08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B523F" w14:textId="77777777" w:rsidR="00B160AB" w:rsidRPr="00B502B6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Style w:val="Strong"/>
          <w:rFonts w:ascii="Calibri" w:hAnsi="Calibri" w:cs="Calibri"/>
          <w:sz w:val="20"/>
          <w:szCs w:val="20"/>
        </w:rPr>
        <w:t>Fig. S6.</w:t>
      </w:r>
      <w:r w:rsidRPr="00B502B6">
        <w:rPr>
          <w:rFonts w:ascii="Calibri" w:hAnsi="Calibri" w:cs="Calibri"/>
          <w:b/>
          <w:bCs/>
          <w:sz w:val="20"/>
          <w:szCs w:val="20"/>
        </w:rPr>
        <w:t xml:space="preserve"> Extended time</w:t>
      </w:r>
      <w:r w:rsidRPr="00B502B6">
        <w:rPr>
          <w:rFonts w:ascii="Calibri" w:hAnsi="Calibri" w:cs="Calibri"/>
          <w:b/>
          <w:sz w:val="20"/>
          <w:szCs w:val="20"/>
        </w:rPr>
        <w:t>-kill assays over a 24-hour period.</w:t>
      </w:r>
      <w:r w:rsidRPr="00B502B6">
        <w:rPr>
          <w:rFonts w:ascii="Calibri" w:hAnsi="Calibri" w:cs="Calibri"/>
          <w:sz w:val="20"/>
          <w:szCs w:val="20"/>
        </w:rPr>
        <w:t xml:space="preserve"> (</w:t>
      </w:r>
      <w:r w:rsidRPr="00B502B6">
        <w:rPr>
          <w:rFonts w:ascii="Calibri" w:hAnsi="Calibri" w:cs="Calibri"/>
          <w:bCs/>
          <w:sz w:val="20"/>
          <w:szCs w:val="20"/>
        </w:rPr>
        <w:t>a)</w:t>
      </w:r>
      <w:r w:rsidRPr="00B502B6">
        <w:rPr>
          <w:rFonts w:ascii="Calibri" w:hAnsi="Calibri" w:cs="Calibri"/>
          <w:sz w:val="20"/>
          <w:szCs w:val="20"/>
        </w:rPr>
        <w:t xml:space="preserve"> Time-kill kinetics of cultures treated with ampicillin, initiated from a 1,000-fold diluted inoculum. (b) Time-kill kinetics of cultures treated with ciprofloxacin, initiated from a 100-fold diluted inoculum.</w:t>
      </w:r>
      <w:r w:rsidRPr="00B502B6">
        <w:rPr>
          <w:rFonts w:ascii="Calibri" w:hAnsi="Calibri" w:cs="Calibri"/>
          <w:b/>
          <w:sz w:val="20"/>
          <w:szCs w:val="20"/>
        </w:rPr>
        <w:t xml:space="preserve"> </w:t>
      </w:r>
      <w:r w:rsidRPr="00B502B6">
        <w:rPr>
          <w:rFonts w:ascii="Calibri" w:hAnsi="Calibri" w:cs="Calibri"/>
          <w:sz w:val="20"/>
          <w:szCs w:val="20"/>
        </w:rPr>
        <w:t>The killing dynamics exhibit at least three distinct phases. During the first 7~8 hours, two major phases are evident: rapid killing of susceptible cells, followed by slower killing of the persister subpopulation. From around 8 to 24 hours, a third phase becomes apparent, corresponding to the slowest elimination of an extremely small subpopulation of highly persistent cells. These “high-persistence” subsets were orders of magnitude smaller than the major persister fraction (~0.1%). Because this subset is negligible relative to the primary killing phases, our drug-induced kinetic model does not incorporate this ultra-rare persistence component. Data represent means ± SD from four replicates across two independent experiments.</w:t>
      </w:r>
    </w:p>
    <w:p w14:paraId="0FCF07FE" w14:textId="77777777" w:rsidR="00B160AB" w:rsidRDefault="00B160AB" w:rsidP="00B160AB">
      <w:r>
        <w:br w:type="page"/>
      </w:r>
    </w:p>
    <w:p w14:paraId="14724B3B" w14:textId="77777777" w:rsidR="00B160AB" w:rsidRDefault="00B160AB" w:rsidP="00B160AB">
      <w:r w:rsidRPr="002675A4">
        <w:rPr>
          <w:noProof/>
        </w:rPr>
        <w:lastRenderedPageBreak/>
        <w:drawing>
          <wp:inline distT="0" distB="0" distL="0" distR="0" wp14:anchorId="246371B5" wp14:editId="160DF955">
            <wp:extent cx="4958297" cy="168582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2802" cy="169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CD37F" w14:textId="77777777" w:rsidR="00B160AB" w:rsidRPr="00B502B6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Fonts w:ascii="Calibri" w:hAnsi="Calibri" w:cs="Calibri"/>
          <w:b/>
          <w:sz w:val="20"/>
          <w:szCs w:val="20"/>
        </w:rPr>
        <w:t>Fig. S7 Sequential drug treatments for cultures with extended exposure.</w:t>
      </w:r>
      <w:r w:rsidRPr="00B502B6">
        <w:rPr>
          <w:rFonts w:ascii="Calibri" w:hAnsi="Calibri" w:cs="Calibri"/>
          <w:sz w:val="20"/>
          <w:szCs w:val="20"/>
        </w:rPr>
        <w:t xml:space="preserve">  (a) Bacteria were treated with ampicillin (Amp) for 23 h before exposed to kanamycin (Kan). (b) Bacteria were treated with Amp for 6 h before exposed to ciprofloxacin (Cip) or Amp.</w:t>
      </w:r>
      <w:r>
        <w:rPr>
          <w:rFonts w:ascii="Calibri" w:hAnsi="Calibri" w:cs="Calibri"/>
          <w:sz w:val="20"/>
          <w:szCs w:val="20"/>
        </w:rPr>
        <w:t xml:space="preserve"> Data represent </w:t>
      </w:r>
      <w:r w:rsidRPr="00B502B6">
        <w:rPr>
          <w:rFonts w:ascii="Calibri" w:hAnsi="Calibri" w:cs="Calibri"/>
          <w:sz w:val="20"/>
          <w:szCs w:val="20"/>
        </w:rPr>
        <w:t>means ± SD from four replicates across two independent experiments.</w:t>
      </w:r>
    </w:p>
    <w:p w14:paraId="0A0AB0C4" w14:textId="77777777" w:rsidR="00B160AB" w:rsidRDefault="00B160AB" w:rsidP="00B160AB">
      <w:r>
        <w:br w:type="page"/>
      </w:r>
      <w:r w:rsidRPr="003D1C04">
        <w:rPr>
          <w:noProof/>
        </w:rPr>
        <w:lastRenderedPageBreak/>
        <w:drawing>
          <wp:inline distT="0" distB="0" distL="0" distR="0" wp14:anchorId="3122FDC8" wp14:editId="266EBB92">
            <wp:extent cx="5943600" cy="1742906"/>
            <wp:effectExtent l="0" t="0" r="0" b="0"/>
            <wp:docPr id="7" name="Picture 7" descr="C:\Users\f003vn7\Dropbox\Drug persistence modeling\111 Manuscript\Supplemental materials\Fig S1-S8 Tiff\Fig S8 1000x sequential treatment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003vn7\Dropbox\Drug persistence modeling\111 Manuscript\Supplemental materials\Fig S1-S8 Tiff\Fig S8 1000x sequential treatments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C0BF8" w14:textId="77777777" w:rsidR="00B160AB" w:rsidRDefault="00B160AB" w:rsidP="00B160AB">
      <w:pPr>
        <w:rPr>
          <w:rFonts w:ascii="Calibri" w:hAnsi="Calibri" w:cs="Calibri"/>
          <w:sz w:val="20"/>
          <w:szCs w:val="20"/>
        </w:rPr>
      </w:pPr>
      <w:r w:rsidRPr="00B502B6">
        <w:rPr>
          <w:rFonts w:ascii="Calibri" w:hAnsi="Calibri" w:cs="Calibri"/>
          <w:b/>
          <w:sz w:val="20"/>
          <w:szCs w:val="20"/>
        </w:rPr>
        <w:t>Fig. S</w:t>
      </w:r>
      <w:r>
        <w:rPr>
          <w:rFonts w:ascii="Calibri" w:hAnsi="Calibri" w:cs="Calibri"/>
          <w:b/>
          <w:sz w:val="20"/>
          <w:szCs w:val="20"/>
        </w:rPr>
        <w:t>8</w:t>
      </w:r>
      <w:r w:rsidRPr="00B502B6">
        <w:rPr>
          <w:rFonts w:ascii="Calibri" w:hAnsi="Calibri" w:cs="Calibri"/>
          <w:b/>
          <w:sz w:val="20"/>
          <w:szCs w:val="20"/>
        </w:rPr>
        <w:t xml:space="preserve"> Sequential drug treatments for cultures</w:t>
      </w:r>
      <w:r>
        <w:rPr>
          <w:rFonts w:ascii="Calibri" w:hAnsi="Calibri" w:cs="Calibri"/>
          <w:b/>
          <w:sz w:val="20"/>
          <w:szCs w:val="20"/>
        </w:rPr>
        <w:t xml:space="preserve"> derived from the 1,000-fold seed dilution</w:t>
      </w:r>
      <w:r w:rsidRPr="00B502B6">
        <w:rPr>
          <w:rFonts w:ascii="Calibri" w:hAnsi="Calibri" w:cs="Calibri"/>
          <w:b/>
          <w:sz w:val="20"/>
          <w:szCs w:val="20"/>
        </w:rPr>
        <w:t>.</w:t>
      </w:r>
      <w:r w:rsidRPr="00B502B6">
        <w:rPr>
          <w:rFonts w:ascii="Calibri" w:hAnsi="Calibri" w:cs="Calibri"/>
          <w:sz w:val="20"/>
          <w:szCs w:val="20"/>
        </w:rPr>
        <w:t xml:space="preserve">  (a) </w:t>
      </w:r>
      <w:r>
        <w:rPr>
          <w:rFonts w:ascii="Calibri" w:hAnsi="Calibri" w:cs="Calibri"/>
          <w:sz w:val="20"/>
          <w:szCs w:val="20"/>
        </w:rPr>
        <w:t>Exponential-phase cultures were treated</w:t>
      </w:r>
      <w:r w:rsidRPr="00B502B6">
        <w:rPr>
          <w:rFonts w:ascii="Calibri" w:hAnsi="Calibri" w:cs="Calibri"/>
          <w:sz w:val="20"/>
          <w:szCs w:val="20"/>
        </w:rPr>
        <w:t xml:space="preserve"> with ampicillin (Amp) for 2 h</w:t>
      </w:r>
      <w:r>
        <w:rPr>
          <w:rFonts w:ascii="Calibri" w:hAnsi="Calibri" w:cs="Calibri"/>
          <w:sz w:val="20"/>
          <w:szCs w:val="20"/>
        </w:rPr>
        <w:t>, followed by</w:t>
      </w:r>
      <w:r w:rsidRPr="00B502B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exposure</w:t>
      </w:r>
      <w:r w:rsidRPr="00B502B6">
        <w:rPr>
          <w:rFonts w:ascii="Calibri" w:hAnsi="Calibri" w:cs="Calibri"/>
          <w:sz w:val="20"/>
          <w:szCs w:val="20"/>
        </w:rPr>
        <w:t xml:space="preserve"> to ciprofloxacin (Cip)</w:t>
      </w:r>
      <w:r>
        <w:rPr>
          <w:rFonts w:ascii="Calibri" w:hAnsi="Calibri" w:cs="Calibri"/>
          <w:sz w:val="20"/>
          <w:szCs w:val="20"/>
        </w:rPr>
        <w:t>.</w:t>
      </w:r>
      <w:r w:rsidRPr="00B502B6">
        <w:rPr>
          <w:rFonts w:ascii="Calibri" w:hAnsi="Calibri" w:cs="Calibri"/>
          <w:sz w:val="20"/>
          <w:szCs w:val="20"/>
        </w:rPr>
        <w:t xml:space="preserve"> (b) </w:t>
      </w:r>
      <w:r>
        <w:rPr>
          <w:rFonts w:ascii="Calibri" w:hAnsi="Calibri" w:cs="Calibri"/>
          <w:sz w:val="20"/>
          <w:szCs w:val="20"/>
        </w:rPr>
        <w:t xml:space="preserve">Exponential-phase cultures were </w:t>
      </w:r>
      <w:r w:rsidRPr="00B502B6">
        <w:rPr>
          <w:rFonts w:ascii="Calibri" w:hAnsi="Calibri" w:cs="Calibri"/>
          <w:sz w:val="20"/>
          <w:szCs w:val="20"/>
        </w:rPr>
        <w:t>treate</w:t>
      </w:r>
      <w:r>
        <w:rPr>
          <w:rFonts w:ascii="Calibri" w:hAnsi="Calibri" w:cs="Calibri"/>
          <w:sz w:val="20"/>
          <w:szCs w:val="20"/>
        </w:rPr>
        <w:t>d with Cip for 2</w:t>
      </w:r>
      <w:r w:rsidRPr="00B502B6">
        <w:rPr>
          <w:rFonts w:ascii="Calibri" w:hAnsi="Calibri" w:cs="Calibri"/>
          <w:sz w:val="20"/>
          <w:szCs w:val="20"/>
        </w:rPr>
        <w:t xml:space="preserve"> h</w:t>
      </w:r>
      <w:r>
        <w:rPr>
          <w:rFonts w:ascii="Calibri" w:hAnsi="Calibri" w:cs="Calibri"/>
          <w:sz w:val="20"/>
          <w:szCs w:val="20"/>
        </w:rPr>
        <w:t xml:space="preserve">, </w:t>
      </w:r>
      <w:r w:rsidRPr="00355124">
        <w:rPr>
          <w:rFonts w:ascii="Calibri" w:hAnsi="Calibri" w:cs="Calibri"/>
          <w:sz w:val="20"/>
          <w:szCs w:val="20"/>
        </w:rPr>
        <w:t>followed by exposure to Amp.</w:t>
      </w:r>
      <w:r w:rsidRPr="00B502B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(c</w:t>
      </w:r>
      <w:r w:rsidRPr="00B502B6">
        <w:rPr>
          <w:rFonts w:ascii="Calibri" w:hAnsi="Calibri" w:cs="Calibri"/>
          <w:sz w:val="20"/>
          <w:szCs w:val="20"/>
        </w:rPr>
        <w:t xml:space="preserve">) </w:t>
      </w:r>
      <w:r>
        <w:rPr>
          <w:rFonts w:ascii="Calibri" w:hAnsi="Calibri" w:cs="Calibri"/>
          <w:sz w:val="20"/>
          <w:szCs w:val="20"/>
        </w:rPr>
        <w:t xml:space="preserve">Exponential-phase cultures were </w:t>
      </w:r>
      <w:r w:rsidRPr="00B502B6">
        <w:rPr>
          <w:rFonts w:ascii="Calibri" w:hAnsi="Calibri" w:cs="Calibri"/>
          <w:sz w:val="20"/>
          <w:szCs w:val="20"/>
        </w:rPr>
        <w:t>treate</w:t>
      </w:r>
      <w:r>
        <w:rPr>
          <w:rFonts w:ascii="Calibri" w:hAnsi="Calibri" w:cs="Calibri"/>
          <w:sz w:val="20"/>
          <w:szCs w:val="20"/>
        </w:rPr>
        <w:t>d with Cip for 2</w:t>
      </w:r>
      <w:r w:rsidRPr="00B502B6">
        <w:rPr>
          <w:rFonts w:ascii="Calibri" w:hAnsi="Calibri" w:cs="Calibri"/>
          <w:sz w:val="20"/>
          <w:szCs w:val="20"/>
        </w:rPr>
        <w:t xml:space="preserve"> h before exposed to </w:t>
      </w:r>
      <w:r>
        <w:rPr>
          <w:rFonts w:ascii="Calibri" w:hAnsi="Calibri" w:cs="Calibri"/>
          <w:sz w:val="20"/>
          <w:szCs w:val="20"/>
        </w:rPr>
        <w:t>kanamycin (Kan)</w:t>
      </w:r>
      <w:r w:rsidRPr="00B502B6">
        <w:rPr>
          <w:rFonts w:ascii="Calibri" w:hAnsi="Calibri" w:cs="Calibri"/>
          <w:sz w:val="20"/>
          <w:szCs w:val="20"/>
        </w:rPr>
        <w:t xml:space="preserve">. </w:t>
      </w:r>
      <w:r>
        <w:rPr>
          <w:rFonts w:ascii="Calibri" w:hAnsi="Calibri" w:cs="Calibri"/>
          <w:sz w:val="20"/>
          <w:szCs w:val="20"/>
        </w:rPr>
        <w:t xml:space="preserve">In cultures grown from the 1,000-fold seed dilution, drug-induced persisters accounted for approximately 50% of the total persister pool upon antibiotic treatment. </w:t>
      </w:r>
      <w:r w:rsidRPr="00B502B6">
        <w:rPr>
          <w:rFonts w:ascii="Calibri" w:hAnsi="Calibri" w:cs="Calibri"/>
          <w:sz w:val="20"/>
          <w:szCs w:val="20"/>
        </w:rPr>
        <w:t>Data represent means ± SD from four replicates across two independent experiments.</w:t>
      </w:r>
      <w:r>
        <w:rPr>
          <w:rFonts w:ascii="Calibri" w:hAnsi="Calibri" w:cs="Calibri"/>
          <w:sz w:val="20"/>
          <w:szCs w:val="20"/>
        </w:rPr>
        <w:t xml:space="preserve"> </w:t>
      </w:r>
      <w:r w:rsidRPr="008C260F">
        <w:rPr>
          <w:rFonts w:ascii="Calibri" w:hAnsi="Calibri" w:cs="Calibri"/>
          <w:sz w:val="20"/>
          <w:szCs w:val="20"/>
        </w:rPr>
        <w:t>Ampicillin persisters were rapidly killed by ciprofloxacin (Cip) or kana</w:t>
      </w:r>
      <w:r>
        <w:rPr>
          <w:rFonts w:ascii="Calibri" w:hAnsi="Calibri" w:cs="Calibri"/>
          <w:sz w:val="20"/>
          <w:szCs w:val="20"/>
        </w:rPr>
        <w:t>mycin (Kan), yielding biphasic killing curves consistent with</w:t>
      </w:r>
      <w:r w:rsidRPr="008C260F">
        <w:rPr>
          <w:rFonts w:ascii="Calibri" w:hAnsi="Calibri" w:cs="Calibri"/>
          <w:sz w:val="20"/>
          <w:szCs w:val="20"/>
        </w:rPr>
        <w:t xml:space="preserve"> the pattern</w:t>
      </w:r>
      <w:r>
        <w:rPr>
          <w:rFonts w:ascii="Calibri" w:hAnsi="Calibri" w:cs="Calibri"/>
          <w:sz w:val="20"/>
          <w:szCs w:val="20"/>
        </w:rPr>
        <w:t>s</w:t>
      </w:r>
      <w:r w:rsidRPr="008C260F">
        <w:rPr>
          <w:rFonts w:ascii="Calibri" w:hAnsi="Calibri" w:cs="Calibri"/>
          <w:sz w:val="20"/>
          <w:szCs w:val="20"/>
        </w:rPr>
        <w:t xml:space="preserve"> observed in cultures grown from </w:t>
      </w:r>
      <w:r>
        <w:rPr>
          <w:rFonts w:ascii="Calibri" w:hAnsi="Calibri" w:cs="Calibri"/>
          <w:sz w:val="20"/>
          <w:szCs w:val="20"/>
        </w:rPr>
        <w:t>the</w:t>
      </w:r>
      <w:r w:rsidRPr="008C260F">
        <w:rPr>
          <w:rFonts w:ascii="Calibri" w:hAnsi="Calibri" w:cs="Calibri"/>
          <w:sz w:val="20"/>
          <w:szCs w:val="20"/>
        </w:rPr>
        <w:t xml:space="preserve"> 100-fold seed dilution.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4FD40ED9" w14:textId="77777777" w:rsidR="00B160AB" w:rsidRDefault="00B160AB" w:rsidP="00B160AB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 w:type="page"/>
      </w:r>
    </w:p>
    <w:p w14:paraId="154A67F0" w14:textId="77777777" w:rsidR="00B160AB" w:rsidRPr="00B502B6" w:rsidRDefault="00B160AB" w:rsidP="00B160AB">
      <w:pPr>
        <w:rPr>
          <w:rFonts w:ascii="Calibri" w:hAnsi="Calibri" w:cs="Calibri"/>
          <w:b/>
          <w:bCs/>
          <w:sz w:val="20"/>
          <w:szCs w:val="20"/>
        </w:rPr>
      </w:pPr>
      <w:r w:rsidRPr="00B502B6">
        <w:rPr>
          <w:rFonts w:ascii="Calibri" w:hAnsi="Calibri" w:cs="Calibri"/>
          <w:b/>
          <w:bCs/>
          <w:sz w:val="20"/>
          <w:szCs w:val="20"/>
        </w:rPr>
        <w:lastRenderedPageBreak/>
        <w:t>Table S1: Relative contributions of spontaneous and drug-induced persister formation during SDTK assays in turbidostatic experiments.</w:t>
      </w:r>
    </w:p>
    <w:tbl>
      <w:tblPr>
        <w:tblStyle w:val="TableGrid"/>
        <w:tblW w:w="9337" w:type="dxa"/>
        <w:tblLook w:val="04A0" w:firstRow="1" w:lastRow="0" w:firstColumn="1" w:lastColumn="0" w:noHBand="0" w:noVBand="1"/>
      </w:tblPr>
      <w:tblGrid>
        <w:gridCol w:w="1957"/>
        <w:gridCol w:w="1170"/>
        <w:gridCol w:w="897"/>
        <w:gridCol w:w="1533"/>
        <w:gridCol w:w="1350"/>
        <w:gridCol w:w="810"/>
        <w:gridCol w:w="1620"/>
      </w:tblGrid>
      <w:tr w:rsidR="00B160AB" w:rsidRPr="00C6063F" w14:paraId="37342CB9" w14:textId="77777777" w:rsidTr="00E523AA">
        <w:trPr>
          <w:trHeight w:val="729"/>
        </w:trPr>
        <w:tc>
          <w:tcPr>
            <w:tcW w:w="1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821224" w14:textId="77777777" w:rsidR="00B160AB" w:rsidRPr="00350C3E" w:rsidRDefault="00B160AB" w:rsidP="00E523AA">
            <w:pPr>
              <w:jc w:val="center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</m:sSub>
              </m:oMath>
            </m:oMathPara>
          </w:p>
          <w:p w14:paraId="32FED282" w14:textId="77777777" w:rsidR="00B160AB" w:rsidRPr="004638A2" w:rsidRDefault="00B160AB" w:rsidP="00E523AA">
            <w:pPr>
              <w:jc w:val="center"/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(% of tot. cells)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4DEA07C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Pr="004638A2">
              <w:rPr>
                <w:rFonts w:ascii="Times New Roman" w:hAnsi="Times New Roman" w:cs="Times New Roman"/>
              </w:rPr>
              <w:t xml:space="preserve"> (1/h)</w:t>
            </w:r>
          </w:p>
        </w:tc>
        <w:tc>
          <w:tcPr>
            <w:tcW w:w="897" w:type="dxa"/>
            <w:tcBorders>
              <w:top w:val="single" w:sz="18" w:space="0" w:color="auto"/>
              <w:bottom w:val="single" w:sz="18" w:space="0" w:color="auto"/>
            </w:tcBorders>
          </w:tcPr>
          <w:p w14:paraId="1BBFBE65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/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p>
                </m:sSubSup>
              </m:oMath>
            </m:oMathPara>
          </w:p>
          <w:p w14:paraId="25F7DA39" w14:textId="77777777" w:rsidR="00B160AB" w:rsidRPr="00C91E05" w:rsidRDefault="00B160AB" w:rsidP="00E523AA">
            <w:pPr>
              <w:rPr>
                <w:rFonts w:ascii="Times New Roman" w:hAnsi="Times New Roman" w:cs="Times New Roman"/>
              </w:rPr>
            </w:pPr>
            <w:r w:rsidRPr="00C91E05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7B72A8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 xml:space="preserve">Spontaneous </w:t>
            </w:r>
          </w:p>
          <w:p w14:paraId="0AEA687B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P</m:t>
              </m:r>
            </m:oMath>
            <w:r w:rsidRPr="004638A2">
              <w:rPr>
                <w:rFonts w:ascii="Times New Roman" w:hAnsi="Times New Roman" w:cs="Times New Roman"/>
              </w:rPr>
              <w:t xml:space="preserve"> (% of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tot</m:t>
                  </m:r>
                </m:sub>
              </m:sSub>
            </m:oMath>
            <w:r w:rsidRPr="00463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5DB6FB2B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</m:oMath>
            <w:r w:rsidRPr="004638A2">
              <w:rPr>
                <w:rFonts w:ascii="Times New Roman" w:hAnsi="Times New Roman" w:cs="Times New Roman"/>
              </w:rPr>
              <w:t xml:space="preserve"> (1/h)</w:t>
            </w:r>
          </w:p>
        </w:tc>
        <w:tc>
          <w:tcPr>
            <w:tcW w:w="810" w:type="dxa"/>
            <w:tcBorders>
              <w:top w:val="single" w:sz="18" w:space="0" w:color="auto"/>
              <w:bottom w:val="single" w:sz="18" w:space="0" w:color="auto"/>
            </w:tcBorders>
          </w:tcPr>
          <w:p w14:paraId="4FCE7B35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/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p>
                </m:sSubSup>
              </m:oMath>
            </m:oMathPara>
          </w:p>
          <w:p w14:paraId="3F59913F" w14:textId="77777777" w:rsidR="00B160AB" w:rsidRPr="00C91E05" w:rsidRDefault="00B160AB" w:rsidP="00E523AA">
            <w:pPr>
              <w:rPr>
                <w:rFonts w:ascii="Times New Roman" w:hAnsi="Times New Roman" w:cs="Times New Roman"/>
              </w:rPr>
            </w:pPr>
            <w:r w:rsidRPr="00C91E05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25F46D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Drug-Induced</w:t>
            </w:r>
          </w:p>
          <w:p w14:paraId="4D1EF1EF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P</m:t>
              </m:r>
            </m:oMath>
            <w:r w:rsidRPr="004638A2">
              <w:rPr>
                <w:rFonts w:ascii="Times New Roman" w:hAnsi="Times New Roman" w:cs="Times New Roman"/>
              </w:rPr>
              <w:t xml:space="preserve"> (% of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tot</m:t>
                  </m:r>
                </m:sub>
              </m:sSub>
            </m:oMath>
            <w:r w:rsidRPr="004638A2">
              <w:rPr>
                <w:rFonts w:ascii="Times New Roman" w:hAnsi="Times New Roman" w:cs="Times New Roman"/>
              </w:rPr>
              <w:t>)</w:t>
            </w:r>
          </w:p>
        </w:tc>
      </w:tr>
      <w:tr w:rsidR="00B160AB" w:rsidRPr="00C6063F" w14:paraId="3FF827DB" w14:textId="77777777" w:rsidTr="00E523AA">
        <w:tc>
          <w:tcPr>
            <w:tcW w:w="195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7A4994F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0.052</w:t>
            </w:r>
            <w:r w:rsidRPr="00C91E05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</w:tcBorders>
          </w:tcPr>
          <w:p w14:paraId="309A5F51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7.8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897" w:type="dxa"/>
            <w:tcBorders>
              <w:top w:val="single" w:sz="18" w:space="0" w:color="auto"/>
            </w:tcBorders>
          </w:tcPr>
          <w:p w14:paraId="2D476451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1533" w:type="dxa"/>
            <w:tcBorders>
              <w:top w:val="single" w:sz="18" w:space="0" w:color="auto"/>
              <w:right w:val="single" w:sz="18" w:space="0" w:color="auto"/>
            </w:tcBorders>
          </w:tcPr>
          <w:p w14:paraId="26E0529E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8" w:space="0" w:color="auto"/>
            </w:tcBorders>
          </w:tcPr>
          <w:p w14:paraId="06CE2D0D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single" w:sz="18" w:space="0" w:color="auto"/>
            </w:tcBorders>
          </w:tcPr>
          <w:p w14:paraId="2EA3014C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20" w:type="dxa"/>
            <w:tcBorders>
              <w:top w:val="single" w:sz="18" w:space="0" w:color="auto"/>
              <w:right w:val="single" w:sz="18" w:space="0" w:color="auto"/>
            </w:tcBorders>
          </w:tcPr>
          <w:p w14:paraId="3E759594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</w:tr>
      <w:tr w:rsidR="00B160AB" w:rsidRPr="00C6063F" w14:paraId="7AA3FBCB" w14:textId="77777777" w:rsidTr="00E523AA">
        <w:tc>
          <w:tcPr>
            <w:tcW w:w="1957" w:type="dxa"/>
            <w:tcBorders>
              <w:left w:val="single" w:sz="18" w:space="0" w:color="auto"/>
              <w:right w:val="single" w:sz="18" w:space="0" w:color="auto"/>
            </w:tcBorders>
          </w:tcPr>
          <w:p w14:paraId="2E1DD546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170" w:type="dxa"/>
            <w:tcBorders>
              <w:left w:val="single" w:sz="18" w:space="0" w:color="auto"/>
            </w:tcBorders>
          </w:tcPr>
          <w:p w14:paraId="498BBAAB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1.5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897" w:type="dxa"/>
          </w:tcPr>
          <w:p w14:paraId="1084FC9A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533" w:type="dxa"/>
            <w:tcBorders>
              <w:right w:val="single" w:sz="18" w:space="0" w:color="auto"/>
            </w:tcBorders>
          </w:tcPr>
          <w:p w14:paraId="58DB688D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24.2</w:t>
            </w:r>
          </w:p>
        </w:tc>
        <w:tc>
          <w:tcPr>
            <w:tcW w:w="1350" w:type="dxa"/>
            <w:tcBorders>
              <w:left w:val="single" w:sz="18" w:space="0" w:color="auto"/>
            </w:tcBorders>
          </w:tcPr>
          <w:p w14:paraId="7446C36F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1.87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810" w:type="dxa"/>
          </w:tcPr>
          <w:p w14:paraId="59C46DD6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620" w:type="dxa"/>
            <w:tcBorders>
              <w:right w:val="single" w:sz="18" w:space="0" w:color="auto"/>
            </w:tcBorders>
          </w:tcPr>
          <w:p w14:paraId="5FB695F7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75.8</w:t>
            </w:r>
          </w:p>
        </w:tc>
      </w:tr>
      <w:tr w:rsidR="00B160AB" w:rsidRPr="00C6063F" w14:paraId="490F44AD" w14:textId="77777777" w:rsidTr="00E523AA">
        <w:tc>
          <w:tcPr>
            <w:tcW w:w="1957" w:type="dxa"/>
            <w:tcBorders>
              <w:left w:val="single" w:sz="18" w:space="0" w:color="auto"/>
              <w:right w:val="single" w:sz="18" w:space="0" w:color="auto"/>
            </w:tcBorders>
          </w:tcPr>
          <w:p w14:paraId="7FFF9D7E" w14:textId="77777777" w:rsidR="00B160AB" w:rsidRPr="004638A2" w:rsidRDefault="00B160AB" w:rsidP="00E523AA">
            <w:pPr>
              <w:rPr>
                <w:rFonts w:ascii="Times New Roman" w:hAnsi="Times New Roman" w:cs="Times New Roman"/>
                <w:vertAlign w:val="superscript"/>
              </w:rPr>
            </w:pPr>
            <w:r w:rsidRPr="004638A2">
              <w:rPr>
                <w:rFonts w:ascii="Times New Roman" w:hAnsi="Times New Roman" w:cs="Times New Roman"/>
              </w:rPr>
              <w:t>10</w:t>
            </w:r>
            <w:r w:rsidRPr="004638A2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170" w:type="dxa"/>
            <w:tcBorders>
              <w:left w:val="single" w:sz="18" w:space="0" w:color="auto"/>
            </w:tcBorders>
          </w:tcPr>
          <w:p w14:paraId="0C49E9A1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1.5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897" w:type="dxa"/>
          </w:tcPr>
          <w:p w14:paraId="0A948CE6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533" w:type="dxa"/>
            <w:tcBorders>
              <w:right w:val="single" w:sz="18" w:space="0" w:color="auto"/>
            </w:tcBorders>
          </w:tcPr>
          <w:p w14:paraId="7FEE0B00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2.42</w:t>
            </w:r>
          </w:p>
        </w:tc>
        <w:tc>
          <w:tcPr>
            <w:tcW w:w="1350" w:type="dxa"/>
            <w:tcBorders>
              <w:left w:val="single" w:sz="18" w:space="0" w:color="auto"/>
            </w:tcBorders>
          </w:tcPr>
          <w:p w14:paraId="6A28E8B9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2.41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810" w:type="dxa"/>
          </w:tcPr>
          <w:p w14:paraId="3E74E670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620" w:type="dxa"/>
            <w:tcBorders>
              <w:right w:val="single" w:sz="18" w:space="0" w:color="auto"/>
            </w:tcBorders>
          </w:tcPr>
          <w:p w14:paraId="25B91960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97.58</w:t>
            </w:r>
          </w:p>
        </w:tc>
      </w:tr>
      <w:tr w:rsidR="00B160AB" w:rsidRPr="00C6063F" w14:paraId="5366AFE5" w14:textId="77777777" w:rsidTr="00E523AA">
        <w:tc>
          <w:tcPr>
            <w:tcW w:w="1957" w:type="dxa"/>
            <w:tcBorders>
              <w:left w:val="single" w:sz="18" w:space="0" w:color="auto"/>
              <w:right w:val="single" w:sz="18" w:space="0" w:color="auto"/>
            </w:tcBorders>
          </w:tcPr>
          <w:p w14:paraId="69CA81A7" w14:textId="77777777" w:rsidR="00B160AB" w:rsidRPr="004638A2" w:rsidRDefault="00B160AB" w:rsidP="00E523AA">
            <w:pPr>
              <w:rPr>
                <w:b/>
              </w:rPr>
            </w:pPr>
            <w:r w:rsidRPr="004638A2">
              <w:rPr>
                <w:rFonts w:ascii="Times New Roman" w:hAnsi="Times New Roman" w:cs="Times New Roman"/>
                <w:b/>
              </w:rPr>
              <w:t>8</w:t>
            </w:r>
            <w:r w:rsidRPr="004638A2">
              <w:rPr>
                <w:rFonts w:ascii="Times New Roman" w:hAnsi="Times New Roman" w:cs="Times New Roman"/>
                <w:b/>
                <w:color w:val="202122"/>
                <w:shd w:val="clear" w:color="auto" w:fill="F8F9FA"/>
              </w:rPr>
              <w:t xml:space="preserve"> × </w:t>
            </w:r>
            <w:r w:rsidRPr="004638A2">
              <w:rPr>
                <w:rFonts w:ascii="Times New Roman" w:hAnsi="Times New Roman" w:cs="Times New Roman"/>
                <w:b/>
              </w:rPr>
              <w:t>10</w:t>
            </w:r>
            <w:r w:rsidRPr="004638A2">
              <w:rPr>
                <w:rFonts w:ascii="Times New Roman" w:hAnsi="Times New Roman" w:cs="Times New Roman"/>
                <w:b/>
                <w:vertAlign w:val="superscript"/>
              </w:rPr>
              <w:t>-5</w:t>
            </w:r>
            <w:r w:rsidRPr="004638A2">
              <w:rPr>
                <w:rFonts w:ascii="Times New Roman" w:hAnsi="Times New Roman" w:cs="Times New Roman"/>
                <w:b/>
              </w:rPr>
              <w:t xml:space="preserve"> (Fig. 2c)</w:t>
            </w:r>
          </w:p>
        </w:tc>
        <w:tc>
          <w:tcPr>
            <w:tcW w:w="1170" w:type="dxa"/>
            <w:tcBorders>
              <w:left w:val="single" w:sz="18" w:space="0" w:color="auto"/>
            </w:tcBorders>
          </w:tcPr>
          <w:p w14:paraId="18DCD796" w14:textId="77777777" w:rsidR="00B160AB" w:rsidRPr="003E4889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3E4889">
              <w:rPr>
                <w:rFonts w:ascii="Times New Roman" w:hAnsi="Times New Roman" w:cs="Times New Roman"/>
                <w:b/>
              </w:rPr>
              <w:t xml:space="preserve">1.2 </w:t>
            </w:r>
            <w:r w:rsidRPr="003E4889">
              <w:rPr>
                <w:rFonts w:ascii="Times New Roman" w:hAnsi="Times New Roman" w:cs="Times New Roman"/>
                <w:b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  <w:b/>
              </w:rPr>
              <w:t>10</w:t>
            </w:r>
            <w:r w:rsidRPr="003E4889">
              <w:rPr>
                <w:rFonts w:ascii="Times New Roman" w:hAnsi="Times New Roman" w:cs="Times New Roman"/>
                <w:b/>
                <w:vertAlign w:val="superscript"/>
              </w:rPr>
              <w:t>-6</w:t>
            </w:r>
          </w:p>
        </w:tc>
        <w:tc>
          <w:tcPr>
            <w:tcW w:w="897" w:type="dxa"/>
          </w:tcPr>
          <w:p w14:paraId="6B4748E4" w14:textId="77777777" w:rsidR="00B160AB" w:rsidRPr="004638A2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4638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33" w:type="dxa"/>
            <w:tcBorders>
              <w:right w:val="single" w:sz="18" w:space="0" w:color="auto"/>
            </w:tcBorders>
          </w:tcPr>
          <w:p w14:paraId="28C443E6" w14:textId="77777777" w:rsidR="00B160AB" w:rsidRPr="004638A2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4638A2">
              <w:rPr>
                <w:rFonts w:ascii="Times New Roman" w:hAnsi="Times New Roman" w:cs="Times New Roman"/>
                <w:b/>
              </w:rPr>
              <w:t>0.19</w:t>
            </w:r>
          </w:p>
        </w:tc>
        <w:tc>
          <w:tcPr>
            <w:tcW w:w="1350" w:type="dxa"/>
            <w:tcBorders>
              <w:left w:val="single" w:sz="18" w:space="0" w:color="auto"/>
            </w:tcBorders>
          </w:tcPr>
          <w:p w14:paraId="0C6D85C8" w14:textId="77777777" w:rsidR="00B160AB" w:rsidRPr="003E4889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3E4889">
              <w:rPr>
                <w:rFonts w:ascii="Times New Roman" w:hAnsi="Times New Roman" w:cs="Times New Roman"/>
                <w:b/>
              </w:rPr>
              <w:t xml:space="preserve">2.46 </w:t>
            </w:r>
            <w:r w:rsidRPr="003E4889">
              <w:rPr>
                <w:rFonts w:ascii="Times New Roman" w:hAnsi="Times New Roman" w:cs="Times New Roman"/>
                <w:b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  <w:b/>
              </w:rPr>
              <w:t>10</w:t>
            </w:r>
            <w:r w:rsidRPr="003E4889">
              <w:rPr>
                <w:rFonts w:ascii="Times New Roman" w:hAnsi="Times New Roman" w:cs="Times New Roman"/>
                <w:b/>
                <w:vertAlign w:val="superscript"/>
              </w:rPr>
              <w:t>-3</w:t>
            </w:r>
          </w:p>
        </w:tc>
        <w:tc>
          <w:tcPr>
            <w:tcW w:w="810" w:type="dxa"/>
          </w:tcPr>
          <w:p w14:paraId="60B1F81C" w14:textId="77777777" w:rsidR="00B160AB" w:rsidRPr="004638A2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4638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620" w:type="dxa"/>
            <w:tcBorders>
              <w:right w:val="single" w:sz="18" w:space="0" w:color="auto"/>
            </w:tcBorders>
          </w:tcPr>
          <w:p w14:paraId="26883BB1" w14:textId="77777777" w:rsidR="00B160AB" w:rsidRPr="004638A2" w:rsidRDefault="00B160AB" w:rsidP="00E523AA">
            <w:pPr>
              <w:rPr>
                <w:rFonts w:ascii="Times New Roman" w:hAnsi="Times New Roman" w:cs="Times New Roman"/>
                <w:b/>
              </w:rPr>
            </w:pPr>
            <w:r w:rsidRPr="004638A2">
              <w:rPr>
                <w:rFonts w:ascii="Times New Roman" w:hAnsi="Times New Roman" w:cs="Times New Roman"/>
                <w:b/>
              </w:rPr>
              <w:t>99.81</w:t>
            </w:r>
          </w:p>
        </w:tc>
      </w:tr>
      <w:tr w:rsidR="00B160AB" w:rsidRPr="00C6063F" w14:paraId="50AB185F" w14:textId="77777777" w:rsidTr="00E523AA">
        <w:tc>
          <w:tcPr>
            <w:tcW w:w="1957" w:type="dxa"/>
            <w:tcBorders>
              <w:left w:val="single" w:sz="18" w:space="0" w:color="auto"/>
              <w:right w:val="single" w:sz="18" w:space="0" w:color="auto"/>
            </w:tcBorders>
          </w:tcPr>
          <w:p w14:paraId="2576BFAE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10</w:t>
            </w:r>
            <w:r w:rsidRPr="004638A2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170" w:type="dxa"/>
            <w:tcBorders>
              <w:left w:val="single" w:sz="18" w:space="0" w:color="auto"/>
            </w:tcBorders>
          </w:tcPr>
          <w:p w14:paraId="57A447BB" w14:textId="77777777" w:rsidR="00B160AB" w:rsidRPr="003E4889" w:rsidRDefault="00B160AB" w:rsidP="00E523AA">
            <w:pPr>
              <w:rPr>
                <w:rFonts w:ascii="Times New Roman" w:hAnsi="Times New Roman" w:cs="Times New Roman"/>
              </w:rPr>
            </w:pPr>
            <w:r w:rsidRPr="003E4889">
              <w:rPr>
                <w:rFonts w:ascii="Times New Roman" w:hAnsi="Times New Roman" w:cs="Times New Roman"/>
              </w:rPr>
              <w:t xml:space="preserve">1.5 </w:t>
            </w:r>
            <w:r w:rsidRPr="003E4889">
              <w:rPr>
                <w:rFonts w:ascii="Times New Roman" w:hAnsi="Times New Roman" w:cs="Times New Roman"/>
                <w:color w:val="202122"/>
              </w:rPr>
              <w:t xml:space="preserve">× </w:t>
            </w:r>
            <w:r w:rsidRPr="003E4889">
              <w:rPr>
                <w:rFonts w:ascii="Times New Roman" w:hAnsi="Times New Roman" w:cs="Times New Roman"/>
              </w:rPr>
              <w:t>10</w:t>
            </w:r>
            <w:r w:rsidRPr="003E4889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  <w:tc>
          <w:tcPr>
            <w:tcW w:w="897" w:type="dxa"/>
          </w:tcPr>
          <w:p w14:paraId="5460C2C0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0.125</w:t>
            </w:r>
          </w:p>
        </w:tc>
        <w:tc>
          <w:tcPr>
            <w:tcW w:w="1533" w:type="dxa"/>
            <w:tcBorders>
              <w:right w:val="single" w:sz="18" w:space="0" w:color="auto"/>
            </w:tcBorders>
          </w:tcPr>
          <w:p w14:paraId="1F1C1638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350" w:type="dxa"/>
            <w:tcBorders>
              <w:left w:val="single" w:sz="18" w:space="0" w:color="auto"/>
            </w:tcBorders>
          </w:tcPr>
          <w:p w14:paraId="138D2D5A" w14:textId="77777777" w:rsidR="00B160AB" w:rsidRPr="003E4889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E4889">
              <w:rPr>
                <w:rFonts w:ascii="Times New Roman" w:hAnsi="Times New Roman" w:cs="Times New Roman"/>
                <w:color w:val="000000" w:themeColor="text1"/>
              </w:rPr>
              <w:t>2.47 × 10</w:t>
            </w:r>
            <w:r w:rsidRPr="003E488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  <w:tc>
          <w:tcPr>
            <w:tcW w:w="810" w:type="dxa"/>
          </w:tcPr>
          <w:p w14:paraId="2A11825B" w14:textId="77777777" w:rsidR="00B160AB" w:rsidRPr="004638A2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638A2">
              <w:rPr>
                <w:rFonts w:ascii="Times New Roman" w:hAnsi="Times New Roman" w:cs="Times New Roman"/>
                <w:color w:val="000000" w:themeColor="text1"/>
              </w:rPr>
              <w:t>1.004</w:t>
            </w:r>
          </w:p>
        </w:tc>
        <w:tc>
          <w:tcPr>
            <w:tcW w:w="1620" w:type="dxa"/>
            <w:tcBorders>
              <w:right w:val="single" w:sz="18" w:space="0" w:color="auto"/>
            </w:tcBorders>
          </w:tcPr>
          <w:p w14:paraId="7CC29A6C" w14:textId="77777777" w:rsidR="00B160AB" w:rsidRPr="004638A2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638A2">
              <w:rPr>
                <w:rFonts w:ascii="Times New Roman" w:hAnsi="Times New Roman" w:cs="Times New Roman"/>
                <w:color w:val="000000" w:themeColor="text1"/>
              </w:rPr>
              <w:t>99.98</w:t>
            </w:r>
          </w:p>
        </w:tc>
      </w:tr>
      <w:tr w:rsidR="00B160AB" w:rsidRPr="00C6063F" w14:paraId="5008082C" w14:textId="77777777" w:rsidTr="00E523AA">
        <w:tc>
          <w:tcPr>
            <w:tcW w:w="195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D2C728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0" w:type="dxa"/>
            <w:tcBorders>
              <w:left w:val="single" w:sz="18" w:space="0" w:color="auto"/>
              <w:bottom w:val="single" w:sz="18" w:space="0" w:color="auto"/>
            </w:tcBorders>
          </w:tcPr>
          <w:p w14:paraId="072F30C9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7" w:type="dxa"/>
            <w:tcBorders>
              <w:bottom w:val="single" w:sz="18" w:space="0" w:color="auto"/>
            </w:tcBorders>
          </w:tcPr>
          <w:p w14:paraId="386F4E09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33" w:type="dxa"/>
            <w:tcBorders>
              <w:bottom w:val="single" w:sz="18" w:space="0" w:color="auto"/>
              <w:right w:val="single" w:sz="18" w:space="0" w:color="auto"/>
            </w:tcBorders>
          </w:tcPr>
          <w:p w14:paraId="21117FE5" w14:textId="77777777" w:rsidR="00B160AB" w:rsidRPr="004638A2" w:rsidRDefault="00B160AB" w:rsidP="00E523AA">
            <w:pPr>
              <w:rPr>
                <w:rFonts w:ascii="Times New Roman" w:hAnsi="Times New Roman" w:cs="Times New Roman"/>
              </w:rPr>
            </w:pPr>
            <w:r w:rsidRPr="004638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  <w:tcBorders>
              <w:left w:val="single" w:sz="18" w:space="0" w:color="auto"/>
              <w:bottom w:val="single" w:sz="18" w:space="0" w:color="auto"/>
            </w:tcBorders>
          </w:tcPr>
          <w:p w14:paraId="376438C0" w14:textId="77777777" w:rsidR="00B160AB" w:rsidRPr="003E4889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E4889">
              <w:rPr>
                <w:rFonts w:ascii="Times New Roman" w:hAnsi="Times New Roman" w:cs="Times New Roman"/>
                <w:color w:val="000000" w:themeColor="text1"/>
              </w:rPr>
              <w:t>2.47 × 10</w:t>
            </w:r>
            <w:r w:rsidRPr="003E488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-3</w:t>
            </w:r>
          </w:p>
        </w:tc>
        <w:tc>
          <w:tcPr>
            <w:tcW w:w="810" w:type="dxa"/>
            <w:tcBorders>
              <w:bottom w:val="single" w:sz="18" w:space="0" w:color="auto"/>
            </w:tcBorders>
          </w:tcPr>
          <w:p w14:paraId="1AE1FF4F" w14:textId="77777777" w:rsidR="00B160AB" w:rsidRPr="004638A2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638A2">
              <w:rPr>
                <w:rFonts w:ascii="Times New Roman" w:hAnsi="Times New Roman" w:cs="Times New Roman"/>
                <w:color w:val="000000" w:themeColor="text1"/>
              </w:rPr>
              <w:t>1.004</w:t>
            </w:r>
          </w:p>
        </w:tc>
        <w:tc>
          <w:tcPr>
            <w:tcW w:w="1620" w:type="dxa"/>
            <w:tcBorders>
              <w:bottom w:val="single" w:sz="18" w:space="0" w:color="auto"/>
              <w:right w:val="single" w:sz="18" w:space="0" w:color="auto"/>
            </w:tcBorders>
          </w:tcPr>
          <w:p w14:paraId="6B0C4034" w14:textId="77777777" w:rsidR="00B160AB" w:rsidRPr="004638A2" w:rsidRDefault="00B160AB" w:rsidP="00E523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638A2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</w:tbl>
    <w:p w14:paraId="5F2E4E6F" w14:textId="77777777" w:rsidR="00B160AB" w:rsidRDefault="00B160AB" w:rsidP="00B160AB">
      <w:pPr>
        <w:rPr>
          <w:rFonts w:ascii="Times New Roman" w:hAnsi="Times New Roman" w:cs="Times New Roman"/>
        </w:rPr>
      </w:pPr>
    </w:p>
    <w:p w14:paraId="0E83D8FC" w14:textId="77777777" w:rsidR="00B160AB" w:rsidRPr="00B502B6" w:rsidRDefault="00B160AB" w:rsidP="00B160AB">
      <w:pPr>
        <w:rPr>
          <w:rFonts w:cstheme="minorHAnsi"/>
          <w:sz w:val="20"/>
          <w:szCs w:val="20"/>
        </w:rPr>
      </w:pPr>
      <w:r w:rsidRPr="00B502B6">
        <w:rPr>
          <w:rFonts w:cstheme="minorHAnsi"/>
          <w:sz w:val="20"/>
          <w:szCs w:val="20"/>
        </w:rPr>
        <w:t xml:space="preserve">* </w:t>
      </w:r>
      <m:oMath>
        <m:sSubSup>
          <m:sSubSup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theme="minorHAnsi"/>
                <w:sz w:val="20"/>
                <w:szCs w:val="20"/>
              </w:rPr>
              <m:t>a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2</m:t>
            </m:r>
          </m:sub>
          <m:sup>
            <m:r>
              <w:rPr>
                <w:rFonts w:ascii="Cambria Math" w:hAnsi="Cambria Math" w:cstheme="minorHAnsi"/>
                <w:sz w:val="20"/>
                <w:szCs w:val="20"/>
              </w:rPr>
              <m:t>0</m:t>
            </m:r>
          </m:sup>
        </m:sSubSup>
      </m:oMath>
      <w:r w:rsidRPr="00B502B6">
        <w:rPr>
          <w:rFonts w:cstheme="minorHAnsi"/>
          <w:sz w:val="20"/>
          <w:szCs w:val="20"/>
        </w:rPr>
        <w:t xml:space="preserve"> is </w:t>
      </w:r>
      <w:r>
        <w:rPr>
          <w:rFonts w:cstheme="minorHAnsi"/>
          <w:sz w:val="20"/>
          <w:szCs w:val="20"/>
        </w:rPr>
        <w:t>the spontaneous persister formation rate constant value (</w:t>
      </w:r>
      <w:r w:rsidRPr="00B502B6">
        <w:rPr>
          <w:rFonts w:cstheme="minorHAnsi"/>
          <w:i/>
          <w:sz w:val="20"/>
          <w:szCs w:val="20"/>
        </w:rPr>
        <w:t>a</w:t>
      </w:r>
      <w:r w:rsidRPr="00B502B6">
        <w:rPr>
          <w:rFonts w:cstheme="minorHAnsi"/>
          <w:i/>
          <w:sz w:val="20"/>
          <w:szCs w:val="20"/>
          <w:vertAlign w:val="subscript"/>
        </w:rPr>
        <w:t>2</w:t>
      </w:r>
      <w:r>
        <w:rPr>
          <w:rFonts w:cstheme="minorHAnsi"/>
          <w:sz w:val="20"/>
          <w:szCs w:val="20"/>
        </w:rPr>
        <w:t xml:space="preserve"> = </w:t>
      </w:r>
      <w:r w:rsidRPr="00B502B6">
        <w:rPr>
          <w:rFonts w:cstheme="minorHAnsi"/>
          <w:sz w:val="20"/>
          <w:szCs w:val="20"/>
        </w:rPr>
        <w:t>1.2</w:t>
      </w:r>
      <w:r w:rsidRPr="00B502B6">
        <w:rPr>
          <w:rFonts w:cstheme="minorHAnsi"/>
          <w:color w:val="202122"/>
          <w:sz w:val="20"/>
          <w:szCs w:val="20"/>
          <w:shd w:val="clear" w:color="auto" w:fill="F8F9FA"/>
        </w:rPr>
        <w:t xml:space="preserve">× </w:t>
      </w:r>
      <w:r w:rsidRPr="00B502B6">
        <w:rPr>
          <w:rFonts w:cstheme="minorHAnsi"/>
          <w:sz w:val="20"/>
          <w:szCs w:val="20"/>
        </w:rPr>
        <w:t>10</w:t>
      </w:r>
      <w:r w:rsidRPr="00B502B6">
        <w:rPr>
          <w:rFonts w:cstheme="minorHAnsi"/>
          <w:sz w:val="20"/>
          <w:szCs w:val="20"/>
          <w:vertAlign w:val="superscript"/>
        </w:rPr>
        <w:t>-6</w:t>
      </w:r>
      <w:r w:rsidRPr="00B502B6">
        <w:rPr>
          <w:rFonts w:cstheme="minorHAnsi"/>
          <w:sz w:val="20"/>
          <w:szCs w:val="20"/>
        </w:rPr>
        <w:t xml:space="preserve"> h</w:t>
      </w:r>
      <w:r w:rsidRPr="00B502B6">
        <w:rPr>
          <w:rFonts w:cstheme="minorHAnsi"/>
          <w:sz w:val="20"/>
          <w:szCs w:val="20"/>
          <w:vertAlign w:val="superscript"/>
        </w:rPr>
        <w:t>-1</w:t>
      </w:r>
      <w:r w:rsidRPr="00B502B6">
        <w:rPr>
          <w:rFonts w:cstheme="minorHAnsi"/>
          <w:sz w:val="20"/>
          <w:szCs w:val="20"/>
        </w:rPr>
        <w:t xml:space="preserve">) </w:t>
      </w:r>
      <w:r>
        <w:rPr>
          <w:rFonts w:cstheme="minorHAnsi"/>
          <w:sz w:val="20"/>
          <w:szCs w:val="20"/>
        </w:rPr>
        <w:t xml:space="preserve">previously measured </w:t>
      </w:r>
      <w:r w:rsidRPr="00B502B6">
        <w:rPr>
          <w:rFonts w:cstheme="minorHAnsi"/>
          <w:sz w:val="20"/>
          <w:szCs w:val="20"/>
        </w:rPr>
        <w:t xml:space="preserve">for the wild-type </w:t>
      </w:r>
      <w:r w:rsidRPr="00B502B6">
        <w:rPr>
          <w:rFonts w:cstheme="minorHAnsi"/>
          <w:i/>
          <w:sz w:val="20"/>
          <w:szCs w:val="20"/>
        </w:rPr>
        <w:t>E. coli</w:t>
      </w:r>
      <w:r w:rsidRPr="00B502B6">
        <w:rPr>
          <w:rFonts w:cstheme="minorHAnsi"/>
          <w:sz w:val="20"/>
          <w:szCs w:val="20"/>
        </w:rPr>
        <w:t xml:space="preserve"> strain exposed to ampicillin</w:t>
      </w:r>
      <w:r>
        <w:rPr>
          <w:rFonts w:cstheme="minorHAnsi"/>
          <w:sz w:val="20"/>
          <w:szCs w:val="20"/>
        </w:rPr>
        <w:t xml:space="preserve"> (Balaban </w:t>
      </w:r>
      <w:r>
        <w:rPr>
          <w:rFonts w:cstheme="minorHAnsi"/>
          <w:i/>
          <w:iCs/>
          <w:sz w:val="20"/>
          <w:szCs w:val="20"/>
        </w:rPr>
        <w:t>et al</w:t>
      </w:r>
      <w:r>
        <w:rPr>
          <w:rFonts w:cstheme="minorHAnsi"/>
          <w:sz w:val="20"/>
          <w:szCs w:val="20"/>
        </w:rPr>
        <w:t>. 2004)</w:t>
      </w:r>
      <w:r w:rsidRPr="00B502B6">
        <w:rPr>
          <w:rFonts w:cstheme="minorHAnsi"/>
          <w:sz w:val="20"/>
          <w:szCs w:val="20"/>
        </w:rPr>
        <w:t xml:space="preserve">. </w:t>
      </w:r>
    </w:p>
    <w:p w14:paraId="7327FB28" w14:textId="77777777" w:rsidR="00B160AB" w:rsidRDefault="00B160AB" w:rsidP="00B160AB">
      <w:pPr>
        <w:rPr>
          <w:rFonts w:cstheme="minorHAnsi"/>
          <w:sz w:val="20"/>
          <w:szCs w:val="20"/>
        </w:rPr>
      </w:pPr>
      <w:r w:rsidRPr="00B502B6">
        <w:rPr>
          <w:rFonts w:cstheme="minorHAnsi"/>
          <w:sz w:val="20"/>
          <w:szCs w:val="20"/>
        </w:rPr>
        <w:t xml:space="preserve">** </w:t>
      </w:r>
      <m:oMath>
        <m:sSubSup>
          <m:sSubSup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theme="minorHAnsi"/>
                <w:sz w:val="20"/>
                <w:szCs w:val="20"/>
              </w:rPr>
              <m:t>f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1</m:t>
            </m:r>
          </m:sub>
          <m:sup>
            <m:r>
              <w:rPr>
                <w:rFonts w:ascii="Cambria Math" w:hAnsi="Cambria Math" w:cstheme="minorHAnsi"/>
                <w:sz w:val="20"/>
                <w:szCs w:val="20"/>
              </w:rPr>
              <m:t>0</m:t>
            </m:r>
          </m:sup>
        </m:sSubSup>
      </m:oMath>
      <w:r w:rsidRPr="00B502B6">
        <w:rPr>
          <w:rFonts w:cstheme="minorHAnsi"/>
          <w:sz w:val="20"/>
          <w:szCs w:val="20"/>
        </w:rPr>
        <w:t xml:space="preserve"> is our fitted value of</w:t>
      </w:r>
      <w:r>
        <w:rPr>
          <w:rFonts w:cstheme="minorHAnsi"/>
          <w:sz w:val="20"/>
          <w:szCs w:val="20"/>
        </w:rPr>
        <w:t xml:space="preserve"> persister formation rate constant (</w:t>
      </w:r>
      <w:r w:rsidRPr="00B502B6">
        <w:rPr>
          <w:rFonts w:cstheme="minorHAnsi"/>
          <w:i/>
          <w:sz w:val="20"/>
          <w:szCs w:val="20"/>
        </w:rPr>
        <w:t>f</w:t>
      </w:r>
      <w:r w:rsidRPr="00B502B6">
        <w:rPr>
          <w:rFonts w:cstheme="minorHAnsi"/>
          <w:i/>
          <w:sz w:val="20"/>
          <w:szCs w:val="20"/>
          <w:vertAlign w:val="subscript"/>
        </w:rPr>
        <w:t>1</w:t>
      </w:r>
      <w:r>
        <w:rPr>
          <w:rFonts w:cstheme="minorHAnsi"/>
          <w:sz w:val="20"/>
          <w:szCs w:val="20"/>
        </w:rPr>
        <w:t xml:space="preserve"> =</w:t>
      </w:r>
      <w:r w:rsidRPr="00B502B6">
        <w:rPr>
          <w:rFonts w:cstheme="minorHAnsi"/>
          <w:sz w:val="20"/>
          <w:szCs w:val="20"/>
        </w:rPr>
        <w:t xml:space="preserve">2.46 </w:t>
      </w:r>
      <w:r w:rsidRPr="00B502B6">
        <w:rPr>
          <w:rFonts w:cstheme="minorHAnsi"/>
          <w:color w:val="202122"/>
          <w:sz w:val="20"/>
          <w:szCs w:val="20"/>
          <w:shd w:val="clear" w:color="auto" w:fill="F8F9FA"/>
        </w:rPr>
        <w:t xml:space="preserve">× </w:t>
      </w:r>
      <w:r w:rsidRPr="00B502B6">
        <w:rPr>
          <w:rFonts w:cstheme="minorHAnsi"/>
          <w:sz w:val="20"/>
          <w:szCs w:val="20"/>
        </w:rPr>
        <w:t>10</w:t>
      </w:r>
      <w:r w:rsidRPr="00B502B6">
        <w:rPr>
          <w:rFonts w:cstheme="minorHAnsi"/>
          <w:sz w:val="20"/>
          <w:szCs w:val="20"/>
          <w:vertAlign w:val="superscript"/>
        </w:rPr>
        <w:t>-3</w:t>
      </w:r>
      <w:r w:rsidRPr="00B502B6">
        <w:rPr>
          <w:rFonts w:cstheme="minorHAnsi"/>
          <w:sz w:val="20"/>
          <w:szCs w:val="20"/>
        </w:rPr>
        <w:t xml:space="preserve"> h</w:t>
      </w:r>
      <w:r w:rsidRPr="00B502B6">
        <w:rPr>
          <w:rFonts w:cstheme="minorHAnsi"/>
          <w:sz w:val="20"/>
          <w:szCs w:val="20"/>
          <w:vertAlign w:val="superscript"/>
        </w:rPr>
        <w:t>-1</w:t>
      </w:r>
      <w:r w:rsidRPr="00B502B6">
        <w:rPr>
          <w:rFonts w:cstheme="minorHAnsi"/>
          <w:sz w:val="20"/>
          <w:szCs w:val="20"/>
        </w:rPr>
        <w:t>) for bacteria exposed to ampicillin.</w:t>
      </w:r>
    </w:p>
    <w:p w14:paraId="5FDB35E6" w14:textId="77777777" w:rsidR="00B160AB" w:rsidRPr="00B502B6" w:rsidRDefault="00B160AB" w:rsidP="00B160AB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*** This </w:t>
      </w:r>
      <w:r w:rsidRPr="00C91E05">
        <w:rPr>
          <w:rFonts w:cstheme="minorHAnsi"/>
          <w:i/>
          <w:sz w:val="20"/>
          <w:szCs w:val="20"/>
        </w:rPr>
        <w:t>P</w:t>
      </w:r>
      <w:r w:rsidRPr="00C91E05">
        <w:rPr>
          <w:rFonts w:cstheme="minorHAnsi"/>
          <w:i/>
          <w:sz w:val="20"/>
          <w:szCs w:val="20"/>
          <w:vertAlign w:val="subscript"/>
        </w:rPr>
        <w:t>0</w:t>
      </w:r>
      <w:r>
        <w:rPr>
          <w:rFonts w:cstheme="minorHAnsi"/>
          <w:sz w:val="20"/>
          <w:szCs w:val="20"/>
        </w:rPr>
        <w:t xml:space="preserve"> value (the persister fraction before drug exposure) was determined by extrapolating the experimental data of the second killing phase, assuming </w:t>
      </w:r>
      <w:r w:rsidRPr="00C91E05">
        <w:rPr>
          <w:rFonts w:cstheme="minorHAnsi"/>
          <w:i/>
          <w:sz w:val="20"/>
          <w:szCs w:val="20"/>
        </w:rPr>
        <w:t>f</w:t>
      </w:r>
      <w:r w:rsidRPr="00C91E05">
        <w:rPr>
          <w:rFonts w:cstheme="minorHAnsi"/>
          <w:i/>
          <w:sz w:val="20"/>
          <w:szCs w:val="20"/>
          <w:vertAlign w:val="subscript"/>
        </w:rPr>
        <w:t>1</w:t>
      </w:r>
      <w:r>
        <w:rPr>
          <w:rFonts w:cstheme="minorHAnsi"/>
          <w:sz w:val="20"/>
          <w:szCs w:val="20"/>
        </w:rPr>
        <w:t xml:space="preserve"> = 0. Other </w:t>
      </w:r>
      <w:r w:rsidRPr="00F30329">
        <w:rPr>
          <w:rFonts w:cstheme="minorHAnsi"/>
          <w:i/>
          <w:sz w:val="20"/>
          <w:szCs w:val="20"/>
        </w:rPr>
        <w:t>P</w:t>
      </w:r>
      <w:r w:rsidRPr="00F30329">
        <w:rPr>
          <w:rFonts w:cstheme="minorHAnsi"/>
          <w:i/>
          <w:sz w:val="20"/>
          <w:szCs w:val="20"/>
          <w:vertAlign w:val="subscript"/>
        </w:rPr>
        <w:t>0</w:t>
      </w:r>
      <w:r>
        <w:rPr>
          <w:rFonts w:cstheme="minorHAnsi"/>
          <w:sz w:val="20"/>
          <w:szCs w:val="20"/>
        </w:rPr>
        <w:t xml:space="preserve"> values in column 1 are hypothetical scenarios except for the bolded row. The b</w:t>
      </w:r>
      <w:r w:rsidRPr="00B502B6">
        <w:rPr>
          <w:rFonts w:cstheme="minorHAnsi"/>
          <w:sz w:val="20"/>
          <w:szCs w:val="20"/>
        </w:rPr>
        <w:t xml:space="preserve">olded text denotes </w:t>
      </w:r>
      <w:r>
        <w:rPr>
          <w:rFonts w:cstheme="minorHAnsi"/>
          <w:sz w:val="20"/>
          <w:szCs w:val="20"/>
        </w:rPr>
        <w:t xml:space="preserve">that </w:t>
      </w:r>
      <w:r w:rsidRPr="00B502B6">
        <w:rPr>
          <w:rFonts w:cstheme="minorHAnsi"/>
          <w:sz w:val="20"/>
          <w:szCs w:val="20"/>
        </w:rPr>
        <w:t>the simulation results</w:t>
      </w:r>
      <w:r>
        <w:rPr>
          <w:rFonts w:cstheme="minorHAnsi"/>
          <w:sz w:val="20"/>
          <w:szCs w:val="20"/>
        </w:rPr>
        <w:t xml:space="preserve"> were</w:t>
      </w:r>
      <w:r w:rsidRPr="00B502B6">
        <w:rPr>
          <w:rFonts w:cstheme="minorHAnsi"/>
          <w:sz w:val="20"/>
          <w:szCs w:val="20"/>
        </w:rPr>
        <w:t xml:space="preserve"> obtained using experimentally measured values of </w:t>
      </w:r>
      <w:r w:rsidRPr="00B502B6">
        <w:rPr>
          <w:rFonts w:cstheme="minorHAnsi"/>
          <w:i/>
          <w:sz w:val="20"/>
          <w:szCs w:val="20"/>
        </w:rPr>
        <w:t>f</w:t>
      </w:r>
      <w:r w:rsidRPr="00B502B6">
        <w:rPr>
          <w:rFonts w:cstheme="minorHAnsi"/>
          <w:i/>
          <w:sz w:val="20"/>
          <w:szCs w:val="20"/>
          <w:vertAlign w:val="subscript"/>
        </w:rPr>
        <w:t>1</w:t>
      </w:r>
      <w:r w:rsidRPr="00B502B6">
        <w:rPr>
          <w:rFonts w:cstheme="minorHAnsi"/>
          <w:sz w:val="20"/>
          <w:szCs w:val="20"/>
        </w:rPr>
        <w:t xml:space="preserve"> and </w:t>
      </w:r>
      <w:r w:rsidRPr="00B502B6">
        <w:rPr>
          <w:rFonts w:cstheme="minorHAnsi"/>
          <w:i/>
          <w:sz w:val="20"/>
          <w:szCs w:val="20"/>
        </w:rPr>
        <w:t>a</w:t>
      </w:r>
      <w:r w:rsidRPr="00B502B6">
        <w:rPr>
          <w:rFonts w:cstheme="minorHAnsi"/>
          <w:i/>
          <w:sz w:val="20"/>
          <w:szCs w:val="20"/>
          <w:vertAlign w:val="subscript"/>
        </w:rPr>
        <w:t>2</w:t>
      </w:r>
      <w:r w:rsidRPr="00B502B6">
        <w:rPr>
          <w:rFonts w:cstheme="minorHAnsi"/>
          <w:sz w:val="20"/>
          <w:szCs w:val="20"/>
        </w:rPr>
        <w:t xml:space="preserve">. </w:t>
      </w:r>
    </w:p>
    <w:p w14:paraId="77AFA8DE" w14:textId="77777777" w:rsidR="00B160AB" w:rsidRPr="00B502B6" w:rsidRDefault="00B160AB" w:rsidP="00B160AB">
      <w:pPr>
        <w:rPr>
          <w:rFonts w:cstheme="minorHAnsi"/>
          <w:sz w:val="20"/>
          <w:szCs w:val="20"/>
        </w:rPr>
      </w:pPr>
    </w:p>
    <w:p w14:paraId="28EE5791" w14:textId="77777777" w:rsidR="00B160AB" w:rsidRPr="00A00A0F" w:rsidRDefault="00B160AB" w:rsidP="00B160AB">
      <w:pPr>
        <w:rPr>
          <w:rFonts w:ascii="Calibri" w:hAnsi="Calibri" w:cs="Calibri"/>
          <w:sz w:val="20"/>
          <w:szCs w:val="20"/>
        </w:rPr>
      </w:pPr>
      <w:r w:rsidRPr="00A00A0F">
        <w:rPr>
          <w:rFonts w:ascii="Calibri" w:hAnsi="Calibri" w:cs="Calibri"/>
          <w:sz w:val="20"/>
          <w:szCs w:val="20"/>
        </w:rPr>
        <w:t xml:space="preserve">The sequence of models used for Table S1 is </w:t>
      </w:r>
      <w:r>
        <w:rPr>
          <w:rFonts w:ascii="Calibri" w:hAnsi="Calibri" w:cs="Calibri"/>
          <w:sz w:val="20"/>
          <w:szCs w:val="20"/>
        </w:rPr>
        <w:t xml:space="preserve">the </w:t>
      </w:r>
      <w:r w:rsidRPr="00A00A0F">
        <w:rPr>
          <w:rFonts w:ascii="Calibri" w:hAnsi="Calibri" w:cs="Calibri"/>
          <w:sz w:val="20"/>
          <w:szCs w:val="20"/>
        </w:rPr>
        <w:t xml:space="preserve">same as shown in Fig S2a: the prior </w:t>
      </w:r>
      <w:r>
        <w:rPr>
          <w:rFonts w:ascii="Calibri" w:hAnsi="Calibri" w:cs="Calibri"/>
          <w:sz w:val="20"/>
          <w:szCs w:val="20"/>
        </w:rPr>
        <w:t xml:space="preserve">art </w:t>
      </w:r>
      <w:r w:rsidRPr="00A00A0F">
        <w:rPr>
          <w:rFonts w:ascii="Calibri" w:hAnsi="Calibri" w:cs="Calibri"/>
          <w:sz w:val="20"/>
          <w:szCs w:val="20"/>
        </w:rPr>
        <w:t>spontaneous-persister-formation model in turbidostatic culture (pre-existing stationary-phase persisters get diluted out and spontaneous persisters form) and in pre-drug batch culture (spontaneous persister formation), and our drug-induced model during drug exposure (drug-induced persister formation). We assume that</w:t>
      </w:r>
      <w:r>
        <w:rPr>
          <w:rFonts w:ascii="Calibri" w:hAnsi="Calibri" w:cs="Calibri"/>
          <w:sz w:val="20"/>
          <w:szCs w:val="20"/>
        </w:rPr>
        <w:t xml:space="preserve"> the</w:t>
      </w:r>
      <w:r w:rsidRPr="00A00A0F">
        <w:rPr>
          <w:rFonts w:ascii="Calibri" w:hAnsi="Calibri" w:cs="Calibri"/>
          <w:sz w:val="20"/>
          <w:szCs w:val="20"/>
        </w:rPr>
        <w:t xml:space="preserve"> turbidostatic culture removes all stationary-phase pre-existing persisters by continuous dilution. Therefore, all of the persisters observed in the time-kill assay are either spontaneously formed or drug-induced. In this special case, we can independently fit the spontaneous persister formation rate, </w:t>
      </w:r>
      <w:r w:rsidRPr="00A00A0F">
        <w:rPr>
          <w:rFonts w:ascii="Calibri" w:hAnsi="Calibri" w:cs="Calibri"/>
          <w:i/>
          <w:sz w:val="20"/>
          <w:szCs w:val="20"/>
        </w:rPr>
        <w:t>a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2</w:t>
      </w:r>
      <w:r w:rsidRPr="00A00A0F">
        <w:rPr>
          <w:rFonts w:ascii="Calibri" w:hAnsi="Calibri" w:cs="Calibri"/>
          <w:sz w:val="20"/>
          <w:szCs w:val="20"/>
        </w:rPr>
        <w:t xml:space="preserve">, and </w:t>
      </w:r>
      <w:r w:rsidRPr="00A00A0F">
        <w:rPr>
          <w:rFonts w:ascii="Calibri" w:hAnsi="Calibri" w:cs="Calibri"/>
          <w:color w:val="000000" w:themeColor="text1"/>
          <w:sz w:val="20"/>
          <w:szCs w:val="20"/>
        </w:rPr>
        <w:t xml:space="preserve">the drug-induced persister formation </w:t>
      </w:r>
      <w:r w:rsidRPr="00A00A0F">
        <w:rPr>
          <w:rFonts w:ascii="Calibri" w:hAnsi="Calibri" w:cs="Calibri"/>
          <w:sz w:val="20"/>
          <w:szCs w:val="20"/>
        </w:rPr>
        <w:t xml:space="preserve">rate, </w:t>
      </w:r>
      <w:r w:rsidRPr="00A00A0F">
        <w:rPr>
          <w:rFonts w:ascii="Calibri" w:hAnsi="Calibri" w:cs="Calibri"/>
          <w:i/>
          <w:sz w:val="20"/>
          <w:szCs w:val="20"/>
        </w:rPr>
        <w:t>f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1</w:t>
      </w:r>
      <w:r w:rsidRPr="00A00A0F">
        <w:rPr>
          <w:rFonts w:ascii="Calibri" w:hAnsi="Calibri" w:cs="Calibri"/>
          <w:sz w:val="20"/>
          <w:szCs w:val="20"/>
        </w:rPr>
        <w:t xml:space="preserve">. As a result, given the value of any one parameter among </w:t>
      </w:r>
      <w:r w:rsidRPr="00A00A0F">
        <w:rPr>
          <w:rFonts w:ascii="Calibri" w:hAnsi="Calibri" w:cs="Calibri"/>
          <w:i/>
          <w:sz w:val="20"/>
          <w:szCs w:val="20"/>
        </w:rPr>
        <w:t>a₂</w:t>
      </w:r>
      <w:r w:rsidRPr="00A00A0F">
        <w:rPr>
          <w:rFonts w:ascii="Calibri" w:hAnsi="Calibri" w:cs="Calibri"/>
          <w:sz w:val="20"/>
          <w:szCs w:val="20"/>
        </w:rPr>
        <w:t xml:space="preserve">, </w:t>
      </w:r>
      <w:r w:rsidRPr="00A00A0F">
        <w:rPr>
          <w:rFonts w:ascii="Calibri" w:hAnsi="Calibri" w:cs="Calibri"/>
          <w:i/>
          <w:sz w:val="20"/>
          <w:szCs w:val="20"/>
        </w:rPr>
        <w:t>f₁</w:t>
      </w:r>
      <w:r w:rsidRPr="00A00A0F">
        <w:rPr>
          <w:rFonts w:ascii="Calibri" w:hAnsi="Calibri" w:cs="Calibri"/>
          <w:sz w:val="20"/>
          <w:szCs w:val="20"/>
        </w:rPr>
        <w:t xml:space="preserve">, and </w:t>
      </w:r>
      <w:r w:rsidRPr="00A00A0F">
        <w:rPr>
          <w:rFonts w:ascii="Calibri" w:hAnsi="Calibri" w:cs="Calibri"/>
          <w:i/>
          <w:sz w:val="20"/>
          <w:szCs w:val="20"/>
        </w:rPr>
        <w:t>P₀</w:t>
      </w:r>
      <w:r w:rsidRPr="00A00A0F">
        <w:rPr>
          <w:rFonts w:ascii="Calibri" w:hAnsi="Calibri" w:cs="Calibri"/>
          <w:sz w:val="20"/>
          <w:szCs w:val="20"/>
        </w:rPr>
        <w:t xml:space="preserve"> (the fraction of persisters immediately before drug exposure), the other two parameters/variables can be uniquely determined. Specifically, </w:t>
      </w:r>
      <w:r w:rsidRPr="00A00A0F">
        <w:rPr>
          <w:rFonts w:ascii="Calibri" w:hAnsi="Calibri" w:cs="Calibri"/>
          <w:i/>
          <w:sz w:val="20"/>
          <w:szCs w:val="20"/>
        </w:rPr>
        <w:t>a₂</w:t>
      </w:r>
      <w:r w:rsidRPr="00A00A0F">
        <w:rPr>
          <w:rFonts w:ascii="Calibri" w:hAnsi="Calibri" w:cs="Calibri"/>
          <w:sz w:val="20"/>
          <w:szCs w:val="20"/>
        </w:rPr>
        <w:t xml:space="preserve"> and </w:t>
      </w:r>
      <w:r w:rsidRPr="00A00A0F">
        <w:rPr>
          <w:rFonts w:ascii="Calibri" w:hAnsi="Calibri" w:cs="Calibri"/>
          <w:i/>
          <w:sz w:val="20"/>
          <w:szCs w:val="20"/>
        </w:rPr>
        <w:t>P₀</w:t>
      </w:r>
      <w:r w:rsidRPr="00A00A0F">
        <w:rPr>
          <w:rFonts w:ascii="Calibri" w:hAnsi="Calibri" w:cs="Calibri"/>
          <w:sz w:val="20"/>
          <w:szCs w:val="20"/>
        </w:rPr>
        <w:t xml:space="preserve"> are constrained by the prior spontaneous-persister-formation model of Balaban </w:t>
      </w:r>
      <w:r w:rsidRPr="00A00A0F">
        <w:rPr>
          <w:rFonts w:ascii="Calibri" w:hAnsi="Calibri" w:cs="Calibri"/>
          <w:i/>
          <w:sz w:val="20"/>
          <w:szCs w:val="20"/>
        </w:rPr>
        <w:t>et. al.</w:t>
      </w:r>
      <w:r w:rsidRPr="00A00A0F">
        <w:rPr>
          <w:rFonts w:ascii="Calibri" w:hAnsi="Calibri" w:cs="Calibri"/>
          <w:sz w:val="20"/>
          <w:szCs w:val="20"/>
        </w:rPr>
        <w:t xml:space="preserve"> (2004), such that specifying one fixes the other. The value of </w:t>
      </w:r>
      <w:r w:rsidRPr="00A00A0F">
        <w:rPr>
          <w:rFonts w:ascii="Calibri" w:hAnsi="Calibri" w:cs="Calibri"/>
          <w:i/>
          <w:sz w:val="20"/>
          <w:szCs w:val="20"/>
        </w:rPr>
        <w:t>f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1</w:t>
      </w:r>
      <w:r w:rsidRPr="00A00A0F">
        <w:rPr>
          <w:rFonts w:ascii="Calibri" w:hAnsi="Calibri" w:cs="Calibri"/>
          <w:sz w:val="20"/>
          <w:szCs w:val="20"/>
        </w:rPr>
        <w:t xml:space="preserve"> is set by </w:t>
      </w:r>
      <w:r w:rsidRPr="00A00A0F">
        <w:rPr>
          <w:rFonts w:ascii="Calibri" w:hAnsi="Calibri" w:cs="Calibri"/>
          <w:i/>
          <w:sz w:val="20"/>
          <w:szCs w:val="20"/>
        </w:rPr>
        <w:t>P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0</w:t>
      </w:r>
      <w:r w:rsidRPr="00A00A0F">
        <w:rPr>
          <w:rFonts w:ascii="Calibri" w:hAnsi="Calibri" w:cs="Calibri"/>
          <w:sz w:val="20"/>
          <w:szCs w:val="20"/>
        </w:rPr>
        <w:t xml:space="preserve">, or vice versa, by fitting SDTK data with our kinetic model. The table shows hypothetical scenarios; a 650-fold increase in the reported </w:t>
      </w:r>
      <w:r w:rsidRPr="00A00A0F">
        <w:rPr>
          <w:rFonts w:ascii="Calibri" w:hAnsi="Calibri" w:cs="Calibri"/>
          <w:i/>
          <w:sz w:val="20"/>
          <w:szCs w:val="20"/>
        </w:rPr>
        <w:t>a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2</w:t>
      </w:r>
      <w:r w:rsidRPr="00A00A0F">
        <w:rPr>
          <w:rFonts w:ascii="Calibri" w:hAnsi="Calibri" w:cs="Calibri"/>
          <w:sz w:val="20"/>
          <w:szCs w:val="20"/>
        </w:rPr>
        <w:t xml:space="preserve"> value would be needed to explain the experimental data without </w:t>
      </w:r>
      <w:r w:rsidRPr="00A00A0F">
        <w:rPr>
          <w:rFonts w:ascii="Calibri" w:hAnsi="Calibri" w:cs="Calibri"/>
          <w:i/>
          <w:sz w:val="20"/>
          <w:szCs w:val="20"/>
        </w:rPr>
        <w:t>f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1</w:t>
      </w:r>
      <w:r w:rsidRPr="00A00A0F">
        <w:rPr>
          <w:rFonts w:ascii="Calibri" w:hAnsi="Calibri" w:cs="Calibri"/>
          <w:sz w:val="20"/>
          <w:szCs w:val="20"/>
        </w:rPr>
        <w:t xml:space="preserve">. In contrast, only a 1.004 multiplier on our fitted value of </w:t>
      </w:r>
      <w:r w:rsidRPr="00A00A0F">
        <w:rPr>
          <w:rFonts w:ascii="Calibri" w:hAnsi="Calibri" w:cs="Calibri"/>
          <w:i/>
          <w:sz w:val="20"/>
          <w:szCs w:val="20"/>
        </w:rPr>
        <w:t>f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1</w:t>
      </w:r>
      <w:r w:rsidRPr="00A00A0F">
        <w:rPr>
          <w:rFonts w:ascii="Calibri" w:hAnsi="Calibri" w:cs="Calibri"/>
          <w:sz w:val="20"/>
          <w:szCs w:val="20"/>
        </w:rPr>
        <w:t xml:space="preserve"> would be needed to explain the experimental data without </w:t>
      </w:r>
      <w:r w:rsidRPr="00A00A0F">
        <w:rPr>
          <w:rFonts w:ascii="Calibri" w:hAnsi="Calibri" w:cs="Calibri"/>
          <w:i/>
          <w:sz w:val="20"/>
          <w:szCs w:val="20"/>
        </w:rPr>
        <w:t>a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2</w:t>
      </w:r>
      <w:r w:rsidRPr="00A00A0F">
        <w:rPr>
          <w:rFonts w:ascii="Calibri" w:hAnsi="Calibri" w:cs="Calibri"/>
          <w:sz w:val="20"/>
          <w:szCs w:val="20"/>
        </w:rPr>
        <w:t xml:space="preserve">. Using the previously measured value for </w:t>
      </w:r>
      <w:r w:rsidRPr="00A00A0F">
        <w:rPr>
          <w:rFonts w:ascii="Calibri" w:hAnsi="Calibri" w:cs="Calibri"/>
          <w:i/>
          <w:sz w:val="20"/>
          <w:szCs w:val="20"/>
        </w:rPr>
        <w:t>a</w:t>
      </w:r>
      <w:r w:rsidRPr="00A00A0F">
        <w:rPr>
          <w:rFonts w:ascii="Calibri" w:hAnsi="Calibri" w:cs="Calibri"/>
          <w:i/>
          <w:sz w:val="20"/>
          <w:szCs w:val="20"/>
          <w:vertAlign w:val="subscript"/>
        </w:rPr>
        <w:t>2</w:t>
      </w:r>
      <w:r w:rsidRPr="00A00A0F">
        <w:rPr>
          <w:rFonts w:ascii="Calibri" w:hAnsi="Calibri" w:cs="Calibri"/>
          <w:sz w:val="20"/>
          <w:szCs w:val="20"/>
        </w:rPr>
        <w:t xml:space="preserve">, over 99.8% of all persisters are drug-induced after 1 hour of drug exposure. The experimental dataset fitted to generate this table is the same as shown in Fig. 2C and Supplementary Fig S2, </w:t>
      </w:r>
      <w:r>
        <w:rPr>
          <w:rFonts w:ascii="Calibri" w:hAnsi="Calibri" w:cs="Calibri"/>
          <w:sz w:val="20"/>
          <w:szCs w:val="20"/>
        </w:rPr>
        <w:t>a</w:t>
      </w:r>
      <w:r w:rsidRPr="00A00A0F">
        <w:rPr>
          <w:rFonts w:ascii="Calibri" w:hAnsi="Calibri" w:cs="Calibri"/>
          <w:sz w:val="20"/>
          <w:szCs w:val="20"/>
        </w:rPr>
        <w:t xml:space="preserve"> turbidostat-seeded ampicillin SDTK assay.</w:t>
      </w:r>
    </w:p>
    <w:p w14:paraId="5AA22686" w14:textId="77777777" w:rsidR="00EB4A2D" w:rsidRDefault="00EB4A2D"/>
    <w:sectPr w:rsidR="00EB4A2D" w:rsidSect="00B160A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0AB"/>
    <w:rsid w:val="002C7D54"/>
    <w:rsid w:val="0033371E"/>
    <w:rsid w:val="004534ED"/>
    <w:rsid w:val="005C0D39"/>
    <w:rsid w:val="0070406C"/>
    <w:rsid w:val="00724754"/>
    <w:rsid w:val="00B160AB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8CC88"/>
  <w15:chartTrackingRefBased/>
  <w15:docId w15:val="{16F99138-2D92-4B96-9090-ABB8F7C7C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0AB"/>
    <w:pPr>
      <w:spacing w:line="259" w:lineRule="auto"/>
    </w:pPr>
    <w:rPr>
      <w:rFonts w:eastAsiaTheme="minorEastAsia"/>
      <w:kern w:val="0"/>
      <w:sz w:val="22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0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0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0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0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0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0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0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0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0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6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0A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6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0AB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6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0AB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6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0A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160AB"/>
    <w:rPr>
      <w:b/>
      <w:bCs/>
    </w:rPr>
  </w:style>
  <w:style w:type="table" w:styleId="TableGrid">
    <w:name w:val="Table Grid"/>
    <w:basedOn w:val="TableNormal"/>
    <w:uiPriority w:val="39"/>
    <w:rsid w:val="00B160A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16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1639</Words>
  <Characters>10201</Characters>
  <Application>Microsoft Office Word</Application>
  <DocSecurity>0</DocSecurity>
  <Lines>137</Lines>
  <Paragraphs>39</Paragraphs>
  <ScaleCrop>false</ScaleCrop>
  <Company/>
  <LinksUpToDate>false</LinksUpToDate>
  <CharactersWithSpaces>11801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2026-03-12T09:10:00Z</dcterms:created>
  <dcterms:modified xsi:type="dcterms:W3CDTF">2026-03-12T09:11:00Z</dcterms:modified>
</cp:coreProperties>
</file>