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33AC" w14:textId="77777777" w:rsidR="006F400C" w:rsidRPr="00414728" w:rsidRDefault="006F400C" w:rsidP="006F400C">
      <w:pPr>
        <w:pStyle w:val="Caption"/>
        <w:keepNext/>
        <w:rPr>
          <w:lang w:val="en-GB"/>
        </w:rPr>
      </w:pPr>
      <w:r w:rsidRPr="00414728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  <w:lang w:val="en-US"/>
        </w:rPr>
        <w:t xml:space="preserve">Table </w:t>
      </w:r>
      <w:r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  <w:lang w:val="en-US"/>
        </w:rPr>
        <w:t>3</w:t>
      </w:r>
      <w:r w:rsidRPr="00414728">
        <w:rPr>
          <w:b/>
          <w:i w:val="0"/>
          <w:lang w:val="en-GB"/>
        </w:rPr>
        <w:t>:</w:t>
      </w:r>
      <w:r w:rsidRPr="00414728">
        <w:rPr>
          <w:lang w:val="en-GB"/>
        </w:rPr>
        <w:t xml:space="preserve"> 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Beta (β) coefficients and 95% confidence intervals for the relationship between average air pollutant exposure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 (in the </w:t>
      </w:r>
      <w:r w:rsidRPr="00804150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15min to 4h preceding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 lung function 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measurement) and lung function indicators, including 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forced expiratory volume in 1second 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(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FEV1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)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; forced vital capacity 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(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FVC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)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; 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and the 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FEV1/FVC ratio. 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In models with two pollutants, the two air pollution variables were adjusted for each other. </w:t>
      </w:r>
      <w:r w:rsidRPr="00414728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All models were adjusted for covariates (</w:t>
      </w:r>
      <w:r w:rsidRPr="0023508F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sex, age, income, day of the week, time of day, and smoking status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, N=199, </w:t>
      </w:r>
      <w:r w:rsidRPr="00A01197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observations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 </w:t>
      </w:r>
      <w:r w:rsidRPr="00A01197"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=</w:t>
      </w:r>
      <w:r>
        <w:rPr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 xml:space="preserve"> </w:t>
      </w:r>
      <w:r w:rsidRPr="006A0667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GB"/>
        </w:rPr>
        <w:t>2504</w:t>
      </w:r>
      <w:r w:rsidRPr="00707933">
        <w:rPr>
          <w:rFonts w:asciiTheme="majorBidi" w:hAnsiTheme="majorBidi" w:cstheme="majorBidi"/>
          <w:i w:val="0"/>
          <w:iCs w:val="0"/>
          <w:sz w:val="22"/>
          <w:szCs w:val="22"/>
          <w:lang w:val="en-GB"/>
        </w:rPr>
        <w:t>)</w:t>
      </w:r>
    </w:p>
    <w:tbl>
      <w:tblPr>
        <w:tblStyle w:val="PlainTable2"/>
        <w:tblW w:w="13792" w:type="dxa"/>
        <w:tblInd w:w="-1440" w:type="dxa"/>
        <w:tblLook w:val="04A0" w:firstRow="1" w:lastRow="0" w:firstColumn="1" w:lastColumn="0" w:noHBand="0" w:noVBand="1"/>
      </w:tblPr>
      <w:tblGrid>
        <w:gridCol w:w="1620"/>
        <w:gridCol w:w="1350"/>
        <w:gridCol w:w="1440"/>
        <w:gridCol w:w="1440"/>
        <w:gridCol w:w="1710"/>
        <w:gridCol w:w="1710"/>
        <w:gridCol w:w="1440"/>
        <w:gridCol w:w="3082"/>
      </w:tblGrid>
      <w:tr w:rsidR="006F400C" w:rsidRPr="00153375" w14:paraId="72C9FB33" w14:textId="77777777" w:rsidTr="006F4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6BB3509" w14:textId="77777777" w:rsidR="006F400C" w:rsidRPr="00A34580" w:rsidRDefault="006F400C" w:rsidP="006D35D9">
            <w:pPr>
              <w:rPr>
                <w:bCs w:val="0"/>
                <w:sz w:val="16"/>
                <w:szCs w:val="16"/>
                <w:lang w:val="en-US"/>
              </w:rPr>
            </w:pPr>
            <w:bookmarkStart w:id="0" w:name="_Hlk179659671"/>
          </w:p>
          <w:p w14:paraId="66EE7528" w14:textId="77777777" w:rsidR="006F400C" w:rsidRPr="00A34580" w:rsidRDefault="006F400C" w:rsidP="006D35D9">
            <w:pPr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14:paraId="65116608" w14:textId="77777777" w:rsidR="006F400C" w:rsidRPr="00A34580" w:rsidRDefault="006F400C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14:paraId="67842D53" w14:textId="77777777" w:rsidR="006F400C" w:rsidRPr="00A34580" w:rsidRDefault="006F400C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en-US"/>
              </w:rPr>
            </w:pPr>
            <w:r w:rsidRPr="00A34580">
              <w:rPr>
                <w:sz w:val="16"/>
                <w:szCs w:val="16"/>
                <w:lang w:val="en-US"/>
              </w:rPr>
              <w:t>15 minutes</w:t>
            </w:r>
          </w:p>
        </w:tc>
        <w:tc>
          <w:tcPr>
            <w:tcW w:w="1440" w:type="dxa"/>
          </w:tcPr>
          <w:p w14:paraId="54CBC2FC" w14:textId="77777777" w:rsidR="006F400C" w:rsidRPr="00A34580" w:rsidRDefault="006F400C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en-US"/>
              </w:rPr>
            </w:pPr>
            <w:r w:rsidRPr="00A34580">
              <w:rPr>
                <w:sz w:val="16"/>
                <w:szCs w:val="16"/>
                <w:lang w:val="en-US"/>
              </w:rPr>
              <w:t>30 minutes</w:t>
            </w:r>
          </w:p>
        </w:tc>
        <w:tc>
          <w:tcPr>
            <w:tcW w:w="1710" w:type="dxa"/>
          </w:tcPr>
          <w:p w14:paraId="280424BA" w14:textId="77777777" w:rsidR="006F400C" w:rsidRPr="00A34580" w:rsidRDefault="006F400C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en-US"/>
              </w:rPr>
            </w:pPr>
            <w:r w:rsidRPr="00A34580">
              <w:rPr>
                <w:sz w:val="16"/>
                <w:szCs w:val="16"/>
                <w:lang w:val="en-US"/>
              </w:rPr>
              <w:t>1 hour</w:t>
            </w:r>
          </w:p>
        </w:tc>
        <w:tc>
          <w:tcPr>
            <w:tcW w:w="1710" w:type="dxa"/>
          </w:tcPr>
          <w:p w14:paraId="4201AB9E" w14:textId="77777777" w:rsidR="006F400C" w:rsidRPr="00A34580" w:rsidRDefault="006F400C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en-US"/>
              </w:rPr>
            </w:pPr>
            <w:r w:rsidRPr="00A34580">
              <w:rPr>
                <w:sz w:val="16"/>
                <w:szCs w:val="16"/>
                <w:lang w:val="en-US"/>
              </w:rPr>
              <w:t>2 hours</w:t>
            </w:r>
          </w:p>
        </w:tc>
        <w:tc>
          <w:tcPr>
            <w:tcW w:w="1440" w:type="dxa"/>
          </w:tcPr>
          <w:p w14:paraId="5521A124" w14:textId="77777777" w:rsidR="006F400C" w:rsidRPr="00A34580" w:rsidRDefault="006F400C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en-US"/>
              </w:rPr>
            </w:pPr>
            <w:r w:rsidRPr="00A34580">
              <w:rPr>
                <w:sz w:val="16"/>
                <w:szCs w:val="16"/>
                <w:lang w:val="en-US"/>
              </w:rPr>
              <w:t xml:space="preserve">3 hours </w:t>
            </w:r>
          </w:p>
        </w:tc>
        <w:tc>
          <w:tcPr>
            <w:tcW w:w="3082" w:type="dxa"/>
          </w:tcPr>
          <w:p w14:paraId="062FCCA1" w14:textId="77777777" w:rsidR="006F400C" w:rsidRPr="00A34580" w:rsidRDefault="006F400C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en-US"/>
              </w:rPr>
            </w:pPr>
            <w:r w:rsidRPr="00A34580">
              <w:rPr>
                <w:sz w:val="16"/>
                <w:szCs w:val="16"/>
                <w:lang w:val="en-US"/>
              </w:rPr>
              <w:t xml:space="preserve">4 hours </w:t>
            </w:r>
          </w:p>
        </w:tc>
      </w:tr>
      <w:tr w:rsidR="006F400C" w:rsidRPr="00153375" w14:paraId="6BD9F797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9B6D501" w14:textId="77777777" w:rsidR="006F400C" w:rsidRPr="00C819EB" w:rsidRDefault="006F400C" w:rsidP="006D35D9">
            <w:pPr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1350" w:type="dxa"/>
          </w:tcPr>
          <w:p w14:paraId="06165C69" w14:textId="77777777" w:rsidR="006F400C" w:rsidRPr="00C819EB" w:rsidRDefault="006F400C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C819EB">
              <w:rPr>
                <w:b/>
                <w:sz w:val="16"/>
                <w:szCs w:val="16"/>
                <w:lang w:val="en-US"/>
              </w:rPr>
              <w:t>Pollutants %</w:t>
            </w:r>
          </w:p>
        </w:tc>
        <w:tc>
          <w:tcPr>
            <w:tcW w:w="1440" w:type="dxa"/>
          </w:tcPr>
          <w:p w14:paraId="22E3E1D7" w14:textId="77777777" w:rsidR="006F400C" w:rsidRPr="00A34580" w:rsidRDefault="006F400C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A34580">
              <w:rPr>
                <w:b/>
                <w:sz w:val="16"/>
                <w:szCs w:val="16"/>
                <w:lang w:val="en-US"/>
              </w:rPr>
              <w:t>Estimate (CI 95%)</w:t>
            </w:r>
          </w:p>
        </w:tc>
        <w:tc>
          <w:tcPr>
            <w:tcW w:w="1440" w:type="dxa"/>
          </w:tcPr>
          <w:p w14:paraId="1B5BC9B4" w14:textId="77777777" w:rsidR="006F400C" w:rsidRPr="00A34580" w:rsidRDefault="006F400C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A34580">
              <w:rPr>
                <w:b/>
                <w:sz w:val="16"/>
                <w:szCs w:val="16"/>
                <w:lang w:val="en-US"/>
              </w:rPr>
              <w:t>Estimate (CI 95%)</w:t>
            </w:r>
          </w:p>
        </w:tc>
        <w:tc>
          <w:tcPr>
            <w:tcW w:w="1710" w:type="dxa"/>
          </w:tcPr>
          <w:p w14:paraId="2B55B4A4" w14:textId="77777777" w:rsidR="006F400C" w:rsidRPr="00A34580" w:rsidRDefault="006F400C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A34580">
              <w:rPr>
                <w:b/>
                <w:sz w:val="16"/>
                <w:szCs w:val="16"/>
                <w:lang w:val="en-US"/>
              </w:rPr>
              <w:t>Estimate (CI 95%)</w:t>
            </w:r>
          </w:p>
        </w:tc>
        <w:tc>
          <w:tcPr>
            <w:tcW w:w="1710" w:type="dxa"/>
          </w:tcPr>
          <w:p w14:paraId="11FFBE8A" w14:textId="77777777" w:rsidR="006F400C" w:rsidRPr="00A34580" w:rsidRDefault="006F400C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A34580">
              <w:rPr>
                <w:b/>
                <w:sz w:val="16"/>
                <w:szCs w:val="16"/>
                <w:lang w:val="en-US"/>
              </w:rPr>
              <w:t>Estimate (CI 95%)</w:t>
            </w:r>
          </w:p>
        </w:tc>
        <w:tc>
          <w:tcPr>
            <w:tcW w:w="1440" w:type="dxa"/>
          </w:tcPr>
          <w:p w14:paraId="1B3D6823" w14:textId="77777777" w:rsidR="006F400C" w:rsidRPr="00A34580" w:rsidRDefault="006F400C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A34580">
              <w:rPr>
                <w:b/>
                <w:sz w:val="16"/>
                <w:szCs w:val="16"/>
                <w:lang w:val="en-US"/>
              </w:rPr>
              <w:t>Estimate (CI 95%)</w:t>
            </w:r>
          </w:p>
        </w:tc>
        <w:tc>
          <w:tcPr>
            <w:tcW w:w="3082" w:type="dxa"/>
          </w:tcPr>
          <w:p w14:paraId="1DD0BC71" w14:textId="77777777" w:rsidR="006F400C" w:rsidRPr="00A34580" w:rsidRDefault="006F400C" w:rsidP="006D3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A34580">
              <w:rPr>
                <w:b/>
                <w:sz w:val="16"/>
                <w:szCs w:val="16"/>
                <w:lang w:val="en-US"/>
              </w:rPr>
              <w:t>Estimate (CI 95%)</w:t>
            </w:r>
          </w:p>
        </w:tc>
      </w:tr>
      <w:tr w:rsidR="006F400C" w:rsidRPr="00666FC0" w14:paraId="220B8CB8" w14:textId="77777777" w:rsidTr="006F400C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2" w:type="dxa"/>
            <w:gridSpan w:val="8"/>
          </w:tcPr>
          <w:p w14:paraId="23FC5312" w14:textId="77777777" w:rsidR="006F400C" w:rsidRPr="00A34580" w:rsidRDefault="006F400C" w:rsidP="006D35D9">
            <w:pPr>
              <w:rPr>
                <w:b w:val="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C819EB">
              <w:rPr>
                <w:sz w:val="16"/>
                <w:szCs w:val="16"/>
                <w:lang w:val="en-US"/>
              </w:rPr>
              <w:t>orced expiratory volume in 1second FEV1</w:t>
            </w:r>
          </w:p>
        </w:tc>
      </w:tr>
      <w:tr w:rsidR="006F400C" w:rsidRPr="00153375" w14:paraId="56D1FE22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02224A5" w14:textId="77777777" w:rsidR="006F400C" w:rsidRDefault="006F400C" w:rsidP="006D35D9">
            <w:pPr>
              <w:spacing w:after="60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14:paraId="28E49174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BC (μg/m3)</w:t>
            </w:r>
          </w:p>
        </w:tc>
        <w:tc>
          <w:tcPr>
            <w:tcW w:w="1440" w:type="dxa"/>
          </w:tcPr>
          <w:p w14:paraId="63ACDBDE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1440" w:type="dxa"/>
          </w:tcPr>
          <w:p w14:paraId="797BAD7C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1710" w:type="dxa"/>
          </w:tcPr>
          <w:p w14:paraId="18BB6616" w14:textId="77777777" w:rsidR="006F400C" w:rsidRPr="00C819EB" w:rsidRDefault="006F400C" w:rsidP="006D35D9">
            <w:pPr>
              <w:spacing w:after="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 xml:space="preserve">-0.016 (-0.024,-0.008) </w:t>
            </w:r>
          </w:p>
        </w:tc>
        <w:tc>
          <w:tcPr>
            <w:tcW w:w="1710" w:type="dxa"/>
          </w:tcPr>
          <w:p w14:paraId="68480D2B" w14:textId="77777777" w:rsidR="006F400C" w:rsidRPr="00C819EB" w:rsidRDefault="006F400C" w:rsidP="006D35D9">
            <w:pPr>
              <w:spacing w:after="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 xml:space="preserve">-0,021 (-0.034,-0.007) </w:t>
            </w:r>
          </w:p>
        </w:tc>
        <w:tc>
          <w:tcPr>
            <w:tcW w:w="1440" w:type="dxa"/>
          </w:tcPr>
          <w:p w14:paraId="2F2E06C9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3082" w:type="dxa"/>
          </w:tcPr>
          <w:p w14:paraId="13C71088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</w:tr>
      <w:tr w:rsidR="006F400C" w:rsidRPr="00153375" w14:paraId="3B5BC372" w14:textId="77777777" w:rsidTr="006F400C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10F3831" w14:textId="77777777" w:rsidR="006F400C" w:rsidRDefault="006F400C" w:rsidP="006D35D9">
            <w:pPr>
              <w:spacing w:after="60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14:paraId="4FEB8179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O3 (ppb)</w:t>
            </w:r>
          </w:p>
        </w:tc>
        <w:tc>
          <w:tcPr>
            <w:tcW w:w="1440" w:type="dxa"/>
          </w:tcPr>
          <w:p w14:paraId="18D2D859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1440" w:type="dxa"/>
          </w:tcPr>
          <w:p w14:paraId="6BC29C8E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1710" w:type="dxa"/>
          </w:tcPr>
          <w:p w14:paraId="23FCE5B4" w14:textId="77777777" w:rsidR="006F400C" w:rsidRPr="00C819EB" w:rsidRDefault="006F400C" w:rsidP="006D35D9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 xml:space="preserve">0.43 (0.04,0.81) </w:t>
            </w:r>
          </w:p>
        </w:tc>
        <w:tc>
          <w:tcPr>
            <w:tcW w:w="1710" w:type="dxa"/>
          </w:tcPr>
          <w:p w14:paraId="3804F672" w14:textId="77777777" w:rsidR="006F400C" w:rsidRPr="00C819EB" w:rsidRDefault="006F400C" w:rsidP="006D35D9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 xml:space="preserve">0.45 (0.08,0.83) </w:t>
            </w:r>
          </w:p>
        </w:tc>
        <w:tc>
          <w:tcPr>
            <w:tcW w:w="1440" w:type="dxa"/>
          </w:tcPr>
          <w:p w14:paraId="316F34E7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3082" w:type="dxa"/>
          </w:tcPr>
          <w:p w14:paraId="124D5252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</w:tr>
      <w:tr w:rsidR="006F400C" w:rsidRPr="00C819EB" w14:paraId="3AB61CD7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2" w:type="dxa"/>
            <w:gridSpan w:val="8"/>
          </w:tcPr>
          <w:p w14:paraId="4A65B3F8" w14:textId="77777777" w:rsidR="006F400C" w:rsidRPr="00A34580" w:rsidRDefault="006F400C" w:rsidP="006D35D9">
            <w:pPr>
              <w:rPr>
                <w:b w:val="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C819EB">
              <w:rPr>
                <w:sz w:val="16"/>
                <w:szCs w:val="16"/>
                <w:lang w:val="en-US"/>
              </w:rPr>
              <w:t xml:space="preserve">orced vital capacity FVC </w:t>
            </w:r>
          </w:p>
        </w:tc>
      </w:tr>
      <w:tr w:rsidR="006F400C" w:rsidRPr="00153375" w14:paraId="597A27BC" w14:textId="77777777" w:rsidTr="006F400C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77D4596" w14:textId="77777777" w:rsidR="006F400C" w:rsidRDefault="006F400C" w:rsidP="006D35D9">
            <w:pPr>
              <w:spacing w:after="60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14:paraId="1BE37166" w14:textId="77777777" w:rsidR="006F400C" w:rsidRPr="00C819EB" w:rsidRDefault="006F400C" w:rsidP="006D35D9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O3 (ppb)</w:t>
            </w:r>
          </w:p>
        </w:tc>
        <w:tc>
          <w:tcPr>
            <w:tcW w:w="1440" w:type="dxa"/>
          </w:tcPr>
          <w:p w14:paraId="7F820ABA" w14:textId="77777777" w:rsidR="006F400C" w:rsidRPr="00C819EB" w:rsidRDefault="006F400C" w:rsidP="006D35D9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0.64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819EB">
              <w:rPr>
                <w:sz w:val="16"/>
                <w:szCs w:val="16"/>
                <w:lang w:val="en-US"/>
              </w:rPr>
              <w:t xml:space="preserve">(0.01,0.129) </w:t>
            </w:r>
          </w:p>
        </w:tc>
        <w:tc>
          <w:tcPr>
            <w:tcW w:w="1440" w:type="dxa"/>
          </w:tcPr>
          <w:p w14:paraId="3AE27602" w14:textId="77777777" w:rsidR="006F400C" w:rsidRPr="00C819EB" w:rsidRDefault="006F400C" w:rsidP="006D35D9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0.62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819EB">
              <w:rPr>
                <w:sz w:val="16"/>
                <w:szCs w:val="16"/>
                <w:lang w:val="en-US"/>
              </w:rPr>
              <w:t xml:space="preserve">(0.02,1.22) </w:t>
            </w:r>
          </w:p>
        </w:tc>
        <w:tc>
          <w:tcPr>
            <w:tcW w:w="1710" w:type="dxa"/>
          </w:tcPr>
          <w:p w14:paraId="1CD60F0F" w14:textId="77777777" w:rsidR="006F400C" w:rsidRPr="00C819EB" w:rsidRDefault="006F400C" w:rsidP="006D35D9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0.64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819EB">
              <w:rPr>
                <w:sz w:val="16"/>
                <w:szCs w:val="16"/>
                <w:lang w:val="en-US"/>
              </w:rPr>
              <w:t xml:space="preserve">(0.009,0.11) </w:t>
            </w:r>
          </w:p>
        </w:tc>
        <w:tc>
          <w:tcPr>
            <w:tcW w:w="1710" w:type="dxa"/>
          </w:tcPr>
          <w:p w14:paraId="5B0C6E3E" w14:textId="77777777" w:rsidR="006F400C" w:rsidRPr="00C819EB" w:rsidRDefault="006F400C" w:rsidP="006D35D9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 xml:space="preserve">67 </w:t>
            </w:r>
            <w:r w:rsidRPr="00C819EB">
              <w:rPr>
                <w:sz w:val="16"/>
                <w:szCs w:val="16"/>
                <w:lang w:val="en-US"/>
              </w:rPr>
              <w:t>(0.0</w:t>
            </w:r>
            <w:r>
              <w:rPr>
                <w:sz w:val="16"/>
                <w:szCs w:val="16"/>
                <w:lang w:val="en-US"/>
              </w:rPr>
              <w:t>1</w:t>
            </w:r>
            <w:r w:rsidRPr="00C819EB">
              <w:rPr>
                <w:sz w:val="16"/>
                <w:szCs w:val="16"/>
                <w:lang w:val="en-US"/>
              </w:rPr>
              <w:t>,1.1</w:t>
            </w:r>
            <w:r>
              <w:rPr>
                <w:sz w:val="16"/>
                <w:szCs w:val="16"/>
                <w:lang w:val="en-US"/>
              </w:rPr>
              <w:t>2</w:t>
            </w:r>
            <w:r w:rsidRPr="00C819EB">
              <w:rPr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1440" w:type="dxa"/>
          </w:tcPr>
          <w:p w14:paraId="06EE186B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3082" w:type="dxa"/>
          </w:tcPr>
          <w:p w14:paraId="772B76D1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>_</w:t>
            </w:r>
          </w:p>
        </w:tc>
      </w:tr>
      <w:tr w:rsidR="006F400C" w:rsidRPr="00153375" w14:paraId="1B203FE7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2" w:type="dxa"/>
            <w:gridSpan w:val="8"/>
          </w:tcPr>
          <w:p w14:paraId="3E534238" w14:textId="77777777" w:rsidR="006F400C" w:rsidRPr="00A34580" w:rsidRDefault="006F400C" w:rsidP="006D35D9">
            <w:pPr>
              <w:rPr>
                <w:b w:val="0"/>
                <w:sz w:val="16"/>
                <w:szCs w:val="16"/>
                <w:lang w:val="en-US"/>
              </w:rPr>
            </w:pPr>
            <w:r w:rsidRPr="00C819EB">
              <w:rPr>
                <w:sz w:val="16"/>
                <w:szCs w:val="16"/>
                <w:lang w:val="en-US"/>
              </w:rPr>
              <w:t xml:space="preserve">FEV1 /FVC ratio </w:t>
            </w:r>
          </w:p>
        </w:tc>
      </w:tr>
      <w:tr w:rsidR="006F400C" w:rsidRPr="00153375" w14:paraId="033640CD" w14:textId="77777777" w:rsidTr="006F400C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F40476D" w14:textId="77777777" w:rsidR="006F400C" w:rsidRPr="00A34580" w:rsidRDefault="006F400C" w:rsidP="006D35D9">
            <w:pPr>
              <w:spacing w:after="60"/>
              <w:rPr>
                <w:b w:val="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000F784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19EB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M</w:t>
            </w:r>
            <w:r w:rsidRPr="00C819EB">
              <w:rPr>
                <w:sz w:val="16"/>
                <w:szCs w:val="16"/>
              </w:rPr>
              <w:t>2.5 (μg/m</w:t>
            </w:r>
            <w:r w:rsidRPr="00C819EB">
              <w:rPr>
                <w:sz w:val="16"/>
                <w:szCs w:val="16"/>
                <w:vertAlign w:val="superscript"/>
              </w:rPr>
              <w:t>3</w:t>
            </w:r>
            <w:r w:rsidRPr="00C819EB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60245167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19EB">
              <w:rPr>
                <w:sz w:val="16"/>
                <w:szCs w:val="16"/>
              </w:rPr>
              <w:t>-0.6</w:t>
            </w:r>
            <w:r>
              <w:rPr>
                <w:sz w:val="16"/>
                <w:szCs w:val="16"/>
              </w:rPr>
              <w:t>0</w:t>
            </w:r>
            <w:r w:rsidRPr="00C819EB">
              <w:rPr>
                <w:sz w:val="16"/>
                <w:szCs w:val="16"/>
              </w:rPr>
              <w:t xml:space="preserve"> (-1.30,-0.03)</w:t>
            </w:r>
          </w:p>
        </w:tc>
        <w:tc>
          <w:tcPr>
            <w:tcW w:w="1440" w:type="dxa"/>
          </w:tcPr>
          <w:p w14:paraId="6C53BD13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19EB">
              <w:rPr>
                <w:sz w:val="16"/>
                <w:szCs w:val="16"/>
              </w:rPr>
              <w:t>-0.7</w:t>
            </w:r>
            <w:r>
              <w:rPr>
                <w:sz w:val="16"/>
                <w:szCs w:val="16"/>
              </w:rPr>
              <w:t xml:space="preserve">0 </w:t>
            </w:r>
            <w:r w:rsidRPr="00C819EB">
              <w:rPr>
                <w:sz w:val="16"/>
                <w:szCs w:val="16"/>
              </w:rPr>
              <w:t>(-1.39,-0.09)</w:t>
            </w:r>
          </w:p>
        </w:tc>
        <w:tc>
          <w:tcPr>
            <w:tcW w:w="1710" w:type="dxa"/>
          </w:tcPr>
          <w:p w14:paraId="638967E1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D1A78">
              <w:rPr>
                <w:sz w:val="16"/>
                <w:szCs w:val="16"/>
                <w:lang w:val="en-US"/>
              </w:rPr>
              <w:t>-0.50 ( -1.10,-0.01)</w:t>
            </w:r>
          </w:p>
        </w:tc>
        <w:tc>
          <w:tcPr>
            <w:tcW w:w="1710" w:type="dxa"/>
          </w:tcPr>
          <w:p w14:paraId="296304D2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40" w:type="dxa"/>
          </w:tcPr>
          <w:p w14:paraId="56BCBD36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3082" w:type="dxa"/>
          </w:tcPr>
          <w:p w14:paraId="21B3A10D" w14:textId="77777777" w:rsidR="006F400C" w:rsidRPr="00C819EB" w:rsidRDefault="006F400C" w:rsidP="006D35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6F400C" w:rsidRPr="00153375" w14:paraId="053225AE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3609A1D" w14:textId="77777777" w:rsidR="006F400C" w:rsidRPr="00A34580" w:rsidRDefault="006F400C" w:rsidP="006D35D9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C0539BB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19EB">
              <w:rPr>
                <w:sz w:val="16"/>
                <w:szCs w:val="16"/>
              </w:rPr>
              <w:t>BC (</w:t>
            </w:r>
            <w:r w:rsidRPr="00C819EB">
              <w:rPr>
                <w:sz w:val="16"/>
                <w:szCs w:val="16"/>
                <w:lang w:val="en-US"/>
              </w:rPr>
              <w:t>μg/m</w:t>
            </w:r>
            <w:r w:rsidRPr="00C819EB">
              <w:rPr>
                <w:sz w:val="16"/>
                <w:szCs w:val="16"/>
                <w:vertAlign w:val="superscript"/>
                <w:lang w:val="en-US"/>
              </w:rPr>
              <w:t>3</w:t>
            </w:r>
            <w:r w:rsidRPr="00C819EB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2F849AB1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40" w:type="dxa"/>
          </w:tcPr>
          <w:p w14:paraId="0D2F5763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10" w:type="dxa"/>
          </w:tcPr>
          <w:p w14:paraId="6C3837B2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10" w:type="dxa"/>
          </w:tcPr>
          <w:p w14:paraId="43BD937C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19EB">
              <w:rPr>
                <w:sz w:val="16"/>
                <w:szCs w:val="16"/>
              </w:rPr>
              <w:t>-0.26 (-0.44,-0.09)</w:t>
            </w:r>
          </w:p>
        </w:tc>
        <w:tc>
          <w:tcPr>
            <w:tcW w:w="1440" w:type="dxa"/>
          </w:tcPr>
          <w:p w14:paraId="5ACFE492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19EB">
              <w:rPr>
                <w:sz w:val="16"/>
                <w:szCs w:val="16"/>
              </w:rPr>
              <w:t>-0.15 (-0.29,-0.01)</w:t>
            </w:r>
          </w:p>
        </w:tc>
        <w:tc>
          <w:tcPr>
            <w:tcW w:w="3082" w:type="dxa"/>
          </w:tcPr>
          <w:p w14:paraId="74809DC9" w14:textId="77777777" w:rsidR="006F400C" w:rsidRPr="00C819EB" w:rsidRDefault="006F400C" w:rsidP="006D35D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19EB">
              <w:rPr>
                <w:sz w:val="16"/>
                <w:szCs w:val="16"/>
              </w:rPr>
              <w:t>-0.17 (-0.32,-0.01)</w:t>
            </w:r>
          </w:p>
        </w:tc>
      </w:tr>
      <w:bookmarkEnd w:id="0"/>
    </w:tbl>
    <w:p w14:paraId="6FDC28D9" w14:textId="77777777" w:rsidR="006F400C" w:rsidRDefault="006F400C" w:rsidP="006F400C">
      <w:pPr>
        <w:jc w:val="both"/>
        <w:rPr>
          <w:sz w:val="24"/>
          <w:lang w:val="en-US"/>
        </w:rPr>
      </w:pPr>
    </w:p>
    <w:p w14:paraId="6C180637" w14:textId="77777777" w:rsidR="006F400C" w:rsidRDefault="006F400C" w:rsidP="006F400C">
      <w:pPr>
        <w:jc w:val="both"/>
        <w:rPr>
          <w:sz w:val="24"/>
          <w:lang w:val="en-US"/>
        </w:rPr>
      </w:pPr>
    </w:p>
    <w:p w14:paraId="70B34FB5" w14:textId="77777777" w:rsidR="00E53B31" w:rsidRDefault="00E53B31"/>
    <w:sectPr w:rsidR="00E53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0C"/>
    <w:rsid w:val="00305B6D"/>
    <w:rsid w:val="006F400C"/>
    <w:rsid w:val="00D00169"/>
    <w:rsid w:val="00E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B8CC"/>
  <w15:chartTrackingRefBased/>
  <w15:docId w15:val="{9112CA5F-DE33-43A0-BFD0-01B746CC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0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F400C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F40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D0CEA0020BB4BB9B5AD128A8FC36C" ma:contentTypeVersion="4" ma:contentTypeDescription="Create a new document." ma:contentTypeScope="" ma:versionID="08468cca9907ecd93e7751f306e8502b">
  <xsd:schema xmlns:xsd="http://www.w3.org/2001/XMLSchema" xmlns:xs="http://www.w3.org/2001/XMLSchema" xmlns:p="http://schemas.microsoft.com/office/2006/metadata/properties" xmlns:ns3="af1bef31-ba7f-4adb-89b7-2c576d6c0a5f" targetNamespace="http://schemas.microsoft.com/office/2006/metadata/properties" ma:root="true" ma:fieldsID="8ad17deeba29ca54ddafea6d6b7cd2eb" ns3:_="">
    <xsd:import namespace="af1bef31-ba7f-4adb-89b7-2c576d6c0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bef31-ba7f-4adb-89b7-2c576d6c0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BE4F33-4CD2-435F-9ADC-C1238D5C7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bef31-ba7f-4adb-89b7-2c576d6c0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690C8-4612-4DBF-A5D9-894CBE346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217CB-1B11-4C73-B8AA-8153B03EF5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Najat Rizk</dc:creator>
  <cp:keywords/>
  <dc:description/>
  <cp:lastModifiedBy>Najat Rizk</cp:lastModifiedBy>
  <cp:revision>2</cp:revision>
  <dcterms:created xsi:type="dcterms:W3CDTF">2025-03-02T10:21:00Z</dcterms:created>
  <dcterms:modified xsi:type="dcterms:W3CDTF">2025-03-02T10:26:00Z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0x010100268D0CEA0020BB4BB9B5AD128A8FC36C</vt:lpwstr>
  </property>
</Properties>
</file>