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E5D3A" w14:textId="6681284A" w:rsidR="00CD26B7" w:rsidRDefault="00B80A70" w:rsidP="00B80A70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HIGHLIGHTS</w:t>
      </w:r>
    </w:p>
    <w:p w14:paraId="3C9A363C" w14:textId="77777777" w:rsidR="00B80A70" w:rsidRDefault="00B80A70" w:rsidP="00B80A70">
      <w:pPr>
        <w:jc w:val="center"/>
        <w:rPr>
          <w:b/>
          <w:bCs/>
          <w:lang w:val="en-US"/>
        </w:rPr>
      </w:pPr>
    </w:p>
    <w:p w14:paraId="0A687323" w14:textId="25B57C95" w:rsidR="00B80A70" w:rsidRPr="00B80A70" w:rsidRDefault="00B80A70" w:rsidP="00B80A70">
      <w:pPr>
        <w:pStyle w:val="PargrafodaLista"/>
        <w:numPr>
          <w:ilvl w:val="0"/>
          <w:numId w:val="1"/>
        </w:numPr>
        <w:jc w:val="both"/>
        <w:rPr>
          <w:lang w:val="en-US"/>
        </w:rPr>
      </w:pPr>
      <w:r w:rsidRPr="00B80A70">
        <w:rPr>
          <w:lang w:val="en-US"/>
        </w:rPr>
        <w:t>Integrated composting–vermicomposting valorizes nicotine-rich waste</w:t>
      </w:r>
      <w:r>
        <w:rPr>
          <w:lang w:val="en-US"/>
        </w:rPr>
        <w:t>;</w:t>
      </w:r>
    </w:p>
    <w:p w14:paraId="6415CE2B" w14:textId="77777777" w:rsidR="00B80A70" w:rsidRPr="00B80A70" w:rsidRDefault="00B80A70" w:rsidP="00B80A70">
      <w:pPr>
        <w:pStyle w:val="PargrafodaLista"/>
        <w:jc w:val="both"/>
        <w:rPr>
          <w:lang w:val="en-US"/>
        </w:rPr>
      </w:pPr>
    </w:p>
    <w:p w14:paraId="4E22DA55" w14:textId="483698DB" w:rsidR="00B80A70" w:rsidRPr="00B80A70" w:rsidRDefault="00B80A70" w:rsidP="00B80A70">
      <w:pPr>
        <w:pStyle w:val="PargrafodaLista"/>
        <w:numPr>
          <w:ilvl w:val="0"/>
          <w:numId w:val="1"/>
        </w:numPr>
        <w:jc w:val="both"/>
        <w:rPr>
          <w:lang w:val="en-US"/>
        </w:rPr>
      </w:pPr>
      <w:r w:rsidRPr="00B80A70">
        <w:rPr>
          <w:lang w:val="en-US"/>
        </w:rPr>
        <w:t>Sustained thermophilic phase (&gt;55 °C) ensures sanitization</w:t>
      </w:r>
      <w:r>
        <w:rPr>
          <w:lang w:val="en-US"/>
        </w:rPr>
        <w:t>;</w:t>
      </w:r>
    </w:p>
    <w:p w14:paraId="2A1EC606" w14:textId="77777777" w:rsidR="00B80A70" w:rsidRPr="00B80A70" w:rsidRDefault="00B80A70" w:rsidP="00B80A70">
      <w:pPr>
        <w:pStyle w:val="PargrafodaLista"/>
        <w:jc w:val="both"/>
        <w:rPr>
          <w:lang w:val="en-US"/>
        </w:rPr>
      </w:pPr>
    </w:p>
    <w:p w14:paraId="4E839FF8" w14:textId="2CD3FE96" w:rsidR="00B80A70" w:rsidRPr="00B80A70" w:rsidRDefault="00B80A70" w:rsidP="00B80A70">
      <w:pPr>
        <w:pStyle w:val="PargrafodaLista"/>
        <w:numPr>
          <w:ilvl w:val="0"/>
          <w:numId w:val="1"/>
        </w:numPr>
        <w:jc w:val="both"/>
        <w:rPr>
          <w:lang w:val="en-US"/>
        </w:rPr>
      </w:pPr>
      <w:r w:rsidRPr="00B80A70">
        <w:rPr>
          <w:lang w:val="en-US"/>
        </w:rPr>
        <w:t>64% organic matter degradation across treatments</w:t>
      </w:r>
      <w:r>
        <w:rPr>
          <w:lang w:val="en-US"/>
        </w:rPr>
        <w:t>;</w:t>
      </w:r>
    </w:p>
    <w:p w14:paraId="2A9CCB94" w14:textId="77777777" w:rsidR="00B80A70" w:rsidRPr="00B80A70" w:rsidRDefault="00B80A70" w:rsidP="00B80A70">
      <w:pPr>
        <w:pStyle w:val="PargrafodaLista"/>
        <w:jc w:val="both"/>
        <w:rPr>
          <w:lang w:val="en-US"/>
        </w:rPr>
      </w:pPr>
    </w:p>
    <w:p w14:paraId="1E2042D8" w14:textId="6CE97A57" w:rsidR="00B80A70" w:rsidRPr="00B80A70" w:rsidRDefault="00B80A70" w:rsidP="00B80A70">
      <w:pPr>
        <w:pStyle w:val="PargrafodaLista"/>
        <w:numPr>
          <w:ilvl w:val="0"/>
          <w:numId w:val="1"/>
        </w:numPr>
        <w:jc w:val="both"/>
        <w:rPr>
          <w:lang w:val="en-US"/>
        </w:rPr>
      </w:pPr>
      <w:r w:rsidRPr="00B80A70">
        <w:rPr>
          <w:lang w:val="en-US"/>
        </w:rPr>
        <w:t>Vermicomposting boosts GI to 221% in tobacco-rich mix</w:t>
      </w:r>
      <w:r>
        <w:rPr>
          <w:lang w:val="en-US"/>
        </w:rPr>
        <w:t>;</w:t>
      </w:r>
    </w:p>
    <w:p w14:paraId="56B109B2" w14:textId="77777777" w:rsidR="00B80A70" w:rsidRPr="00B80A70" w:rsidRDefault="00B80A70" w:rsidP="00B80A70">
      <w:pPr>
        <w:pStyle w:val="PargrafodaLista"/>
        <w:jc w:val="both"/>
        <w:rPr>
          <w:lang w:val="en-US"/>
        </w:rPr>
      </w:pPr>
    </w:p>
    <w:p w14:paraId="267C213F" w14:textId="3862B112" w:rsidR="00B80A70" w:rsidRPr="00B80A70" w:rsidRDefault="00B80A70" w:rsidP="00B80A70">
      <w:pPr>
        <w:pStyle w:val="PargrafodaLista"/>
        <w:numPr>
          <w:ilvl w:val="0"/>
          <w:numId w:val="1"/>
        </w:numPr>
        <w:jc w:val="both"/>
        <w:rPr>
          <w:lang w:val="en-US"/>
        </w:rPr>
      </w:pPr>
      <w:r w:rsidRPr="00B80A70">
        <w:rPr>
          <w:lang w:val="en-US"/>
        </w:rPr>
        <w:t>Bioprocess integration mitigates phytotoxicity and salinity</w:t>
      </w:r>
      <w:r>
        <w:rPr>
          <w:lang w:val="en-US"/>
        </w:rPr>
        <w:t>.</w:t>
      </w:r>
    </w:p>
    <w:p w14:paraId="03143034" w14:textId="77777777" w:rsidR="00B80A70" w:rsidRPr="00B80A70" w:rsidRDefault="00B80A70" w:rsidP="00B80A70">
      <w:pPr>
        <w:pStyle w:val="PargrafodaLista"/>
        <w:jc w:val="both"/>
        <w:rPr>
          <w:lang w:val="en-US"/>
        </w:rPr>
      </w:pPr>
    </w:p>
    <w:sectPr w:rsidR="00B80A70" w:rsidRPr="00B80A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DD5395"/>
    <w:multiLevelType w:val="hybridMultilevel"/>
    <w:tmpl w:val="7F427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248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FA7"/>
    <w:rsid w:val="00B80A70"/>
    <w:rsid w:val="00C96008"/>
    <w:rsid w:val="00CA3ADF"/>
    <w:rsid w:val="00CD26B7"/>
    <w:rsid w:val="00D6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49B20"/>
  <w15:chartTrackingRefBased/>
  <w15:docId w15:val="{1745692A-2155-4A52-B4F6-7A9D75DD1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63F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63F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63FA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63F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63FA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63F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63F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63F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63F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63FA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63FA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63FA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63FA7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63FA7"/>
    <w:rPr>
      <w:rFonts w:eastAsiaTheme="majorEastAsia" w:cstheme="majorBidi"/>
      <w:color w:val="2E74B5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63FA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63FA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63FA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63FA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63F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63F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63F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63F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63F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63FA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63FA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63FA7"/>
    <w:rPr>
      <w:i/>
      <w:iCs/>
      <w:color w:val="2E74B5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63FA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63FA7"/>
    <w:rPr>
      <w:i/>
      <w:iCs/>
      <w:color w:val="2E74B5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63FA7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D63FA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63F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Edwiges</dc:creator>
  <cp:keywords/>
  <dc:description/>
  <cp:lastModifiedBy>Thiago Edwiges</cp:lastModifiedBy>
  <cp:revision>2</cp:revision>
  <dcterms:created xsi:type="dcterms:W3CDTF">2026-03-03T14:20:00Z</dcterms:created>
  <dcterms:modified xsi:type="dcterms:W3CDTF">2026-03-03T14:20:00Z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e36f44d7-157c-49dc-85d8-035abb343b74</vt:lpwstr>
  </property>
</Properties>
</file>