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C0A5" w14:textId="48D46A80" w:rsidR="00AE4302" w:rsidRPr="00915391" w:rsidRDefault="005B677D" w:rsidP="00915391">
      <w:pPr>
        <w:adjustRightInd w:val="0"/>
        <w:snapToGrid w:val="0"/>
        <w:spacing w:line="480" w:lineRule="auto"/>
        <w:jc w:val="left"/>
        <w:rPr>
          <w:rFonts w:ascii="Times New Roman" w:eastAsia="宋体" w:hAnsi="Times New Roman" w:cs="Times New Roman"/>
          <w:sz w:val="32"/>
          <w:szCs w:val="32"/>
        </w:rPr>
      </w:pPr>
      <w:r w:rsidRPr="00915391">
        <w:rPr>
          <w:rFonts w:ascii="Times New Roman" w:eastAsia="宋体" w:hAnsi="Times New Roman" w:cs="Times New Roman"/>
          <w:b/>
          <w:bCs/>
          <w:sz w:val="32"/>
          <w:szCs w:val="32"/>
        </w:rPr>
        <w:t>Toward High-Performance Biosensing: Dual-Mode Detection of Biological Thiols via Synergistic Passivation of Perovskite Quantum Dots</w:t>
      </w:r>
    </w:p>
    <w:p w14:paraId="4F865FD8" w14:textId="0897D710" w:rsidR="00AE4302" w:rsidRPr="00915391" w:rsidRDefault="0062235C" w:rsidP="00997B09">
      <w:pPr>
        <w:widowControl/>
        <w:spacing w:line="360" w:lineRule="auto"/>
        <w:jc w:val="center"/>
        <w:rPr>
          <w:rFonts w:ascii="Times New Roman" w:eastAsia="宋体" w:hAnsi="Times New Roman" w:cs="Times New Roman"/>
          <w:b/>
          <w:bCs/>
          <w:sz w:val="17"/>
          <w:szCs w:val="17"/>
        </w:rPr>
      </w:pPr>
      <w:proofErr w:type="spellStart"/>
      <w:r w:rsidRPr="00915391">
        <w:rPr>
          <w:rFonts w:ascii="Times New Roman" w:eastAsia="宋体" w:hAnsi="Times New Roman" w:cs="Times New Roman"/>
          <w:color w:val="000000" w:themeColor="text1"/>
          <w:sz w:val="17"/>
          <w:szCs w:val="17"/>
        </w:rPr>
        <w:t>Songbing</w:t>
      </w:r>
      <w:proofErr w:type="spellEnd"/>
      <w:r w:rsidRPr="00915391">
        <w:rPr>
          <w:rFonts w:ascii="Times New Roman" w:eastAsia="宋体" w:hAnsi="Times New Roman" w:cs="Times New Roman"/>
          <w:color w:val="000000" w:themeColor="text1"/>
          <w:sz w:val="17"/>
          <w:szCs w:val="17"/>
        </w:rPr>
        <w:t xml:space="preserve"> </w:t>
      </w:r>
      <w:proofErr w:type="spellStart"/>
      <w:r w:rsidRPr="00915391">
        <w:rPr>
          <w:rFonts w:ascii="Times New Roman" w:eastAsia="宋体" w:hAnsi="Times New Roman" w:cs="Times New Roman"/>
          <w:color w:val="000000" w:themeColor="text1"/>
          <w:sz w:val="17"/>
          <w:szCs w:val="17"/>
        </w:rPr>
        <w:t>Gao</w:t>
      </w:r>
      <w:r w:rsidRPr="00915391">
        <w:rPr>
          <w:rFonts w:ascii="Times New Roman" w:eastAsia="宋体" w:hAnsi="Times New Roman" w:cs="Times New Roman"/>
          <w:i/>
          <w:iCs/>
          <w:color w:val="000000" w:themeColor="text1"/>
          <w:sz w:val="17"/>
          <w:szCs w:val="17"/>
          <w:vertAlign w:val="superscript"/>
        </w:rPr>
        <w:t>a</w:t>
      </w:r>
      <w:proofErr w:type="spellEnd"/>
      <w:r w:rsidRPr="00915391">
        <w:rPr>
          <w:rFonts w:ascii="Times New Roman" w:hAnsi="Times New Roman" w:cs="Times New Roman"/>
          <w:color w:val="000000" w:themeColor="text1"/>
          <w:sz w:val="17"/>
          <w:szCs w:val="17"/>
        </w:rPr>
        <w:t xml:space="preserve">, </w:t>
      </w:r>
      <w:proofErr w:type="spellStart"/>
      <w:r w:rsidRPr="00915391">
        <w:rPr>
          <w:rFonts w:ascii="Times New Roman" w:hAnsi="Times New Roman" w:cs="Times New Roman"/>
          <w:color w:val="000000" w:themeColor="text1"/>
          <w:sz w:val="17"/>
          <w:szCs w:val="17"/>
        </w:rPr>
        <w:t>Qianfeng</w:t>
      </w:r>
      <w:proofErr w:type="spellEnd"/>
      <w:r w:rsidRPr="00915391">
        <w:rPr>
          <w:rFonts w:ascii="Times New Roman" w:hAnsi="Times New Roman" w:cs="Times New Roman"/>
          <w:color w:val="000000" w:themeColor="text1"/>
          <w:sz w:val="17"/>
          <w:szCs w:val="17"/>
        </w:rPr>
        <w:t xml:space="preserve"> Li</w:t>
      </w:r>
      <w:r w:rsidRPr="00915391">
        <w:rPr>
          <w:rFonts w:ascii="Times New Roman" w:eastAsia="宋体" w:hAnsi="Times New Roman" w:cs="Times New Roman"/>
          <w:i/>
          <w:iCs/>
          <w:color w:val="000000" w:themeColor="text1"/>
          <w:sz w:val="17"/>
          <w:szCs w:val="17"/>
          <w:vertAlign w:val="superscript"/>
        </w:rPr>
        <w:t>a</w:t>
      </w:r>
      <w:r w:rsidRPr="00915391">
        <w:rPr>
          <w:rFonts w:ascii="Times New Roman" w:hAnsi="Times New Roman" w:cs="Times New Roman"/>
          <w:color w:val="000000" w:themeColor="text1"/>
          <w:sz w:val="17"/>
          <w:szCs w:val="17"/>
        </w:rPr>
        <w:t>, Haifa Zhai</w:t>
      </w:r>
      <w:r w:rsidRPr="00915391">
        <w:rPr>
          <w:rFonts w:ascii="Times New Roman" w:eastAsia="宋体" w:hAnsi="Times New Roman" w:cs="Times New Roman"/>
          <w:i/>
          <w:iCs/>
          <w:color w:val="000000" w:themeColor="text1"/>
          <w:sz w:val="17"/>
          <w:szCs w:val="17"/>
          <w:vertAlign w:val="superscript"/>
        </w:rPr>
        <w:t>a</w:t>
      </w:r>
      <w:r w:rsidRPr="00915391">
        <w:rPr>
          <w:rFonts w:ascii="Times New Roman" w:hAnsi="Times New Roman" w:cs="Times New Roman"/>
          <w:color w:val="000000" w:themeColor="text1"/>
          <w:sz w:val="17"/>
          <w:szCs w:val="17"/>
        </w:rPr>
        <w:t xml:space="preserve">, </w:t>
      </w:r>
      <w:proofErr w:type="spellStart"/>
      <w:r w:rsidRPr="00915391">
        <w:rPr>
          <w:rFonts w:ascii="Times New Roman" w:hAnsi="Times New Roman" w:cs="Times New Roman"/>
          <w:color w:val="000000" w:themeColor="text1"/>
          <w:sz w:val="17"/>
          <w:szCs w:val="17"/>
        </w:rPr>
        <w:t>Gongke</w:t>
      </w:r>
      <w:proofErr w:type="spellEnd"/>
      <w:r w:rsidRPr="00915391">
        <w:rPr>
          <w:rFonts w:ascii="Times New Roman" w:hAnsi="Times New Roman" w:cs="Times New Roman"/>
          <w:color w:val="000000" w:themeColor="text1"/>
          <w:sz w:val="17"/>
          <w:szCs w:val="17"/>
        </w:rPr>
        <w:t xml:space="preserve"> </w:t>
      </w:r>
      <w:proofErr w:type="spellStart"/>
      <w:proofErr w:type="gramStart"/>
      <w:r w:rsidRPr="00915391">
        <w:rPr>
          <w:rFonts w:ascii="Times New Roman" w:hAnsi="Times New Roman" w:cs="Times New Roman"/>
          <w:color w:val="000000" w:themeColor="text1"/>
          <w:sz w:val="17"/>
          <w:szCs w:val="17"/>
        </w:rPr>
        <w:t>Wang</w:t>
      </w:r>
      <w:r w:rsidRPr="00915391">
        <w:rPr>
          <w:rFonts w:ascii="Times New Roman" w:eastAsia="宋体" w:hAnsi="Times New Roman" w:cs="Times New Roman"/>
          <w:i/>
          <w:iCs/>
          <w:color w:val="000000" w:themeColor="text1"/>
          <w:sz w:val="17"/>
          <w:szCs w:val="17"/>
          <w:vertAlign w:val="superscript"/>
        </w:rPr>
        <w:t>a</w:t>
      </w:r>
      <w:r w:rsidRPr="00915391">
        <w:rPr>
          <w:rFonts w:ascii="Times New Roman" w:hAnsi="Times New Roman" w:cs="Times New Roman"/>
          <w:i/>
          <w:iCs/>
          <w:color w:val="000000" w:themeColor="text1"/>
          <w:sz w:val="17"/>
          <w:szCs w:val="17"/>
          <w:vertAlign w:val="superscript"/>
        </w:rPr>
        <w:t>,b</w:t>
      </w:r>
      <w:proofErr w:type="spellEnd"/>
      <w:proofErr w:type="gramEnd"/>
      <w:r w:rsidRPr="00915391">
        <w:rPr>
          <w:rFonts w:ascii="Times New Roman" w:hAnsi="Times New Roman" w:cs="Times New Roman"/>
          <w:color w:val="000000" w:themeColor="text1"/>
          <w:sz w:val="17"/>
          <w:szCs w:val="17"/>
          <w:vertAlign w:val="superscript"/>
        </w:rPr>
        <w:t xml:space="preserve"> *</w:t>
      </w:r>
    </w:p>
    <w:p w14:paraId="36FCEAB6" w14:textId="77777777" w:rsidR="00945BDF" w:rsidRPr="00915391" w:rsidRDefault="00945BDF">
      <w:pPr>
        <w:adjustRightInd w:val="0"/>
        <w:snapToGrid w:val="0"/>
        <w:spacing w:line="480" w:lineRule="auto"/>
        <w:jc w:val="center"/>
        <w:rPr>
          <w:rFonts w:ascii="Times New Roman" w:eastAsia="宋体" w:hAnsi="Times New Roman" w:cs="Times New Roman"/>
          <w:sz w:val="17"/>
          <w:szCs w:val="17"/>
          <w:vertAlign w:val="superscript"/>
        </w:rPr>
      </w:pPr>
    </w:p>
    <w:p w14:paraId="7117D1DC" w14:textId="5C7EA9BA" w:rsidR="00AE4302" w:rsidRPr="00915391" w:rsidRDefault="00000000">
      <w:pPr>
        <w:widowControl/>
        <w:kinsoku w:val="0"/>
        <w:overflowPunct w:val="0"/>
        <w:autoSpaceDE w:val="0"/>
        <w:autoSpaceDN w:val="0"/>
        <w:adjustRightInd w:val="0"/>
        <w:snapToGrid w:val="0"/>
        <w:spacing w:line="480" w:lineRule="auto"/>
        <w:rPr>
          <w:rFonts w:ascii="Times New Roman" w:eastAsia="宋体" w:hAnsi="Times New Roman" w:cs="Times New Roman"/>
          <w:sz w:val="17"/>
          <w:szCs w:val="17"/>
        </w:rPr>
      </w:pPr>
      <w:r w:rsidRPr="00915391">
        <w:rPr>
          <w:rFonts w:ascii="Times New Roman" w:eastAsia="宋体" w:hAnsi="Times New Roman" w:cs="Times New Roman"/>
          <w:sz w:val="17"/>
          <w:szCs w:val="17"/>
          <w:vertAlign w:val="superscript"/>
        </w:rPr>
        <w:t>a</w:t>
      </w:r>
      <w:bookmarkStart w:id="0" w:name="OLE_LINK262"/>
      <w:bookmarkStart w:id="1" w:name="OLE_LINK263"/>
      <w:bookmarkEnd w:id="0"/>
      <w:r w:rsidRPr="00915391">
        <w:rPr>
          <w:rFonts w:ascii="Times New Roman" w:eastAsia="宋体" w:hAnsi="Times New Roman" w:cs="Times New Roman"/>
          <w:sz w:val="17"/>
          <w:szCs w:val="17"/>
          <w:vertAlign w:val="superscript"/>
        </w:rPr>
        <w:t xml:space="preserve"> </w:t>
      </w:r>
      <w:bookmarkStart w:id="2" w:name="OLE_LINK352"/>
      <w:bookmarkStart w:id="3" w:name="OLE_LINK4"/>
      <w:bookmarkEnd w:id="1"/>
      <w:bookmarkEnd w:id="2"/>
      <w:r w:rsidRPr="00915391">
        <w:rPr>
          <w:rFonts w:ascii="Times New Roman" w:eastAsia="宋体" w:hAnsi="Times New Roman" w:cs="Times New Roman"/>
          <w:sz w:val="17"/>
          <w:szCs w:val="17"/>
        </w:rPr>
        <w:t>School of Materials Science and Engineering, Henan Engineering Research Center of Design and Recycle for Advanced Electrochemical Energy Storage Materials,</w:t>
      </w:r>
      <w:bookmarkEnd w:id="3"/>
      <w:r w:rsidRPr="00915391">
        <w:rPr>
          <w:rFonts w:ascii="Times New Roman" w:eastAsia="宋体" w:hAnsi="Times New Roman" w:cs="Times New Roman"/>
          <w:sz w:val="17"/>
          <w:szCs w:val="17"/>
        </w:rPr>
        <w:t xml:space="preserve"> </w:t>
      </w:r>
      <w:bookmarkStart w:id="4" w:name="OLE_LINK237"/>
      <w:r w:rsidRPr="00915391">
        <w:rPr>
          <w:rFonts w:ascii="Times New Roman" w:eastAsia="宋体" w:hAnsi="Times New Roman" w:cs="Times New Roman"/>
          <w:sz w:val="17"/>
          <w:szCs w:val="17"/>
        </w:rPr>
        <w:t>Henan Normal University</w:t>
      </w:r>
      <w:bookmarkEnd w:id="4"/>
      <w:r w:rsidRPr="00915391">
        <w:rPr>
          <w:rFonts w:ascii="Times New Roman" w:eastAsia="宋体" w:hAnsi="Times New Roman" w:cs="Times New Roman"/>
          <w:sz w:val="17"/>
          <w:szCs w:val="17"/>
        </w:rPr>
        <w:t>, Xinxiang, Henan 453007, P. R.</w:t>
      </w:r>
      <w:r w:rsidR="00A24EFF" w:rsidRPr="00915391">
        <w:rPr>
          <w:rFonts w:ascii="Times New Roman" w:eastAsia="宋体" w:hAnsi="Times New Roman" w:cs="Times New Roman"/>
          <w:sz w:val="17"/>
          <w:szCs w:val="17"/>
        </w:rPr>
        <w:t xml:space="preserve"> </w:t>
      </w:r>
      <w:r w:rsidRPr="00915391">
        <w:rPr>
          <w:rFonts w:ascii="Times New Roman" w:eastAsia="宋体" w:hAnsi="Times New Roman" w:cs="Times New Roman"/>
          <w:sz w:val="17"/>
          <w:szCs w:val="17"/>
        </w:rPr>
        <w:t>China</w:t>
      </w:r>
    </w:p>
    <w:p w14:paraId="39DAD072" w14:textId="77777777" w:rsidR="00AE4302" w:rsidRPr="00915391" w:rsidRDefault="00000000">
      <w:pPr>
        <w:widowControl/>
        <w:kinsoku w:val="0"/>
        <w:overflowPunct w:val="0"/>
        <w:autoSpaceDE w:val="0"/>
        <w:autoSpaceDN w:val="0"/>
        <w:adjustRightInd w:val="0"/>
        <w:snapToGrid w:val="0"/>
        <w:spacing w:line="480" w:lineRule="auto"/>
        <w:rPr>
          <w:rFonts w:ascii="Times New Roman" w:eastAsia="宋体" w:hAnsi="Times New Roman" w:cs="Times New Roman"/>
          <w:sz w:val="17"/>
          <w:szCs w:val="17"/>
        </w:rPr>
      </w:pPr>
      <w:bookmarkStart w:id="5" w:name="OLE_LINK239"/>
      <w:bookmarkEnd w:id="5"/>
      <w:r w:rsidRPr="00915391">
        <w:rPr>
          <w:rFonts w:ascii="Times New Roman" w:eastAsia="宋体" w:hAnsi="Times New Roman" w:cs="Times New Roman"/>
          <w:bCs/>
          <w:sz w:val="17"/>
          <w:szCs w:val="17"/>
          <w:vertAlign w:val="superscript"/>
        </w:rPr>
        <w:t xml:space="preserve">b </w:t>
      </w:r>
      <w:r w:rsidRPr="00915391">
        <w:rPr>
          <w:rFonts w:ascii="Times New Roman" w:eastAsia="宋体" w:hAnsi="Times New Roman" w:cs="Times New Roman"/>
          <w:sz w:val="17"/>
          <w:szCs w:val="17"/>
        </w:rPr>
        <w:t>School of Chemistry and Chemical Engineering, Key Laboratory of Green Chemical Media and Reactions, Ministry of Education, Collaborative Innovation Center of Henan Province for Green Manufacturing of Fine Chemicals, Henan Normal University, Xinxiang, Henan 453007, P. R. China</w:t>
      </w:r>
    </w:p>
    <w:p w14:paraId="1A7B7211" w14:textId="77777777" w:rsidR="00AE4302" w:rsidRPr="000855FE" w:rsidRDefault="00000000">
      <w:pPr>
        <w:widowControl/>
        <w:jc w:val="left"/>
        <w:rPr>
          <w:rFonts w:ascii="Times New Roman" w:hAnsi="Times New Roman" w:cs="Times New Roman"/>
        </w:rPr>
      </w:pPr>
      <w:r w:rsidRPr="000855FE">
        <w:rPr>
          <w:rFonts w:ascii="Times New Roman" w:hAnsi="Times New Roman" w:cs="Times New Roman"/>
        </w:rPr>
        <w:br w:type="page"/>
      </w:r>
    </w:p>
    <w:p w14:paraId="0CD3C90D" w14:textId="66A219BF" w:rsidR="00AE4302" w:rsidRPr="00915391" w:rsidRDefault="00000000">
      <w:pPr>
        <w:spacing w:line="360" w:lineRule="auto"/>
        <w:rPr>
          <w:rFonts w:ascii="Times New Roman" w:eastAsia="宋体" w:hAnsi="Times New Roman" w:cs="Times New Roman"/>
          <w:sz w:val="17"/>
          <w:szCs w:val="17"/>
        </w:rPr>
      </w:pPr>
      <w:r w:rsidRPr="000855FE">
        <w:rPr>
          <w:rFonts w:ascii="Times New Roman" w:eastAsia="宋体" w:hAnsi="Times New Roman" w:cs="Times New Roman"/>
          <w:noProof/>
          <w:sz w:val="24"/>
        </w:rPr>
        <w:lastRenderedPageBreak/>
        <w:drawing>
          <wp:inline distT="0" distB="0" distL="0" distR="0" wp14:anchorId="76A90A67" wp14:editId="4E00F705">
            <wp:extent cx="5695315" cy="2680970"/>
            <wp:effectExtent l="0" t="0" r="635" b="5080"/>
            <wp:docPr id="17" name="图片 17" descr="C:/Users/Administrator/Desktop/XFF/第二体系/xps.jpg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XFF/第二体系/xps.jpgxps"/>
                    <pic:cNvPicPr>
                      <a:picLocks noChangeAspect="1"/>
                    </pic:cNvPicPr>
                  </pic:nvPicPr>
                  <pic:blipFill>
                    <a:blip r:embed="rId7" cstate="print">
                      <a:extLst>
                        <a:ext uri="{28A0092B-C50C-407E-A947-70E740481C1C}">
                          <a14:useLocalDpi xmlns:a14="http://schemas.microsoft.com/office/drawing/2010/main" val="0"/>
                        </a:ext>
                      </a:extLst>
                    </a:blip>
                    <a:srcRect l="12" r="12"/>
                    <a:stretch>
                      <a:fillRect/>
                    </a:stretch>
                  </pic:blipFill>
                  <pic:spPr>
                    <a:xfrm>
                      <a:off x="0" y="0"/>
                      <a:ext cx="5699392" cy="2683102"/>
                    </a:xfrm>
                    <a:prstGeom prst="rect">
                      <a:avLst/>
                    </a:prstGeom>
                  </pic:spPr>
                </pic:pic>
              </a:graphicData>
            </a:graphic>
          </wp:inline>
        </w:drawing>
      </w:r>
      <w:r w:rsidRPr="00915391">
        <w:rPr>
          <w:rFonts w:ascii="Times New Roman" w:eastAsia="宋体" w:hAnsi="Times New Roman" w:cs="Times New Roman"/>
          <w:b/>
          <w:bCs/>
          <w:sz w:val="17"/>
          <w:szCs w:val="17"/>
        </w:rPr>
        <w:t>Fig</w:t>
      </w:r>
      <w:r w:rsidR="00ED6BD4" w:rsidRPr="00915391">
        <w:rPr>
          <w:rFonts w:ascii="Times New Roman" w:eastAsia="宋体" w:hAnsi="Times New Roman" w:cs="Times New Roman" w:hint="eastAsia"/>
          <w:b/>
          <w:bCs/>
          <w:sz w:val="17"/>
          <w:szCs w:val="17"/>
        </w:rPr>
        <w:t>.</w:t>
      </w:r>
      <w:r w:rsidRPr="00915391">
        <w:rPr>
          <w:rFonts w:ascii="Times New Roman" w:eastAsia="宋体" w:hAnsi="Times New Roman" w:cs="Times New Roman"/>
          <w:b/>
          <w:bCs/>
          <w:sz w:val="17"/>
          <w:szCs w:val="17"/>
        </w:rPr>
        <w:t xml:space="preserve"> S1 </w:t>
      </w:r>
      <w:r w:rsidRPr="00915391">
        <w:rPr>
          <w:rFonts w:ascii="Times New Roman" w:eastAsia="宋体" w:hAnsi="Times New Roman" w:cs="Times New Roman"/>
          <w:sz w:val="17"/>
          <w:szCs w:val="17"/>
        </w:rPr>
        <w:t xml:space="preserve">XPS spectra of </w:t>
      </w:r>
      <w:proofErr w:type="spellStart"/>
      <w:r w:rsidRPr="00915391">
        <w:rPr>
          <w:rFonts w:ascii="Times New Roman" w:eastAsia="宋体" w:hAnsi="Times New Roman" w:cs="Times New Roman"/>
          <w:sz w:val="17"/>
          <w:szCs w:val="17"/>
        </w:rPr>
        <w:t>CsPbBr</w:t>
      </w:r>
      <w:proofErr w:type="spellEnd"/>
      <w:r w:rsidRPr="00915391">
        <w:rPr>
          <w:rFonts w:ascii="Times New Roman" w:eastAsia="宋体" w:hAnsi="Times New Roman" w:cs="Times New Roman"/>
          <w:sz w:val="17"/>
          <w:szCs w:val="17"/>
        </w:rPr>
        <w:t xml:space="preserve">₃ and </w:t>
      </w:r>
      <w:proofErr w:type="spellStart"/>
      <w:r w:rsidRPr="00915391">
        <w:rPr>
          <w:rFonts w:ascii="Times New Roman" w:eastAsia="宋体" w:hAnsi="Times New Roman" w:cs="Times New Roman"/>
          <w:sz w:val="17"/>
          <w:szCs w:val="17"/>
        </w:rPr>
        <w:t>CsPbBr</w:t>
      </w:r>
      <w:proofErr w:type="spellEnd"/>
      <w:r w:rsidRPr="00915391">
        <w:rPr>
          <w:rFonts w:ascii="Times New Roman" w:eastAsia="宋体" w:hAnsi="Times New Roman" w:cs="Times New Roman"/>
          <w:sz w:val="17"/>
          <w:szCs w:val="17"/>
        </w:rPr>
        <w:t>₃@SDS QDs for (a) Br, (b) Pb, and (c) Cs</w:t>
      </w:r>
      <w:r w:rsidR="00D32D0A" w:rsidRPr="00915391">
        <w:rPr>
          <w:rFonts w:ascii="Times New Roman" w:eastAsia="宋体" w:hAnsi="Times New Roman" w:cs="Times New Roman"/>
          <w:sz w:val="17"/>
          <w:szCs w:val="17"/>
        </w:rPr>
        <w:t>.</w:t>
      </w:r>
    </w:p>
    <w:p w14:paraId="33D4A727" w14:textId="77777777" w:rsidR="00AE4302" w:rsidRPr="000855FE" w:rsidRDefault="00AE4302">
      <w:pPr>
        <w:spacing w:line="360" w:lineRule="auto"/>
        <w:rPr>
          <w:rFonts w:ascii="Times New Roman" w:hAnsi="Times New Roman" w:cs="Times New Roman"/>
        </w:rPr>
      </w:pPr>
    </w:p>
    <w:p w14:paraId="001D5C30" w14:textId="77777777" w:rsidR="00AE4302" w:rsidRPr="000855FE" w:rsidRDefault="00000000">
      <w:pPr>
        <w:spacing w:line="360" w:lineRule="auto"/>
        <w:jc w:val="center"/>
        <w:rPr>
          <w:rFonts w:ascii="Times New Roman" w:hAnsi="Times New Roman" w:cs="Times New Roman"/>
        </w:rPr>
      </w:pPr>
      <w:r w:rsidRPr="000855FE">
        <w:rPr>
          <w:rFonts w:ascii="Times New Roman" w:hAnsi="Times New Roman" w:cs="Times New Roman"/>
          <w:noProof/>
        </w:rPr>
        <w:drawing>
          <wp:inline distT="0" distB="0" distL="114300" distR="114300" wp14:anchorId="16116059" wp14:editId="33A9EE88">
            <wp:extent cx="5044440" cy="3949700"/>
            <wp:effectExtent l="0" t="0" r="3810" b="0"/>
            <wp:docPr id="15" name="图片 15" descr="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优化"/>
                    <pic:cNvPicPr>
                      <a:picLocks noChangeAspect="1"/>
                    </pic:cNvPicPr>
                  </pic:nvPicPr>
                  <pic:blipFill>
                    <a:blip r:embed="rId8"/>
                    <a:stretch>
                      <a:fillRect/>
                    </a:stretch>
                  </pic:blipFill>
                  <pic:spPr>
                    <a:xfrm>
                      <a:off x="0" y="0"/>
                      <a:ext cx="5048168" cy="3952663"/>
                    </a:xfrm>
                    <a:prstGeom prst="rect">
                      <a:avLst/>
                    </a:prstGeom>
                  </pic:spPr>
                </pic:pic>
              </a:graphicData>
            </a:graphic>
          </wp:inline>
        </w:drawing>
      </w:r>
    </w:p>
    <w:p w14:paraId="016648D3" w14:textId="0CE7D571" w:rsidR="00AE4302" w:rsidRPr="00915391" w:rsidRDefault="00000000">
      <w:pPr>
        <w:spacing w:line="360" w:lineRule="auto"/>
        <w:rPr>
          <w:rFonts w:ascii="Times New Roman" w:eastAsia="宋体" w:hAnsi="Times New Roman" w:cs="Times New Roman"/>
          <w:sz w:val="17"/>
          <w:szCs w:val="17"/>
        </w:rPr>
      </w:pPr>
      <w:r w:rsidRPr="00915391">
        <w:rPr>
          <w:rFonts w:ascii="Times New Roman" w:eastAsia="宋体" w:hAnsi="Times New Roman" w:cs="Times New Roman"/>
          <w:b/>
          <w:bCs/>
          <w:sz w:val="17"/>
          <w:szCs w:val="17"/>
        </w:rPr>
        <w:t>Fig</w:t>
      </w:r>
      <w:r w:rsidR="00ED6BD4" w:rsidRPr="00915391">
        <w:rPr>
          <w:rFonts w:ascii="Times New Roman" w:eastAsia="宋体" w:hAnsi="Times New Roman" w:cs="Times New Roman" w:hint="eastAsia"/>
          <w:b/>
          <w:bCs/>
          <w:sz w:val="17"/>
          <w:szCs w:val="17"/>
        </w:rPr>
        <w:t>.</w:t>
      </w:r>
      <w:r w:rsidRPr="00915391">
        <w:rPr>
          <w:rFonts w:ascii="Times New Roman" w:eastAsia="宋体" w:hAnsi="Times New Roman" w:cs="Times New Roman"/>
          <w:b/>
          <w:bCs/>
          <w:sz w:val="17"/>
          <w:szCs w:val="17"/>
        </w:rPr>
        <w:t xml:space="preserve"> S2 </w:t>
      </w:r>
      <w:r w:rsidRPr="00915391">
        <w:rPr>
          <w:rFonts w:ascii="Times New Roman" w:eastAsia="宋体" w:hAnsi="Times New Roman" w:cs="Times New Roman"/>
          <w:sz w:val="17"/>
          <w:szCs w:val="17"/>
        </w:rPr>
        <w:t>(</w:t>
      </w:r>
      <w:proofErr w:type="spellStart"/>
      <w:proofErr w:type="gramStart"/>
      <w:r w:rsidRPr="00915391">
        <w:rPr>
          <w:rFonts w:ascii="Times New Roman" w:eastAsia="宋体" w:hAnsi="Times New Roman" w:cs="Times New Roman"/>
          <w:sz w:val="17"/>
          <w:szCs w:val="17"/>
        </w:rPr>
        <w:t>a,b</w:t>
      </w:r>
      <w:proofErr w:type="gramEnd"/>
      <w:r w:rsidRPr="00915391">
        <w:rPr>
          <w:rFonts w:ascii="Times New Roman" w:eastAsia="宋体" w:hAnsi="Times New Roman" w:cs="Times New Roman"/>
          <w:sz w:val="17"/>
          <w:szCs w:val="17"/>
        </w:rPr>
        <w:t>,c</w:t>
      </w:r>
      <w:proofErr w:type="spellEnd"/>
      <w:r w:rsidRPr="00915391">
        <w:rPr>
          <w:rFonts w:ascii="Times New Roman" w:eastAsia="宋体" w:hAnsi="Times New Roman" w:cs="Times New Roman"/>
          <w:sz w:val="17"/>
          <w:szCs w:val="17"/>
        </w:rPr>
        <w:t>) Optimization of Cys detection conditions (pH, temperature and incubation time); (</w:t>
      </w:r>
      <w:proofErr w:type="spellStart"/>
      <w:proofErr w:type="gramStart"/>
      <w:r w:rsidRPr="00915391">
        <w:rPr>
          <w:rFonts w:ascii="Times New Roman" w:eastAsia="宋体" w:hAnsi="Times New Roman" w:cs="Times New Roman"/>
          <w:sz w:val="17"/>
          <w:szCs w:val="17"/>
        </w:rPr>
        <w:t>d,e</w:t>
      </w:r>
      <w:proofErr w:type="gramEnd"/>
      <w:r w:rsidRPr="00915391">
        <w:rPr>
          <w:rFonts w:ascii="Times New Roman" w:eastAsia="宋体" w:hAnsi="Times New Roman" w:cs="Times New Roman"/>
          <w:sz w:val="17"/>
          <w:szCs w:val="17"/>
        </w:rPr>
        <w:t>,f</w:t>
      </w:r>
      <w:proofErr w:type="spellEnd"/>
      <w:r w:rsidRPr="00915391">
        <w:rPr>
          <w:rFonts w:ascii="Times New Roman" w:eastAsia="宋体" w:hAnsi="Times New Roman" w:cs="Times New Roman"/>
          <w:sz w:val="17"/>
          <w:szCs w:val="17"/>
        </w:rPr>
        <w:t>) Optimization of GSH detection conditions (pH, temperature and incubation time); (</w:t>
      </w:r>
      <w:proofErr w:type="spellStart"/>
      <w:proofErr w:type="gramStart"/>
      <w:r w:rsidRPr="00915391">
        <w:rPr>
          <w:rFonts w:ascii="Times New Roman" w:eastAsia="宋体" w:hAnsi="Times New Roman" w:cs="Times New Roman"/>
          <w:sz w:val="17"/>
          <w:szCs w:val="17"/>
        </w:rPr>
        <w:t>g,h</w:t>
      </w:r>
      <w:proofErr w:type="gramEnd"/>
      <w:r w:rsidRPr="00915391">
        <w:rPr>
          <w:rFonts w:ascii="Times New Roman" w:eastAsia="宋体" w:hAnsi="Times New Roman" w:cs="Times New Roman"/>
          <w:sz w:val="17"/>
          <w:szCs w:val="17"/>
        </w:rPr>
        <w:t>,i</w:t>
      </w:r>
      <w:proofErr w:type="spellEnd"/>
      <w:r w:rsidRPr="00915391">
        <w:rPr>
          <w:rFonts w:ascii="Times New Roman" w:eastAsia="宋体" w:hAnsi="Times New Roman" w:cs="Times New Roman"/>
          <w:sz w:val="17"/>
          <w:szCs w:val="17"/>
        </w:rPr>
        <w:t xml:space="preserve">) Optimization of </w:t>
      </w:r>
      <w:proofErr w:type="spellStart"/>
      <w:r w:rsidRPr="00915391">
        <w:rPr>
          <w:rFonts w:ascii="Times New Roman" w:eastAsia="宋体" w:hAnsi="Times New Roman" w:cs="Times New Roman"/>
          <w:sz w:val="17"/>
          <w:szCs w:val="17"/>
        </w:rPr>
        <w:t>Hcy</w:t>
      </w:r>
      <w:proofErr w:type="spellEnd"/>
      <w:r w:rsidRPr="00915391">
        <w:rPr>
          <w:rFonts w:ascii="Times New Roman" w:eastAsia="宋体" w:hAnsi="Times New Roman" w:cs="Times New Roman"/>
          <w:sz w:val="17"/>
          <w:szCs w:val="17"/>
        </w:rPr>
        <w:t xml:space="preserve"> detection conditions (pH, temperature and incubation time).</w:t>
      </w:r>
    </w:p>
    <w:p w14:paraId="64B94B9E" w14:textId="77777777" w:rsidR="0062235C" w:rsidRPr="00915391" w:rsidRDefault="0062235C">
      <w:pPr>
        <w:spacing w:line="360" w:lineRule="auto"/>
        <w:rPr>
          <w:rFonts w:ascii="Times New Roman" w:eastAsia="宋体" w:hAnsi="Times New Roman" w:cs="Times New Roman"/>
          <w:sz w:val="17"/>
          <w:szCs w:val="17"/>
        </w:rPr>
      </w:pPr>
    </w:p>
    <w:p w14:paraId="3B2E7919" w14:textId="77777777" w:rsidR="0062235C" w:rsidRPr="000855FE" w:rsidRDefault="0062235C">
      <w:pPr>
        <w:spacing w:line="360" w:lineRule="auto"/>
        <w:rPr>
          <w:rFonts w:ascii="Times New Roman" w:eastAsia="宋体" w:hAnsi="Times New Roman" w:cs="Times New Roman"/>
          <w:sz w:val="24"/>
          <w:szCs w:val="32"/>
        </w:rPr>
      </w:pPr>
    </w:p>
    <w:p w14:paraId="4C0480A6" w14:textId="5C73CEC0" w:rsidR="00AE4302" w:rsidRPr="00915391" w:rsidRDefault="00000000" w:rsidP="00B724AF">
      <w:pPr>
        <w:spacing w:line="480" w:lineRule="auto"/>
        <w:jc w:val="center"/>
        <w:rPr>
          <w:rFonts w:ascii="Times New Roman" w:hAnsi="Times New Roman" w:cs="Times New Roman"/>
          <w:color w:val="333333"/>
          <w:sz w:val="17"/>
          <w:szCs w:val="17"/>
        </w:rPr>
      </w:pPr>
      <w:r w:rsidRPr="00915391">
        <w:rPr>
          <w:rStyle w:val="src"/>
          <w:rFonts w:ascii="Times New Roman" w:hAnsi="Times New Roman" w:cs="Times New Roman"/>
          <w:b/>
          <w:bCs/>
          <w:color w:val="333333"/>
          <w:sz w:val="17"/>
          <w:szCs w:val="17"/>
        </w:rPr>
        <w:lastRenderedPageBreak/>
        <w:t>Table S1</w:t>
      </w:r>
      <w:r w:rsidRPr="00915391">
        <w:rPr>
          <w:rStyle w:val="src"/>
          <w:rFonts w:ascii="Times New Roman" w:hAnsi="Times New Roman" w:cs="Times New Roman"/>
          <w:color w:val="333333"/>
          <w:sz w:val="17"/>
          <w:szCs w:val="17"/>
        </w:rPr>
        <w:t xml:space="preserve"> </w:t>
      </w:r>
      <w:r w:rsidRPr="00915391">
        <w:rPr>
          <w:rFonts w:ascii="Times New Roman" w:hAnsi="Times New Roman" w:cs="Times New Roman"/>
          <w:color w:val="333333"/>
          <w:sz w:val="17"/>
          <w:szCs w:val="17"/>
        </w:rPr>
        <w:t>Comparison of Biological Mercaptans Detected by Different Sensors</w:t>
      </w:r>
    </w:p>
    <w:tbl>
      <w:tblPr>
        <w:tblpPr w:leftFromText="180" w:rightFromText="180" w:vertAnchor="text" w:horzAnchor="page" w:tblpXSpec="center" w:tblpY="325"/>
        <w:tblOverlap w:val="never"/>
        <w:tblW w:w="4999" w:type="pct"/>
        <w:jc w:val="center"/>
        <w:tblCellMar>
          <w:left w:w="0" w:type="dxa"/>
          <w:right w:w="0" w:type="dxa"/>
        </w:tblCellMar>
        <w:tblLook w:val="04A0" w:firstRow="1" w:lastRow="0" w:firstColumn="1" w:lastColumn="0" w:noHBand="0" w:noVBand="1"/>
      </w:tblPr>
      <w:tblGrid>
        <w:gridCol w:w="3408"/>
        <w:gridCol w:w="1384"/>
        <w:gridCol w:w="1384"/>
        <w:gridCol w:w="1389"/>
        <w:gridCol w:w="1600"/>
      </w:tblGrid>
      <w:tr w:rsidR="00AE4302" w:rsidRPr="00915391" w14:paraId="035A6B3D" w14:textId="77777777">
        <w:trPr>
          <w:trHeight w:val="351"/>
          <w:jc w:val="center"/>
        </w:trPr>
        <w:tc>
          <w:tcPr>
            <w:tcW w:w="1859" w:type="pct"/>
            <w:vMerge w:val="restart"/>
            <w:tcBorders>
              <w:top w:val="single" w:sz="12" w:space="0" w:color="000000"/>
              <w:left w:val="nil"/>
              <w:right w:val="nil"/>
              <w:tl2br w:val="nil"/>
            </w:tcBorders>
            <w:shd w:val="clear" w:color="auto" w:fill="FFFFFF"/>
            <w:tcMar>
              <w:top w:w="15" w:type="dxa"/>
              <w:left w:w="108" w:type="dxa"/>
              <w:bottom w:w="0" w:type="dxa"/>
              <w:right w:w="108" w:type="dxa"/>
            </w:tcMar>
            <w:vAlign w:val="center"/>
          </w:tcPr>
          <w:p w14:paraId="63C838C8"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Method</w:t>
            </w:r>
          </w:p>
        </w:tc>
        <w:tc>
          <w:tcPr>
            <w:tcW w:w="2268" w:type="pct"/>
            <w:gridSpan w:val="3"/>
            <w:tcBorders>
              <w:top w:val="single" w:sz="12" w:space="0" w:color="000000"/>
              <w:left w:val="nil"/>
              <w:bottom w:val="single" w:sz="4" w:space="0" w:color="000000"/>
              <w:right w:val="nil"/>
            </w:tcBorders>
            <w:shd w:val="clear" w:color="auto" w:fill="FFFFFF"/>
            <w:tcMar>
              <w:top w:w="15" w:type="dxa"/>
              <w:left w:w="108" w:type="dxa"/>
              <w:bottom w:w="0" w:type="dxa"/>
              <w:right w:w="108" w:type="dxa"/>
            </w:tcMar>
            <w:vAlign w:val="center"/>
          </w:tcPr>
          <w:p w14:paraId="133732F7" w14:textId="77777777" w:rsidR="00AE4302" w:rsidRPr="00915391" w:rsidRDefault="00000000">
            <w:pPr>
              <w:spacing w:line="360" w:lineRule="auto"/>
              <w:jc w:val="center"/>
              <w:rPr>
                <w:rFonts w:ascii="Times New Roman" w:hAnsi="Times New Roman" w:cs="Times New Roman"/>
                <w:color w:val="000000"/>
                <w:sz w:val="17"/>
                <w:szCs w:val="17"/>
              </w:rPr>
            </w:pPr>
            <w:r w:rsidRPr="00915391">
              <w:rPr>
                <w:rFonts w:ascii="Times New Roman" w:hAnsi="Times New Roman" w:cs="Times New Roman"/>
                <w:color w:val="000000"/>
                <w:sz w:val="17"/>
                <w:szCs w:val="17"/>
              </w:rPr>
              <w:t xml:space="preserve">LOD </w:t>
            </w:r>
            <w:r w:rsidRPr="00915391">
              <w:rPr>
                <w:rFonts w:ascii="Times New Roman" w:eastAsia="宋体" w:hAnsi="Times New Roman" w:cs="Times New Roman"/>
                <w:color w:val="000000"/>
                <w:sz w:val="17"/>
                <w:szCs w:val="17"/>
              </w:rPr>
              <w:t>（</w:t>
            </w:r>
            <w:r w:rsidRPr="00915391">
              <w:rPr>
                <w:rFonts w:ascii="Times New Roman" w:hAnsi="Times New Roman" w:cs="Times New Roman"/>
                <w:color w:val="000000"/>
                <w:sz w:val="17"/>
                <w:szCs w:val="17"/>
              </w:rPr>
              <w:t>µM</w:t>
            </w:r>
            <w:r w:rsidRPr="00915391">
              <w:rPr>
                <w:rFonts w:ascii="Times New Roman" w:eastAsia="宋体" w:hAnsi="Times New Roman" w:cs="Times New Roman"/>
                <w:color w:val="000000"/>
                <w:sz w:val="17"/>
                <w:szCs w:val="17"/>
              </w:rPr>
              <w:t>）</w:t>
            </w:r>
          </w:p>
        </w:tc>
        <w:tc>
          <w:tcPr>
            <w:tcW w:w="873" w:type="pct"/>
            <w:vMerge w:val="restart"/>
            <w:tcBorders>
              <w:top w:val="single" w:sz="12" w:space="0" w:color="000000"/>
              <w:left w:val="nil"/>
              <w:right w:val="nil"/>
            </w:tcBorders>
            <w:shd w:val="clear" w:color="auto" w:fill="FFFFFF"/>
            <w:tcMar>
              <w:top w:w="15" w:type="dxa"/>
              <w:left w:w="108" w:type="dxa"/>
              <w:bottom w:w="0" w:type="dxa"/>
              <w:right w:w="108" w:type="dxa"/>
            </w:tcMar>
            <w:vAlign w:val="center"/>
          </w:tcPr>
          <w:p w14:paraId="47AAED32" w14:textId="77777777" w:rsidR="00AE4302" w:rsidRPr="00915391" w:rsidRDefault="00000000">
            <w:pPr>
              <w:spacing w:line="360" w:lineRule="auto"/>
              <w:jc w:val="center"/>
              <w:rPr>
                <w:rFonts w:ascii="Times New Roman" w:hAnsi="Times New Roman" w:cs="Times New Roman"/>
                <w:color w:val="000000"/>
                <w:sz w:val="17"/>
                <w:szCs w:val="17"/>
              </w:rPr>
            </w:pPr>
            <w:r w:rsidRPr="00915391">
              <w:rPr>
                <w:rFonts w:ascii="Times New Roman" w:hAnsi="Times New Roman" w:cs="Times New Roman"/>
                <w:color w:val="000000"/>
                <w:sz w:val="17"/>
                <w:szCs w:val="17"/>
              </w:rPr>
              <w:t>Ref.</w:t>
            </w:r>
          </w:p>
        </w:tc>
      </w:tr>
      <w:tr w:rsidR="00AE4302" w:rsidRPr="00915391" w14:paraId="77C01586" w14:textId="77777777">
        <w:trPr>
          <w:trHeight w:val="453"/>
          <w:jc w:val="center"/>
        </w:trPr>
        <w:tc>
          <w:tcPr>
            <w:tcW w:w="1859" w:type="pct"/>
            <w:vMerge/>
            <w:tcBorders>
              <w:left w:val="nil"/>
              <w:bottom w:val="single" w:sz="4" w:space="0" w:color="000000"/>
              <w:right w:val="nil"/>
              <w:tl2br w:val="nil"/>
            </w:tcBorders>
            <w:shd w:val="clear" w:color="auto" w:fill="FFFFFF"/>
            <w:tcMar>
              <w:top w:w="15" w:type="dxa"/>
              <w:left w:w="108" w:type="dxa"/>
              <w:bottom w:w="0" w:type="dxa"/>
              <w:right w:w="108" w:type="dxa"/>
            </w:tcMar>
            <w:vAlign w:val="center"/>
          </w:tcPr>
          <w:p w14:paraId="3ED0AEFE" w14:textId="77777777" w:rsidR="00AE4302" w:rsidRPr="00915391" w:rsidRDefault="00AE4302">
            <w:pPr>
              <w:spacing w:line="360" w:lineRule="auto"/>
              <w:ind w:firstLineChars="50" w:firstLine="85"/>
              <w:jc w:val="center"/>
              <w:rPr>
                <w:rFonts w:ascii="Times New Roman" w:hAnsi="Times New Roman" w:cs="Times New Roman"/>
                <w:sz w:val="17"/>
                <w:szCs w:val="17"/>
              </w:rPr>
            </w:pPr>
          </w:p>
        </w:tc>
        <w:tc>
          <w:tcPr>
            <w:tcW w:w="755" w:type="pct"/>
            <w:tcBorders>
              <w:top w:val="single" w:sz="12" w:space="0" w:color="000000"/>
              <w:left w:val="nil"/>
              <w:bottom w:val="single" w:sz="4" w:space="0" w:color="000000"/>
              <w:right w:val="nil"/>
            </w:tcBorders>
            <w:shd w:val="clear" w:color="auto" w:fill="FFFFFF"/>
            <w:tcMar>
              <w:top w:w="15" w:type="dxa"/>
              <w:left w:w="108" w:type="dxa"/>
              <w:bottom w:w="0" w:type="dxa"/>
              <w:right w:w="108" w:type="dxa"/>
            </w:tcMar>
            <w:vAlign w:val="center"/>
          </w:tcPr>
          <w:p w14:paraId="66D62A13" w14:textId="77777777" w:rsidR="00AE4302" w:rsidRPr="00915391" w:rsidRDefault="00000000">
            <w:pPr>
              <w:spacing w:line="360" w:lineRule="auto"/>
              <w:ind w:firstLineChars="50" w:firstLine="85"/>
              <w:jc w:val="center"/>
              <w:rPr>
                <w:rFonts w:ascii="Times New Roman" w:hAnsi="Times New Roman" w:cs="Times New Roman"/>
                <w:sz w:val="17"/>
                <w:szCs w:val="17"/>
              </w:rPr>
            </w:pPr>
            <w:r w:rsidRPr="00915391">
              <w:rPr>
                <w:rFonts w:ascii="Times New Roman" w:hAnsi="Times New Roman" w:cs="Times New Roman"/>
                <w:color w:val="000000"/>
                <w:sz w:val="17"/>
                <w:szCs w:val="17"/>
              </w:rPr>
              <w:t>Cys</w:t>
            </w:r>
          </w:p>
        </w:tc>
        <w:tc>
          <w:tcPr>
            <w:tcW w:w="755" w:type="pct"/>
            <w:tcBorders>
              <w:top w:val="single" w:sz="12" w:space="0" w:color="000000"/>
              <w:left w:val="nil"/>
              <w:bottom w:val="single" w:sz="4" w:space="0" w:color="000000"/>
              <w:right w:val="nil"/>
            </w:tcBorders>
            <w:shd w:val="clear" w:color="auto" w:fill="FFFFFF"/>
            <w:tcMar>
              <w:top w:w="15" w:type="dxa"/>
              <w:left w:w="108" w:type="dxa"/>
              <w:bottom w:w="0" w:type="dxa"/>
              <w:right w:w="108" w:type="dxa"/>
            </w:tcMar>
            <w:vAlign w:val="center"/>
          </w:tcPr>
          <w:p w14:paraId="41191902" w14:textId="77777777" w:rsidR="00AE4302" w:rsidRPr="00915391" w:rsidRDefault="00000000">
            <w:pPr>
              <w:spacing w:line="360" w:lineRule="auto"/>
              <w:ind w:firstLineChars="50" w:firstLine="85"/>
              <w:jc w:val="center"/>
              <w:rPr>
                <w:rFonts w:ascii="Times New Roman" w:hAnsi="Times New Roman" w:cs="Times New Roman"/>
                <w:sz w:val="17"/>
                <w:szCs w:val="17"/>
              </w:rPr>
            </w:pPr>
            <w:r w:rsidRPr="00915391">
              <w:rPr>
                <w:rFonts w:ascii="Times New Roman" w:hAnsi="Times New Roman" w:cs="Times New Roman"/>
                <w:color w:val="000000"/>
                <w:sz w:val="17"/>
                <w:szCs w:val="17"/>
              </w:rPr>
              <w:t>GSH</w:t>
            </w:r>
          </w:p>
        </w:tc>
        <w:tc>
          <w:tcPr>
            <w:tcW w:w="758" w:type="pct"/>
            <w:tcBorders>
              <w:top w:val="single" w:sz="12" w:space="0" w:color="000000"/>
              <w:left w:val="nil"/>
              <w:bottom w:val="single" w:sz="4" w:space="0" w:color="000000"/>
              <w:right w:val="nil"/>
            </w:tcBorders>
            <w:shd w:val="clear" w:color="auto" w:fill="FFFFFF"/>
            <w:tcMar>
              <w:top w:w="15" w:type="dxa"/>
              <w:left w:w="108" w:type="dxa"/>
              <w:bottom w:w="0" w:type="dxa"/>
              <w:right w:w="108" w:type="dxa"/>
            </w:tcMar>
            <w:vAlign w:val="center"/>
          </w:tcPr>
          <w:p w14:paraId="7AE13019" w14:textId="77777777" w:rsidR="00AE4302" w:rsidRPr="00915391" w:rsidRDefault="00000000">
            <w:pPr>
              <w:spacing w:line="360" w:lineRule="auto"/>
              <w:ind w:firstLineChars="50" w:firstLine="85"/>
              <w:jc w:val="center"/>
              <w:rPr>
                <w:rFonts w:ascii="Times New Roman" w:hAnsi="Times New Roman" w:cs="Times New Roman"/>
                <w:color w:val="000000"/>
                <w:sz w:val="17"/>
                <w:szCs w:val="17"/>
              </w:rPr>
            </w:pPr>
            <w:proofErr w:type="spellStart"/>
            <w:r w:rsidRPr="00915391">
              <w:rPr>
                <w:rFonts w:ascii="Times New Roman" w:hAnsi="Times New Roman" w:cs="Times New Roman"/>
                <w:color w:val="000000"/>
                <w:sz w:val="17"/>
                <w:szCs w:val="17"/>
              </w:rPr>
              <w:t>Hcy</w:t>
            </w:r>
            <w:proofErr w:type="spellEnd"/>
          </w:p>
        </w:tc>
        <w:tc>
          <w:tcPr>
            <w:tcW w:w="873" w:type="pct"/>
            <w:vMerge/>
            <w:tcBorders>
              <w:left w:val="nil"/>
              <w:bottom w:val="single" w:sz="4" w:space="0" w:color="000000"/>
              <w:right w:val="nil"/>
            </w:tcBorders>
            <w:shd w:val="clear" w:color="auto" w:fill="FFFFFF"/>
            <w:tcMar>
              <w:top w:w="15" w:type="dxa"/>
              <w:left w:w="108" w:type="dxa"/>
              <w:bottom w:w="0" w:type="dxa"/>
              <w:right w:w="108" w:type="dxa"/>
            </w:tcMar>
            <w:vAlign w:val="center"/>
          </w:tcPr>
          <w:p w14:paraId="2BFF2F23" w14:textId="77777777" w:rsidR="00AE4302" w:rsidRPr="00915391" w:rsidRDefault="00AE4302">
            <w:pPr>
              <w:spacing w:line="360" w:lineRule="auto"/>
              <w:ind w:firstLineChars="50" w:firstLine="85"/>
              <w:jc w:val="center"/>
              <w:rPr>
                <w:rFonts w:ascii="Times New Roman" w:hAnsi="Times New Roman" w:cs="Times New Roman"/>
                <w:color w:val="000000"/>
                <w:sz w:val="17"/>
                <w:szCs w:val="17"/>
              </w:rPr>
            </w:pPr>
          </w:p>
        </w:tc>
      </w:tr>
      <w:tr w:rsidR="00AE4302" w:rsidRPr="00915391" w14:paraId="6FEBFBB3" w14:textId="77777777">
        <w:trPr>
          <w:trHeight w:val="457"/>
          <w:jc w:val="center"/>
        </w:trPr>
        <w:tc>
          <w:tcPr>
            <w:tcW w:w="1859" w:type="pct"/>
            <w:tcBorders>
              <w:top w:val="single" w:sz="4" w:space="0" w:color="000000"/>
              <w:left w:val="nil"/>
              <w:bottom w:val="nil"/>
              <w:right w:val="nil"/>
            </w:tcBorders>
            <w:shd w:val="clear" w:color="auto" w:fill="FFFFFF"/>
            <w:tcMar>
              <w:top w:w="15" w:type="dxa"/>
              <w:left w:w="108" w:type="dxa"/>
              <w:bottom w:w="0" w:type="dxa"/>
              <w:right w:w="108" w:type="dxa"/>
            </w:tcMar>
            <w:vAlign w:val="center"/>
          </w:tcPr>
          <w:p w14:paraId="1F069E48"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Carbon dots</w:t>
            </w:r>
            <w:r w:rsidRPr="00915391">
              <w:rPr>
                <w:rFonts w:ascii="Times New Roman" w:eastAsia="宋体" w:hAnsi="Times New Roman" w:cs="Times New Roman"/>
                <w:color w:val="000000"/>
                <w:sz w:val="17"/>
                <w:szCs w:val="17"/>
              </w:rPr>
              <w:t>，</w:t>
            </w:r>
            <w:r w:rsidRPr="00915391">
              <w:rPr>
                <w:rFonts w:ascii="Times New Roman" w:eastAsia="宋体" w:hAnsi="Times New Roman" w:cs="Times New Roman"/>
                <w:color w:val="000000"/>
                <w:sz w:val="17"/>
                <w:szCs w:val="17"/>
              </w:rPr>
              <w:t>fluorescence</w:t>
            </w:r>
          </w:p>
        </w:tc>
        <w:tc>
          <w:tcPr>
            <w:tcW w:w="755" w:type="pct"/>
            <w:tcBorders>
              <w:top w:val="single" w:sz="4" w:space="0" w:color="000000"/>
              <w:left w:val="nil"/>
              <w:bottom w:val="nil"/>
              <w:right w:val="nil"/>
            </w:tcBorders>
            <w:shd w:val="clear" w:color="auto" w:fill="FFFFFF"/>
            <w:tcMar>
              <w:top w:w="15" w:type="dxa"/>
              <w:left w:w="108" w:type="dxa"/>
              <w:bottom w:w="0" w:type="dxa"/>
              <w:right w:w="108" w:type="dxa"/>
            </w:tcMar>
            <w:vAlign w:val="center"/>
          </w:tcPr>
          <w:p w14:paraId="5BF2F982"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bCs/>
                <w:color w:val="000000"/>
                <w:sz w:val="17"/>
                <w:szCs w:val="17"/>
              </w:rPr>
              <w:t>4.9</w:t>
            </w:r>
          </w:p>
        </w:tc>
        <w:tc>
          <w:tcPr>
            <w:tcW w:w="755" w:type="pct"/>
            <w:tcBorders>
              <w:top w:val="single" w:sz="4" w:space="0" w:color="000000"/>
              <w:left w:val="nil"/>
              <w:bottom w:val="nil"/>
              <w:right w:val="nil"/>
            </w:tcBorders>
            <w:shd w:val="clear" w:color="auto" w:fill="FFFFFF"/>
            <w:tcMar>
              <w:top w:w="15" w:type="dxa"/>
              <w:left w:w="108" w:type="dxa"/>
              <w:bottom w:w="0" w:type="dxa"/>
              <w:right w:w="108" w:type="dxa"/>
            </w:tcMar>
            <w:vAlign w:val="center"/>
          </w:tcPr>
          <w:p w14:paraId="135AE9C3" w14:textId="77777777" w:rsidR="00AE4302" w:rsidRPr="00915391" w:rsidRDefault="00000000">
            <w:pPr>
              <w:spacing w:line="360" w:lineRule="auto"/>
              <w:jc w:val="center"/>
              <w:rPr>
                <w:rFonts w:ascii="Times New Roman" w:hAnsi="Times New Roman" w:cs="Times New Roman"/>
                <w:bCs/>
                <w:color w:val="000000"/>
                <w:sz w:val="17"/>
                <w:szCs w:val="17"/>
              </w:rPr>
            </w:pPr>
            <w:r w:rsidRPr="00915391">
              <w:rPr>
                <w:rFonts w:ascii="Times New Roman" w:eastAsia="宋体" w:hAnsi="Times New Roman" w:cs="Times New Roman"/>
                <w:color w:val="000000"/>
                <w:sz w:val="17"/>
                <w:szCs w:val="17"/>
              </w:rPr>
              <w:t>9.4</w:t>
            </w:r>
          </w:p>
        </w:tc>
        <w:tc>
          <w:tcPr>
            <w:tcW w:w="758" w:type="pct"/>
            <w:tcBorders>
              <w:top w:val="single" w:sz="4" w:space="0" w:color="000000"/>
              <w:left w:val="nil"/>
              <w:bottom w:val="nil"/>
              <w:right w:val="nil"/>
            </w:tcBorders>
            <w:shd w:val="clear" w:color="auto" w:fill="FFFFFF"/>
            <w:tcMar>
              <w:top w:w="15" w:type="dxa"/>
              <w:left w:w="108" w:type="dxa"/>
              <w:bottom w:w="0" w:type="dxa"/>
              <w:right w:w="108" w:type="dxa"/>
            </w:tcMar>
            <w:vAlign w:val="center"/>
          </w:tcPr>
          <w:p w14:paraId="21C6A925"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bCs/>
                <w:color w:val="000000"/>
                <w:sz w:val="17"/>
                <w:szCs w:val="17"/>
              </w:rPr>
              <w:t>6.1</w:t>
            </w:r>
          </w:p>
        </w:tc>
        <w:tc>
          <w:tcPr>
            <w:tcW w:w="873" w:type="pct"/>
            <w:tcBorders>
              <w:top w:val="single" w:sz="4" w:space="0" w:color="000000"/>
              <w:left w:val="nil"/>
              <w:bottom w:val="nil"/>
              <w:right w:val="nil"/>
            </w:tcBorders>
            <w:shd w:val="clear" w:color="auto" w:fill="FFFFFF"/>
            <w:tcMar>
              <w:top w:w="15" w:type="dxa"/>
              <w:left w:w="108" w:type="dxa"/>
              <w:bottom w:w="0" w:type="dxa"/>
              <w:right w:w="108" w:type="dxa"/>
            </w:tcMar>
            <w:vAlign w:val="center"/>
          </w:tcPr>
          <w:p w14:paraId="5D53B8F8" w14:textId="0DEEF2F3"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{"citationID":"g2slKpt3","properties":{"formattedCitation":"[[1]]","plainCitation":"[[1]]","noteIndex":0},"citationItems":[{"id":234,"uris":["http://zotero.org/users/local/wX6MymqV/items/FRYYELI9"],"itemData":{"id":234,"type":"article-journal","container-title":"Chem. Commun.","DOI":"10.1039/C2CC16791C","ISSN":"1359-7345, 1364-548X","issue":"8","journalAbbreviation":"Chem. Commun.","language":"en","page":"1147-1149","source":"DOI.org (Crossref)","title":"Carbon nanodots as fluorescence probes for rapid, sensitive, and label-free detection of Hg&lt;sup&gt;2+&lt;/sup&gt; and biothiols in complex matrices","volume":"48","author":[{"family":"Zhou","given":"Li"},{"family":"Lin","given":"Youhui"},{"family":"Huang","given":"Zhenzhen"},{"family":"Ren","given":"Jinsong"},{"family":"Qu","given":"Xiaogang"}],"issued":{"date-parts":[["2012"]]}},"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[1]</w:t>
            </w:r>
            <w:r w:rsidRPr="00915391">
              <w:rPr>
                <w:rFonts w:ascii="Times New Roman" w:eastAsia="宋体" w:hAnsi="Times New Roman" w:cs="Times New Roman"/>
                <w:color w:val="000000"/>
                <w:sz w:val="17"/>
                <w:szCs w:val="17"/>
              </w:rPr>
              <w:fldChar w:fldCharType="end"/>
            </w:r>
          </w:p>
        </w:tc>
      </w:tr>
      <w:tr w:rsidR="00AE4302" w:rsidRPr="00915391" w14:paraId="5B58A2D0" w14:textId="77777777">
        <w:trPr>
          <w:trHeight w:val="399"/>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4B23FAA9"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Au NCs, fluorescence</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3E541051"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8.3</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3A02D4FC"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9.4</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19B18E0F"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14.9</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4BA38601" w14:textId="2C50776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{"citationID":"eHqA8PE0","properties":{"formattedCitation":"[[2]]","plainCitation":"[[2]]","noteIndex":0},"citationItems":[{"id":235,"uris":["http://zotero.org/users/local/wX6MymqV/items/L8PWWGN4"],"itemData":{"id":235,"type":"article-journal","abstract":"A novel, label-free, ﬂuorescent, turn-on sensor for biological thiol detection that uses highly ﬂuorescent gold nanoclusters (AuNCs), prepared by a bovine serum albumin (BSA)-templated green synthetic route, has been developed. The assay relies on blocking Hg2þ -induced quenching of the ﬂuorescence of AuNCs, caused by metallophilic Hg2þ –Au þ interactions, through selective coordination of biological thiols with Hg2 þ ions. Biological thiols entrap added Hg2 þ ions via a robust Hg–S interaction. This phenomenon prevents Hg2þ-induced quenching and results in ﬂuorescence from AuNCs. By employing this turn-on sensor, biological thiols, such as cysteine (Cys), glutathione (GSH) and homocysteine (Hcy), are successfully detected at concentrations as low as 8.3 nM for Cys, 9.4 nM for GSH, and 14.9 nM for Hcy. The diagnostic capability and potential in practical applications of this method have been demonstrated by detecting biological thiols in human blood serum.","container-title":"Biosensors and Bioelectronics","DOI":"10.1016/j.bios.2013.01.047","ISSN":"09565663","journalAbbreviation":"Biosensors and Bioelectronics","language":"en","page":"65-69","source":"DOI.org (Crossref)","title":"A label-free method for detecting biological thiols based on blocking of Hg2+-quenching of fluorescent gold nanoclusters","volume":"45","author":[{"family":"Park","given":"Ki Soo"},{"family":"Kim","given":"Moon Il"},{"family":"Woo","given":"Min-Ah"},{"family":"Park","given":"Hyun Gyu"}],"issued":{"date-parts":[["2013",7]]}},"prefix":"[","suffix":"]"}],"schema":"https://github.com/citation-style-language/schema/raw/master/csl-citation.json"}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[2]</w:t>
            </w:r>
            <w:r w:rsidRPr="00915391">
              <w:rPr>
                <w:rFonts w:ascii="Times New Roman" w:eastAsia="宋体" w:hAnsi="Times New Roman" w:cs="Times New Roman"/>
                <w:color w:val="000000"/>
                <w:sz w:val="17"/>
                <w:szCs w:val="17"/>
              </w:rPr>
              <w:fldChar w:fldCharType="end"/>
            </w:r>
          </w:p>
        </w:tc>
      </w:tr>
      <w:tr w:rsidR="00AE4302" w:rsidRPr="00915391" w14:paraId="0504840E" w14:textId="77777777">
        <w:trPr>
          <w:trHeight w:val="399"/>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726AE638"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GQDs, fluorescence</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0A0ED853"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6.2</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768DA3DE" w14:textId="77777777" w:rsidR="00AE4302" w:rsidRPr="00915391" w:rsidRDefault="00000000">
            <w:pPr>
              <w:spacing w:line="360" w:lineRule="auto"/>
              <w:jc w:val="center"/>
              <w:rPr>
                <w:rFonts w:ascii="Times New Roman" w:hAnsi="Times New Roman" w:cs="Times New Roman"/>
                <w:color w:val="000000"/>
                <w:sz w:val="17"/>
                <w:szCs w:val="17"/>
              </w:rPr>
            </w:pPr>
            <w:r w:rsidRPr="00915391">
              <w:rPr>
                <w:rFonts w:ascii="Times New Roman" w:hAnsi="Times New Roman" w:cs="Times New Roman"/>
                <w:color w:val="000000"/>
                <w:sz w:val="17"/>
                <w:szCs w:val="17"/>
              </w:rPr>
              <w:t>4.1</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32D472EF"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4.5</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1B4A1B42" w14:textId="1E36C376"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{"citationID":"dJdRUrJy","properties":{"formattedCitation":"[[3]]","plainCitation":"[[3]]","noteIndex":0},"citationItems":[{"id":236,"uris":["http://zotero.org/users/local/wX6MymqV/items/EEK7QKSC"],"itemData":{"id":236,"type":"article-journal","container-title":"Chemical Communications","DOI":"10.1039/c2cc38403e","ISSN":"1359-7345, 1364-548X","issue":"11","journalAbbreviation":"Chem. Commun.","language":"en","page":"1079","source":"DOI.org (Crossref)","title":"Ag Nanoparticle-decorated graphene quantum dots for label-free, rapid and sensitive detection of Ag+ and biothiols","volume":"49","author":[{"family":"Ran","given":"Xiang"},{"family":"Sun","given":"Hanjun"},{"family":"Pu","given":"Fang"},{"family":"Ren","given":"Jinsong"},{"family":"Qu","given":"Xiaogang"}],"issued":{"date-parts":[["2013"]]}},"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[3]</w:t>
            </w:r>
            <w:r w:rsidRPr="00915391">
              <w:rPr>
                <w:rFonts w:ascii="Times New Roman" w:eastAsia="宋体" w:hAnsi="Times New Roman" w:cs="Times New Roman"/>
                <w:color w:val="000000"/>
                <w:sz w:val="17"/>
                <w:szCs w:val="17"/>
              </w:rPr>
              <w:fldChar w:fldCharType="end"/>
            </w:r>
          </w:p>
        </w:tc>
      </w:tr>
      <w:tr w:rsidR="00AE4302" w:rsidRPr="00915391" w14:paraId="4FC7C695" w14:textId="77777777">
        <w:trPr>
          <w:trHeight w:val="399"/>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194AAEBB"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GQDs-Hg</w:t>
            </w:r>
            <w:r w:rsidRPr="00915391">
              <w:rPr>
                <w:rFonts w:ascii="Times New Roman" w:eastAsia="宋体" w:hAnsi="Times New Roman" w:cs="Times New Roman"/>
                <w:color w:val="000000"/>
                <w:sz w:val="17"/>
                <w:szCs w:val="17"/>
                <w:vertAlign w:val="superscript"/>
              </w:rPr>
              <w:t>2+</w:t>
            </w:r>
            <w:r w:rsidRPr="00915391">
              <w:rPr>
                <w:rFonts w:ascii="Times New Roman" w:eastAsia="宋体" w:hAnsi="Times New Roman" w:cs="Times New Roman"/>
                <w:color w:val="000000"/>
                <w:sz w:val="17"/>
                <w:szCs w:val="17"/>
              </w:rPr>
              <w:t>, fluorescence</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611E04C3"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2.5</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57A99BF5"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5</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20D0EE28"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5</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0A4D3A71" w14:textId="1BAE5641"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{"citationID":"xFpFbu3M","properties":{"formattedCitation":"[[4]]","plainCitation":"[[4]]","noteIndex":0},"citationItems":[{"id":237,"uris":["http://zotero.org/users/local/wX6MymqV/items/4Z4HH6R6"],"itemData":{"id":237,"type":"article-journal","abstract":"A facile assay method for the highly sensitive and selective sensing of biothiols based on graphene quantum dots (GQDs) has been developed. GQDs emitted strong blue ﬂuorescence in an aqueous buffer solution. It was observed that mercury(II) ions could efﬁciently bind and quench the ﬂuorescence of the GQDs. When a biothiol compound (glutathione, cysteine, or homocysteine) was added to the assay mixture of GQDs and mercury(II), it bound to mercury(II) ions. Hg2 þ–GQD complex dissociated, and a ﬂuorescence turn-on signal was detected. The emission intensity changes of the GQDs could be directly related to the amount of biothiol added to the assay solution. The assay is highly sensitive, the limits of detection (LOD) for GSH, Cys and Hcy were 5 nM, 2.5 nM and 5 nM, respectively. The assay is also highly selective, a number of amino acids and proteins were tested, and little interference was observed. In addition, GSH standard recovery in serum samples was also demonstrated. We envision that our assay method could facilitate the biothiol quantiﬁcation related biological and biomedical research.","container-title":"Talanta","DOI":"10.1016/j.talanta.2013.11.065","ISSN":"00399140","journalAbbreviation":"Talanta","language":"en","page":"538-543","source":"DOI.org (Crossref)","title":"A graphene quantum dot-based method for the highly sensitive and selective fluorescence turn on detection of biothiols","volume":"119","author":[{"family":"Wu","given":"Zhenzhu"},{"family":"Li","given":"Wenying"},{"family":"Chen","given":"Jian"},{"family":"Yu","given":"Cong"}],"issued":{"date-parts":[["2014",2]]}},"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[4]</w:t>
            </w:r>
            <w:r w:rsidRPr="00915391">
              <w:rPr>
                <w:rFonts w:ascii="Times New Roman" w:eastAsia="宋体" w:hAnsi="Times New Roman" w:cs="Times New Roman"/>
                <w:color w:val="000000"/>
                <w:sz w:val="17"/>
                <w:szCs w:val="17"/>
              </w:rPr>
              <w:fldChar w:fldCharType="end"/>
            </w:r>
          </w:p>
        </w:tc>
      </w:tr>
      <w:tr w:rsidR="00AE4302" w:rsidRPr="00915391" w14:paraId="75AD3EA6" w14:textId="77777777">
        <w:trPr>
          <w:trHeight w:val="833"/>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3E1A318C" w14:textId="77777777" w:rsidR="00AE4302" w:rsidRPr="00915391" w:rsidRDefault="00000000">
            <w:pPr>
              <w:spacing w:line="360" w:lineRule="auto"/>
              <w:jc w:val="center"/>
              <w:rPr>
                <w:rFonts w:ascii="Times New Roman" w:eastAsia="宋体" w:hAnsi="Times New Roman" w:cs="Times New Roman"/>
                <w:color w:val="000000"/>
                <w:sz w:val="17"/>
                <w:szCs w:val="17"/>
              </w:rPr>
            </w:pPr>
            <w:proofErr w:type="spellStart"/>
            <w:r w:rsidRPr="00915391">
              <w:rPr>
                <w:rFonts w:ascii="Times New Roman" w:eastAsia="宋体" w:hAnsi="Times New Roman" w:cs="Times New Roman"/>
                <w:color w:val="000000"/>
                <w:sz w:val="17"/>
                <w:szCs w:val="17"/>
              </w:rPr>
              <w:t>Binaphthalene</w:t>
            </w:r>
            <w:proofErr w:type="spellEnd"/>
            <w:r w:rsidRPr="00915391">
              <w:rPr>
                <w:rFonts w:ascii="Times New Roman" w:eastAsia="宋体" w:hAnsi="Times New Roman" w:cs="Times New Roman"/>
                <w:color w:val="000000"/>
                <w:sz w:val="17"/>
                <w:szCs w:val="17"/>
              </w:rPr>
              <w:t>-maleimide</w:t>
            </w:r>
            <w:r w:rsidRPr="00915391">
              <w:rPr>
                <w:rFonts w:ascii="Times New Roman" w:eastAsia="宋体" w:hAnsi="Times New Roman" w:cs="Times New Roman"/>
                <w:color w:val="000000"/>
                <w:sz w:val="17"/>
                <w:szCs w:val="17"/>
              </w:rPr>
              <w:t>，</w:t>
            </w:r>
            <w:r w:rsidRPr="00915391">
              <w:rPr>
                <w:rFonts w:ascii="Times New Roman" w:eastAsia="宋体" w:hAnsi="Times New Roman" w:cs="Times New Roman"/>
                <w:color w:val="000000"/>
                <w:sz w:val="17"/>
                <w:szCs w:val="17"/>
              </w:rPr>
              <w:t>fluorescence</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0DEBA586"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42.6</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2439BB1B"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52.8</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55CBC1D7"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16.7</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04D83671" w14:textId="66310AED"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{"citationID":"HUNNQ9rh","properties":{"formattedCitation":"[[5]]","plainCitation":"[[5]]","noteIndex":0},"citationItems":[{"id":238,"uris":["http://zotero.org/users/local/wX6MymqV/items/4WBG497E"],"itemData":{"id":238,"type":"article-journal","abstract":"A reaction-motivated ﬂuorescent probe for thiols was designed and synthesized containing binaphthalene ﬂuorophore and maleimide binding group. The probe showed high selectivity and sensitivity for thiol-containing amino acids (Cys, Hcy, GSH) over other amino acids with detectable ﬂuorescent signals in aqueous-DMSO media. The proposed mechanism is that the ﬂuorescence of the probe was enhanced due to the thiol reacting with the C C double bond of the maleimide group, and blocking the ICT process from the binaphthalene moiety to the maleimide group, resulting in a recovery of the emission of the binaphthalene ﬂuorophore, and the adduct was proved by ESI-MS and 1H NMR analysis. Furthermore, this probe successfully applied to bioimaging, demonstrating its value of practical applications in biological systems.","container-title":"Sensors and Actuators B: Chemical","DOI":"10.1016/j.snb.2014.09.091","ISSN":"09254005","journalAbbreviation":"Sensors and Actuators B: Chemical","language":"en","page":"59-65","source":"DOI.org (Crossref)","title":"An off–on fluorescent probe based on maleimide for detecting thiols and its application for bioimaging","volume":"207","author":[{"family":"Zhang","given":"Yongbin"},{"family":"Huo","given":"Fangjun"},{"family":"Yin","given":"Caixia"},{"family":"Yue","given":"Yongkang"},{"family":"Hao","given":"Junsheng"},{"family":"Chao","given":"Jianbin"},{"family":"Liu","given":"Diansheng"}],"issued":{"date-parts":[["2015",2]]}},"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[5]</w:t>
            </w:r>
            <w:r w:rsidRPr="00915391">
              <w:rPr>
                <w:rFonts w:ascii="Times New Roman" w:eastAsia="宋体" w:hAnsi="Times New Roman" w:cs="Times New Roman"/>
                <w:color w:val="000000"/>
                <w:sz w:val="17"/>
                <w:szCs w:val="17"/>
              </w:rPr>
              <w:fldChar w:fldCharType="end"/>
            </w:r>
          </w:p>
        </w:tc>
      </w:tr>
      <w:tr w:rsidR="00AE4302" w:rsidRPr="00915391" w14:paraId="09E918F1" w14:textId="77777777">
        <w:trPr>
          <w:trHeight w:val="399"/>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12496FF3"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DNA-ligand and Ag cluster</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26588AAE"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63</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2DCD010A"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63</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2CADAF94"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28</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1E359D87" w14:textId="12817432"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{"citationID":"Mi8A3i4W","properties":{"formattedCitation":"[[6]]","plainCitation":"[[6]]","noteIndex":0},"citationItems":[{"id":239,"uris":["http://zotero.org/users/local/wX6MymqV/items/L6T4LWBP"],"itemData":{"id":239,"type":"article-journal","abstract":"A smart nanoprobe was constructed by coupling a DNA–ligand ensemble with Ag cluster formation for the ratiometric detection of intracellular biothiols.\n          , \n            We have demonstrated the synthesis of a smart nanoprobe by coupling a DNA–ligand ensemble with Ag cluster formation that allows the label-free and ratiometric detection of intracellular biothiols with high sensitivity and selectivity as well as discrimination of normal cells and cancer cells.","container-title":"Chemical Communications","DOI":"10.1039/C5CC10606K","ISSN":"1359-7345, 1364-548X","issue":"29","journalAbbreviation":"Chem. Commun.","language":"en","page":"5167-5170","source":"DOI.org (Crossref)","title":"Coupling a DNA–ligand ensemble with Ag cluster formation for the label-free and ratiometric detection of intracellular biothiols","volume":"52","author":[{"family":"Cao","given":"Fangfang"},{"family":"Ju","given":"Enguo"},{"family":"Liu","given":"Chaoqun"},{"family":"Pu","given":"Fang"},{"family":"Ren","given":"Jinsong"},{"family":"Qu","given":"Xiaogang"}],"issued":{"date-parts":[["2016"]]}},"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[6]</w:t>
            </w:r>
            <w:r w:rsidRPr="00915391">
              <w:rPr>
                <w:rFonts w:ascii="Times New Roman" w:eastAsia="宋体" w:hAnsi="Times New Roman" w:cs="Times New Roman"/>
                <w:color w:val="000000"/>
                <w:sz w:val="17"/>
                <w:szCs w:val="17"/>
              </w:rPr>
              <w:fldChar w:fldCharType="end"/>
            </w:r>
          </w:p>
        </w:tc>
      </w:tr>
      <w:tr w:rsidR="00AE4302" w:rsidRPr="00915391" w14:paraId="71169450" w14:textId="77777777">
        <w:trPr>
          <w:trHeight w:val="833"/>
          <w:jc w:val="center"/>
        </w:trPr>
        <w:tc>
          <w:tcPr>
            <w:tcW w:w="1859" w:type="pct"/>
            <w:tcBorders>
              <w:top w:val="nil"/>
              <w:left w:val="nil"/>
              <w:bottom w:val="nil"/>
              <w:right w:val="nil"/>
            </w:tcBorders>
            <w:shd w:val="clear" w:color="auto" w:fill="FFFFFF"/>
            <w:tcMar>
              <w:top w:w="15" w:type="dxa"/>
              <w:left w:w="108" w:type="dxa"/>
              <w:bottom w:w="0" w:type="dxa"/>
              <w:right w:w="108" w:type="dxa"/>
            </w:tcMar>
            <w:vAlign w:val="center"/>
          </w:tcPr>
          <w:p w14:paraId="4E6E814F" w14:textId="77777777" w:rsidR="00AE4302" w:rsidRPr="00915391" w:rsidRDefault="00000000">
            <w:pPr>
              <w:spacing w:line="360" w:lineRule="auto"/>
              <w:jc w:val="center"/>
              <w:rPr>
                <w:rFonts w:ascii="Times New Roman" w:eastAsia="宋体" w:hAnsi="Times New Roman" w:cs="Times New Roman"/>
                <w:color w:val="000000"/>
                <w:sz w:val="17"/>
                <w:szCs w:val="17"/>
              </w:rPr>
            </w:pPr>
            <w:proofErr w:type="spellStart"/>
            <w:r w:rsidRPr="00915391">
              <w:rPr>
                <w:rFonts w:ascii="Times New Roman" w:eastAsia="宋体" w:hAnsi="Times New Roman" w:cs="Times New Roman"/>
                <w:color w:val="000000"/>
                <w:sz w:val="17"/>
                <w:szCs w:val="17"/>
              </w:rPr>
              <w:t>Chromenoquinoline</w:t>
            </w:r>
            <w:proofErr w:type="spellEnd"/>
            <w:r w:rsidRPr="00915391">
              <w:rPr>
                <w:rFonts w:ascii="Times New Roman" w:eastAsia="宋体" w:hAnsi="Times New Roman" w:cs="Times New Roman"/>
                <w:color w:val="000000"/>
                <w:sz w:val="17"/>
                <w:szCs w:val="17"/>
              </w:rPr>
              <w:t>，</w:t>
            </w:r>
            <w:r w:rsidRPr="00915391">
              <w:rPr>
                <w:rFonts w:ascii="Times New Roman" w:eastAsia="宋体" w:hAnsi="Times New Roman" w:cs="Times New Roman"/>
                <w:color w:val="000000"/>
                <w:sz w:val="17"/>
                <w:szCs w:val="17"/>
              </w:rPr>
              <w:t>fluorescence</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0063908A"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19.4</w:t>
            </w:r>
          </w:p>
        </w:tc>
        <w:tc>
          <w:tcPr>
            <w:tcW w:w="755" w:type="pct"/>
            <w:tcBorders>
              <w:top w:val="nil"/>
              <w:left w:val="nil"/>
              <w:bottom w:val="nil"/>
              <w:right w:val="nil"/>
            </w:tcBorders>
            <w:shd w:val="clear" w:color="auto" w:fill="FFFFFF"/>
            <w:tcMar>
              <w:top w:w="15" w:type="dxa"/>
              <w:left w:w="108" w:type="dxa"/>
              <w:bottom w:w="0" w:type="dxa"/>
              <w:right w:w="108" w:type="dxa"/>
            </w:tcMar>
            <w:vAlign w:val="center"/>
          </w:tcPr>
          <w:p w14:paraId="06ACB3A3"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23.1</w:t>
            </w:r>
          </w:p>
        </w:tc>
        <w:tc>
          <w:tcPr>
            <w:tcW w:w="758" w:type="pct"/>
            <w:tcBorders>
              <w:top w:val="nil"/>
              <w:left w:val="nil"/>
              <w:bottom w:val="nil"/>
              <w:right w:val="nil"/>
            </w:tcBorders>
            <w:shd w:val="clear" w:color="auto" w:fill="FFFFFF"/>
            <w:tcMar>
              <w:top w:w="15" w:type="dxa"/>
              <w:left w:w="108" w:type="dxa"/>
              <w:bottom w:w="0" w:type="dxa"/>
              <w:right w:w="108" w:type="dxa"/>
            </w:tcMar>
            <w:vAlign w:val="center"/>
          </w:tcPr>
          <w:p w14:paraId="2A741BDB" w14:textId="77777777"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t>14.6</w:t>
            </w:r>
          </w:p>
        </w:tc>
        <w:tc>
          <w:tcPr>
            <w:tcW w:w="873" w:type="pct"/>
            <w:tcBorders>
              <w:top w:val="nil"/>
              <w:left w:val="nil"/>
              <w:bottom w:val="nil"/>
              <w:right w:val="nil"/>
            </w:tcBorders>
            <w:shd w:val="clear" w:color="auto" w:fill="FFFFFF"/>
            <w:tcMar>
              <w:top w:w="15" w:type="dxa"/>
              <w:left w:w="108" w:type="dxa"/>
              <w:bottom w:w="0" w:type="dxa"/>
              <w:right w:w="108" w:type="dxa"/>
            </w:tcMar>
            <w:vAlign w:val="center"/>
          </w:tcPr>
          <w:p w14:paraId="435D65C8" w14:textId="18EF2766" w:rsidR="00AE4302" w:rsidRPr="00915391" w:rsidRDefault="00000000">
            <w:pPr>
              <w:spacing w:line="360" w:lineRule="auto"/>
              <w:jc w:val="center"/>
              <w:rPr>
                <w:rFonts w:ascii="Times New Roman" w:eastAsia="宋体" w:hAnsi="Times New Roman" w:cs="Times New Roman"/>
                <w:color w:val="000000"/>
                <w:sz w:val="17"/>
                <w:szCs w:val="17"/>
              </w:rPr>
            </w:pPr>
            <w:r w:rsidRPr="00915391">
              <w:rPr>
                <w:rFonts w:ascii="Times New Roman" w:eastAsia="宋体" w:hAnsi="Times New Roman" w:cs="Times New Roman"/>
                <w:color w:val="000000"/>
                <w:sz w:val="17"/>
                <w:szCs w:val="17"/>
              </w:rPr>
              <w:fldChar w:fldCharType="begin"/>
            </w:r>
            <w:r w:rsidR="0007624B" w:rsidRPr="00915391">
              <w:rPr>
                <w:rFonts w:ascii="Times New Roman" w:eastAsia="宋体" w:hAnsi="Times New Roman" w:cs="Times New Roman"/>
                <w:color w:val="000000"/>
                <w:sz w:val="17"/>
                <w:szCs w:val="17"/>
              </w:rPr>
              <w:instrText xml:space="preserve"> ADDIN ZOTERO_ITEM CSL_CITATION {"citationID":"cyJ8z1h6","properties":{"formattedCitation":"[[7]]","plainCitation":"[[7]]","noteIndex":0},"citationItems":[{"id":240,"uris":["http://zotero.org/users/local/wX6MymqV/items/KDX4AQGK"],"itemData":{"id":240,"type":"article-journal","container-title":"Chemical Communications","DOI":"10.1039/c2cc16593g","ISSN":"1359-7345, 1364-548X","issue":"21","journalAbbreviation":"Chem. Commun.","language":"en","page":"2722","source":"DOI.org (Crossref)","title":"A chromenoquinoline-based fluorescent off–on thiol probe for bioimaging","volume":"48","author":[{"family":"Kand","given":"Dnyaneshwar"},{"family":"Kalle","given":"Arunasree Marasanapalli"},{"family":"Varma","given":"Sreejith Jayasree"},{"family":"Talukdar","given":"Pinaki"}],"issued":{"date-parts":[["2012"]]}},"prefix":"[","suffix":"]"}],"schema":"https://github.com/citation-style-language/schema/raw/master/csl-citation.json"} </w:instrText>
            </w:r>
            <w:r w:rsidRPr="00915391">
              <w:rPr>
                <w:rFonts w:ascii="Times New Roman" w:eastAsia="宋体" w:hAnsi="Times New Roman" w:cs="Times New Roman"/>
                <w:color w:val="000000"/>
                <w:sz w:val="17"/>
                <w:szCs w:val="17"/>
              </w:rPr>
              <w:fldChar w:fldCharType="separate"/>
            </w:r>
            <w:r w:rsidR="00ED6BD4" w:rsidRPr="00915391">
              <w:rPr>
                <w:rFonts w:ascii="Times New Roman" w:hAnsi="Times New Roman" w:cs="Times New Roman" w:hint="eastAsia"/>
                <w:sz w:val="17"/>
                <w:szCs w:val="17"/>
              </w:rPr>
              <w:t>[7]</w:t>
            </w:r>
            <w:r w:rsidRPr="00915391">
              <w:rPr>
                <w:rFonts w:ascii="Times New Roman" w:eastAsia="宋体" w:hAnsi="Times New Roman" w:cs="Times New Roman"/>
                <w:color w:val="000000"/>
                <w:sz w:val="17"/>
                <w:szCs w:val="17"/>
              </w:rPr>
              <w:fldChar w:fldCharType="end"/>
            </w:r>
          </w:p>
        </w:tc>
      </w:tr>
      <w:tr w:rsidR="00AE4302" w:rsidRPr="00915391" w14:paraId="525770DF" w14:textId="77777777">
        <w:trPr>
          <w:trHeight w:val="811"/>
          <w:jc w:val="center"/>
        </w:trPr>
        <w:tc>
          <w:tcPr>
            <w:tcW w:w="1859" w:type="pct"/>
            <w:tcBorders>
              <w:top w:val="nil"/>
              <w:left w:val="nil"/>
              <w:bottom w:val="single" w:sz="12" w:space="0" w:color="000000"/>
              <w:right w:val="nil"/>
            </w:tcBorders>
            <w:shd w:val="clear" w:color="auto" w:fill="FFFFFF"/>
            <w:tcMar>
              <w:top w:w="15" w:type="dxa"/>
              <w:left w:w="108" w:type="dxa"/>
              <w:bottom w:w="0" w:type="dxa"/>
              <w:right w:w="108" w:type="dxa"/>
            </w:tcMar>
            <w:vAlign w:val="center"/>
          </w:tcPr>
          <w:p w14:paraId="0A44C3BE" w14:textId="77777777" w:rsidR="00AE4302" w:rsidRPr="00915391" w:rsidRDefault="00000000">
            <w:pPr>
              <w:spacing w:line="360" w:lineRule="auto"/>
              <w:jc w:val="center"/>
              <w:rPr>
                <w:rFonts w:ascii="Times New Roman" w:eastAsia="宋体" w:hAnsi="Times New Roman" w:cs="Times New Roman"/>
                <w:bCs/>
                <w:color w:val="000000"/>
                <w:sz w:val="17"/>
                <w:szCs w:val="17"/>
              </w:rPr>
            </w:pPr>
            <w:r w:rsidRPr="00915391">
              <w:rPr>
                <w:rFonts w:ascii="Times New Roman" w:eastAsia="宋体" w:hAnsi="Times New Roman" w:cs="Times New Roman"/>
                <w:b/>
                <w:bCs/>
                <w:color w:val="000000"/>
                <w:sz w:val="17"/>
                <w:szCs w:val="17"/>
              </w:rPr>
              <w:t>CsPbBr</w:t>
            </w:r>
            <w:r w:rsidRPr="00915391">
              <w:rPr>
                <w:rFonts w:ascii="Times New Roman" w:eastAsia="宋体" w:hAnsi="Times New Roman" w:cs="Times New Roman"/>
                <w:b/>
                <w:bCs/>
                <w:color w:val="000000"/>
                <w:sz w:val="17"/>
                <w:szCs w:val="17"/>
                <w:vertAlign w:val="subscript"/>
              </w:rPr>
              <w:t>3</w:t>
            </w:r>
            <w:r w:rsidRPr="00915391">
              <w:rPr>
                <w:rFonts w:ascii="Times New Roman" w:eastAsia="宋体" w:hAnsi="Times New Roman" w:cs="Times New Roman"/>
                <w:b/>
                <w:bCs/>
                <w:color w:val="000000"/>
                <w:sz w:val="17"/>
                <w:szCs w:val="17"/>
              </w:rPr>
              <w:t>@SDS QDs, fluorescence</w:t>
            </w:r>
          </w:p>
        </w:tc>
        <w:tc>
          <w:tcPr>
            <w:tcW w:w="755" w:type="pct"/>
            <w:tcBorders>
              <w:top w:val="nil"/>
              <w:left w:val="nil"/>
              <w:bottom w:val="single" w:sz="12" w:space="0" w:color="000000"/>
              <w:right w:val="nil"/>
            </w:tcBorders>
            <w:shd w:val="clear" w:color="auto" w:fill="FFFFFF"/>
            <w:tcMar>
              <w:top w:w="15" w:type="dxa"/>
              <w:left w:w="108" w:type="dxa"/>
              <w:bottom w:w="0" w:type="dxa"/>
              <w:right w:w="108" w:type="dxa"/>
            </w:tcMar>
            <w:vAlign w:val="center"/>
          </w:tcPr>
          <w:p w14:paraId="0B15FB1C" w14:textId="77777777" w:rsidR="00AE4302" w:rsidRPr="00915391" w:rsidRDefault="00000000">
            <w:pPr>
              <w:spacing w:line="360" w:lineRule="auto"/>
              <w:jc w:val="center"/>
              <w:rPr>
                <w:rFonts w:ascii="Times New Roman" w:eastAsia="宋体" w:hAnsi="Times New Roman" w:cs="Times New Roman"/>
                <w:bCs/>
                <w:color w:val="000000"/>
                <w:sz w:val="17"/>
                <w:szCs w:val="17"/>
              </w:rPr>
            </w:pPr>
            <w:r w:rsidRPr="00915391">
              <w:rPr>
                <w:rFonts w:ascii="Times New Roman" w:eastAsia="宋体" w:hAnsi="Times New Roman" w:cs="Times New Roman"/>
                <w:b/>
                <w:bCs/>
                <w:color w:val="000000"/>
                <w:sz w:val="17"/>
                <w:szCs w:val="17"/>
              </w:rPr>
              <w:t>2.63</w:t>
            </w:r>
          </w:p>
        </w:tc>
        <w:tc>
          <w:tcPr>
            <w:tcW w:w="755" w:type="pct"/>
            <w:tcBorders>
              <w:top w:val="nil"/>
              <w:left w:val="nil"/>
              <w:bottom w:val="single" w:sz="12" w:space="0" w:color="000000"/>
              <w:right w:val="nil"/>
            </w:tcBorders>
            <w:shd w:val="clear" w:color="auto" w:fill="FFFFFF"/>
            <w:tcMar>
              <w:top w:w="15" w:type="dxa"/>
              <w:left w:w="108" w:type="dxa"/>
              <w:bottom w:w="0" w:type="dxa"/>
              <w:right w:w="108" w:type="dxa"/>
            </w:tcMar>
            <w:vAlign w:val="center"/>
          </w:tcPr>
          <w:p w14:paraId="654F25A8" w14:textId="77777777" w:rsidR="00AE4302" w:rsidRPr="00915391" w:rsidRDefault="00000000">
            <w:pPr>
              <w:spacing w:line="360" w:lineRule="auto"/>
              <w:jc w:val="center"/>
              <w:rPr>
                <w:rFonts w:ascii="Times New Roman" w:hAnsi="Times New Roman" w:cs="Times New Roman"/>
                <w:bCs/>
                <w:color w:val="000000"/>
                <w:sz w:val="17"/>
                <w:szCs w:val="17"/>
              </w:rPr>
            </w:pPr>
            <w:r w:rsidRPr="00915391">
              <w:rPr>
                <w:rFonts w:ascii="Times New Roman" w:hAnsi="Times New Roman" w:cs="Times New Roman"/>
                <w:b/>
                <w:bCs/>
                <w:color w:val="000000"/>
                <w:sz w:val="17"/>
                <w:szCs w:val="17"/>
              </w:rPr>
              <w:t>3.09</w:t>
            </w:r>
          </w:p>
        </w:tc>
        <w:tc>
          <w:tcPr>
            <w:tcW w:w="758" w:type="pct"/>
            <w:tcBorders>
              <w:top w:val="nil"/>
              <w:left w:val="nil"/>
              <w:bottom w:val="single" w:sz="12" w:space="0" w:color="000000"/>
              <w:right w:val="nil"/>
            </w:tcBorders>
            <w:shd w:val="clear" w:color="auto" w:fill="FFFFFF"/>
            <w:tcMar>
              <w:top w:w="15" w:type="dxa"/>
              <w:left w:w="108" w:type="dxa"/>
              <w:bottom w:w="0" w:type="dxa"/>
              <w:right w:w="108" w:type="dxa"/>
            </w:tcMar>
            <w:vAlign w:val="center"/>
          </w:tcPr>
          <w:p w14:paraId="2864789F" w14:textId="77777777" w:rsidR="00AE4302" w:rsidRPr="00915391" w:rsidRDefault="00000000">
            <w:pPr>
              <w:spacing w:line="360" w:lineRule="auto"/>
              <w:jc w:val="center"/>
              <w:rPr>
                <w:rFonts w:ascii="Times New Roman" w:eastAsia="宋体" w:hAnsi="Times New Roman" w:cs="Times New Roman"/>
                <w:bCs/>
                <w:color w:val="000000"/>
                <w:sz w:val="17"/>
                <w:szCs w:val="17"/>
              </w:rPr>
            </w:pPr>
            <w:r w:rsidRPr="00915391">
              <w:rPr>
                <w:rFonts w:ascii="Times New Roman" w:eastAsia="宋体" w:hAnsi="Times New Roman" w:cs="Times New Roman"/>
                <w:b/>
                <w:bCs/>
                <w:color w:val="000000"/>
                <w:sz w:val="17"/>
                <w:szCs w:val="17"/>
              </w:rPr>
              <w:t>2.15</w:t>
            </w:r>
          </w:p>
        </w:tc>
        <w:tc>
          <w:tcPr>
            <w:tcW w:w="873" w:type="pct"/>
            <w:tcBorders>
              <w:top w:val="nil"/>
              <w:left w:val="nil"/>
              <w:bottom w:val="single" w:sz="12" w:space="0" w:color="000000"/>
              <w:right w:val="nil"/>
            </w:tcBorders>
            <w:shd w:val="clear" w:color="auto" w:fill="FFFFFF"/>
            <w:tcMar>
              <w:top w:w="15" w:type="dxa"/>
              <w:left w:w="108" w:type="dxa"/>
              <w:bottom w:w="0" w:type="dxa"/>
              <w:right w:w="108" w:type="dxa"/>
            </w:tcMar>
            <w:vAlign w:val="center"/>
          </w:tcPr>
          <w:p w14:paraId="31743664" w14:textId="77777777" w:rsidR="00AE4302" w:rsidRPr="00915391" w:rsidRDefault="00000000">
            <w:pPr>
              <w:spacing w:line="360" w:lineRule="auto"/>
              <w:jc w:val="center"/>
              <w:rPr>
                <w:rFonts w:ascii="Times New Roman" w:eastAsia="宋体" w:hAnsi="Times New Roman" w:cs="Times New Roman"/>
                <w:bCs/>
                <w:color w:val="000000"/>
                <w:sz w:val="17"/>
                <w:szCs w:val="17"/>
              </w:rPr>
            </w:pPr>
            <w:r w:rsidRPr="00915391">
              <w:rPr>
                <w:rFonts w:ascii="Times New Roman" w:eastAsia="宋体" w:hAnsi="Times New Roman" w:cs="Times New Roman"/>
                <w:b/>
                <w:bCs/>
                <w:color w:val="000000"/>
                <w:sz w:val="17"/>
                <w:szCs w:val="17"/>
              </w:rPr>
              <w:t>This work</w:t>
            </w:r>
          </w:p>
        </w:tc>
      </w:tr>
    </w:tbl>
    <w:p w14:paraId="7F91ECFB" w14:textId="7548E58A" w:rsidR="00ED6BD4" w:rsidRDefault="00ED6BD4">
      <w:pPr>
        <w:spacing w:line="480" w:lineRule="auto"/>
        <w:rPr>
          <w:rFonts w:ascii="Times New Roman" w:hAnsi="Times New Roman" w:cs="Times New Roman"/>
          <w:b/>
          <w:sz w:val="28"/>
          <w:szCs w:val="28"/>
        </w:rPr>
      </w:pPr>
      <w:bookmarkStart w:id="6" w:name="_Toc16088"/>
    </w:p>
    <w:p w14:paraId="28663D42" w14:textId="36BC0BE8" w:rsidR="00AE4302" w:rsidRPr="000855FE" w:rsidRDefault="00ED6BD4" w:rsidP="00ED6BD4">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1C3D4E73" w14:textId="77777777" w:rsidR="00AE4302" w:rsidRPr="00915391" w:rsidRDefault="00000000">
      <w:pPr>
        <w:spacing w:line="480" w:lineRule="auto"/>
        <w:rPr>
          <w:rFonts w:ascii="Times New Roman" w:hAnsi="Times New Roman" w:cs="Times New Roman"/>
          <w:b/>
          <w:bCs/>
          <w:szCs w:val="21"/>
        </w:rPr>
      </w:pPr>
      <w:r w:rsidRPr="00915391">
        <w:rPr>
          <w:rFonts w:ascii="Times New Roman" w:hAnsi="Times New Roman" w:cs="Times New Roman"/>
          <w:b/>
          <w:sz w:val="22"/>
          <w:szCs w:val="22"/>
        </w:rPr>
        <w:lastRenderedPageBreak/>
        <w:t>References</w:t>
      </w:r>
      <w:bookmarkEnd w:id="6"/>
    </w:p>
    <w:p w14:paraId="3554744E" w14:textId="77777777" w:rsidR="00ED6BD4" w:rsidRPr="00915391" w:rsidRDefault="00000000" w:rsidP="00ED6BD4">
      <w:pPr>
        <w:pStyle w:val="af1"/>
        <w:spacing w:after="0"/>
        <w:ind w:left="386" w:hanging="386"/>
        <w:rPr>
          <w:rFonts w:ascii="Times New Roman" w:hAnsi="Times New Roman" w:cs="Times New Roman"/>
          <w:sz w:val="17"/>
          <w:szCs w:val="17"/>
        </w:rPr>
      </w:pPr>
      <w:r w:rsidRPr="00915391">
        <w:rPr>
          <w:rFonts w:ascii="Times New Roman" w:hAnsi="Times New Roman" w:cs="Times New Roman"/>
          <w:sz w:val="17"/>
          <w:szCs w:val="17"/>
        </w:rPr>
        <w:fldChar w:fldCharType="begin"/>
      </w:r>
      <w:r w:rsidR="00ED6BD4" w:rsidRPr="00915391">
        <w:rPr>
          <w:rFonts w:ascii="Times New Roman" w:hAnsi="Times New Roman" w:cs="Times New Roman"/>
          <w:sz w:val="17"/>
          <w:szCs w:val="17"/>
        </w:rPr>
        <w:instrText xml:space="preserve"> ADDIN ZOTERO_BIBL {"uncited":[],"omitted":[],"custom":[]} CSL_BIBLIOGRAPHY </w:instrText>
      </w:r>
      <w:r w:rsidRPr="00915391">
        <w:rPr>
          <w:rFonts w:ascii="Times New Roman" w:hAnsi="Times New Roman" w:cs="Times New Roman"/>
          <w:sz w:val="17"/>
          <w:szCs w:val="17"/>
        </w:rPr>
        <w:fldChar w:fldCharType="separate"/>
      </w:r>
      <w:r w:rsidR="00ED6BD4" w:rsidRPr="00915391">
        <w:rPr>
          <w:rFonts w:ascii="Times New Roman" w:hAnsi="Times New Roman" w:cs="Times New Roman"/>
          <w:sz w:val="17"/>
          <w:szCs w:val="17"/>
        </w:rPr>
        <w:t xml:space="preserve">1. </w:t>
      </w:r>
      <w:r w:rsidR="00ED6BD4" w:rsidRPr="00915391">
        <w:rPr>
          <w:rFonts w:ascii="Times New Roman" w:hAnsi="Times New Roman" w:cs="Times New Roman"/>
          <w:sz w:val="17"/>
          <w:szCs w:val="17"/>
        </w:rPr>
        <w:tab/>
        <w:t>Zhou L, Lin Y, Huang Z, et al (2012) Carbon nanodots as fluorescence probes for rapid, sensitive, and label-free detection of Hg</w:t>
      </w:r>
      <w:r w:rsidR="00ED6BD4" w:rsidRPr="00915391">
        <w:rPr>
          <w:rFonts w:ascii="Times New Roman" w:hAnsi="Times New Roman" w:cs="Times New Roman"/>
          <w:sz w:val="17"/>
          <w:szCs w:val="17"/>
          <w:vertAlign w:val="superscript"/>
        </w:rPr>
        <w:t>2+</w:t>
      </w:r>
      <w:r w:rsidR="00ED6BD4" w:rsidRPr="00915391">
        <w:rPr>
          <w:rFonts w:ascii="Times New Roman" w:hAnsi="Times New Roman" w:cs="Times New Roman"/>
          <w:sz w:val="17"/>
          <w:szCs w:val="17"/>
        </w:rPr>
        <w:t xml:space="preserve"> and biothiols in complex matrices. Chem Commun 48:1147–1149. https://doi.org/10.1039/C2CC16791C</w:t>
      </w:r>
    </w:p>
    <w:p w14:paraId="03FEA3C4"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2. </w:t>
      </w:r>
      <w:r w:rsidRPr="00915391">
        <w:rPr>
          <w:rFonts w:ascii="Times New Roman" w:hAnsi="Times New Roman" w:cs="Times New Roman"/>
          <w:sz w:val="17"/>
          <w:szCs w:val="17"/>
        </w:rPr>
        <w:tab/>
        <w:t>Park KS, Kim MI, Woo M-A, Park HG (2013) A label-free method for detecting biological thiols based on blocking of Hg2+-quenching of fluorescent gold nanoclusters. Biosensors and Bioelectronics 45:65–69. https://doi.org/10.1016/j.bios.2013.01.047</w:t>
      </w:r>
    </w:p>
    <w:p w14:paraId="5ADD37FF"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3. </w:t>
      </w:r>
      <w:r w:rsidRPr="00915391">
        <w:rPr>
          <w:rFonts w:ascii="Times New Roman" w:hAnsi="Times New Roman" w:cs="Times New Roman"/>
          <w:sz w:val="17"/>
          <w:szCs w:val="17"/>
        </w:rPr>
        <w:tab/>
        <w:t>Ran X, Sun H, Pu F, et al (2013) Ag Nanoparticle-decorated graphene quantum dots for label-free, rapid and sensitive detection of Ag+ and biothiols. Chem Commun 49:1079. https://doi.org/10.1039/c2cc38403e</w:t>
      </w:r>
    </w:p>
    <w:p w14:paraId="73BA0867"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4. </w:t>
      </w:r>
      <w:r w:rsidRPr="00915391">
        <w:rPr>
          <w:rFonts w:ascii="Times New Roman" w:hAnsi="Times New Roman" w:cs="Times New Roman"/>
          <w:sz w:val="17"/>
          <w:szCs w:val="17"/>
        </w:rPr>
        <w:tab/>
        <w:t>Wu Z, Li W, Chen J, Yu C (2014) A graphene quantum dot-based method for the highly sensitive and selective fluorescence turn on detection of biothiols. Talanta 119:538–543. https://doi.org/10.1016/j.talanta.2013.11.065</w:t>
      </w:r>
    </w:p>
    <w:p w14:paraId="42E13E4B"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5. </w:t>
      </w:r>
      <w:r w:rsidRPr="00915391">
        <w:rPr>
          <w:rFonts w:ascii="Times New Roman" w:hAnsi="Times New Roman" w:cs="Times New Roman"/>
          <w:sz w:val="17"/>
          <w:szCs w:val="17"/>
        </w:rPr>
        <w:tab/>
        <w:t>Zhang Y, Huo F, Yin C, et al (2015) An off–on fluorescent probe based on maleimide for detecting thiols and its application for bioimaging. Sensors and Actuators B: Chemical 207:59–65. https://doi.org/10.1016/j.snb.2014.09.091</w:t>
      </w:r>
    </w:p>
    <w:p w14:paraId="561FAC38"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6. </w:t>
      </w:r>
      <w:r w:rsidRPr="00915391">
        <w:rPr>
          <w:rFonts w:ascii="Times New Roman" w:hAnsi="Times New Roman" w:cs="Times New Roman"/>
          <w:sz w:val="17"/>
          <w:szCs w:val="17"/>
        </w:rPr>
        <w:tab/>
        <w:t>Cao F, Ju E, Liu C, et al (2016) Coupling a DNA–ligand ensemble with Ag cluster formation for the label-free and ratiometric detection of intracellular biothiols. Chem Commun 52:5167–5170. https://doi.org/10.1039/C5CC10606K</w:t>
      </w:r>
    </w:p>
    <w:p w14:paraId="181ECC8B" w14:textId="77777777" w:rsidR="00ED6BD4" w:rsidRPr="00915391" w:rsidRDefault="00ED6BD4" w:rsidP="00ED6BD4">
      <w:pPr>
        <w:pStyle w:val="af1"/>
        <w:spacing w:after="0"/>
        <w:rPr>
          <w:rFonts w:ascii="Times New Roman" w:hAnsi="Times New Roman" w:cs="Times New Roman"/>
          <w:sz w:val="17"/>
          <w:szCs w:val="17"/>
        </w:rPr>
      </w:pPr>
      <w:r w:rsidRPr="00915391">
        <w:rPr>
          <w:rFonts w:ascii="Times New Roman" w:hAnsi="Times New Roman" w:cs="Times New Roman"/>
          <w:sz w:val="17"/>
          <w:szCs w:val="17"/>
        </w:rPr>
        <w:t xml:space="preserve">7. </w:t>
      </w:r>
      <w:r w:rsidRPr="00915391">
        <w:rPr>
          <w:rFonts w:ascii="Times New Roman" w:hAnsi="Times New Roman" w:cs="Times New Roman"/>
          <w:sz w:val="17"/>
          <w:szCs w:val="17"/>
        </w:rPr>
        <w:tab/>
        <w:t>Kand D, Kalle AM, Varma SJ, Talukdar P (2012) A chromenoquinoline-based fluorescent off–on thiol probe for bioimaging. Chem Commun 48:2722. https://doi.org/10.1039/c2cc16593g</w:t>
      </w:r>
    </w:p>
    <w:p w14:paraId="6A8B2220" w14:textId="52DDC5FD" w:rsidR="00AE4302" w:rsidRPr="00915391" w:rsidRDefault="00000000" w:rsidP="00ED6BD4">
      <w:pPr>
        <w:rPr>
          <w:rFonts w:ascii="Times New Roman" w:hAnsi="Times New Roman" w:cs="Times New Roman"/>
          <w:sz w:val="17"/>
          <w:szCs w:val="17"/>
        </w:rPr>
      </w:pPr>
      <w:r w:rsidRPr="00915391">
        <w:rPr>
          <w:rFonts w:ascii="Times New Roman" w:hAnsi="Times New Roman" w:cs="Times New Roman"/>
          <w:sz w:val="17"/>
          <w:szCs w:val="17"/>
        </w:rPr>
        <w:fldChar w:fldCharType="end"/>
      </w:r>
    </w:p>
    <w:sectPr w:rsidR="00AE4302" w:rsidRPr="00915391" w:rsidSect="005B677D">
      <w:pgSz w:w="11906" w:h="16838"/>
      <w:pgMar w:top="1440" w:right="1310" w:bottom="1440" w:left="142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5A41" w14:textId="77777777" w:rsidR="00FE77A0" w:rsidRDefault="00FE77A0" w:rsidP="00252F22">
      <w:pPr>
        <w:rPr>
          <w:rFonts w:hint="eastAsia"/>
        </w:rPr>
      </w:pPr>
      <w:r>
        <w:separator/>
      </w:r>
    </w:p>
  </w:endnote>
  <w:endnote w:type="continuationSeparator" w:id="0">
    <w:p w14:paraId="464DD2AD" w14:textId="77777777" w:rsidR="00FE77A0" w:rsidRDefault="00FE77A0" w:rsidP="00252F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0CE7" w14:textId="77777777" w:rsidR="00FE77A0" w:rsidRDefault="00FE77A0" w:rsidP="00252F22">
      <w:pPr>
        <w:rPr>
          <w:rFonts w:hint="eastAsia"/>
        </w:rPr>
      </w:pPr>
      <w:r>
        <w:separator/>
      </w:r>
    </w:p>
  </w:footnote>
  <w:footnote w:type="continuationSeparator" w:id="0">
    <w:p w14:paraId="37CAA110" w14:textId="77777777" w:rsidR="00FE77A0" w:rsidRDefault="00FE77A0" w:rsidP="00252F2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7C"/>
    <w:rsid w:val="0001049F"/>
    <w:rsid w:val="00021F77"/>
    <w:rsid w:val="00036FB7"/>
    <w:rsid w:val="0007624B"/>
    <w:rsid w:val="000855FE"/>
    <w:rsid w:val="000A73A0"/>
    <w:rsid w:val="00156A86"/>
    <w:rsid w:val="001B1CCC"/>
    <w:rsid w:val="00251692"/>
    <w:rsid w:val="00252F22"/>
    <w:rsid w:val="003B46B6"/>
    <w:rsid w:val="003C51BC"/>
    <w:rsid w:val="003D2DA9"/>
    <w:rsid w:val="003F3919"/>
    <w:rsid w:val="00436522"/>
    <w:rsid w:val="00460181"/>
    <w:rsid w:val="00470134"/>
    <w:rsid w:val="00500E41"/>
    <w:rsid w:val="005B28BA"/>
    <w:rsid w:val="005B3EE3"/>
    <w:rsid w:val="005B677D"/>
    <w:rsid w:val="005B6EF8"/>
    <w:rsid w:val="0062235C"/>
    <w:rsid w:val="00675879"/>
    <w:rsid w:val="00791BEE"/>
    <w:rsid w:val="007F3B53"/>
    <w:rsid w:val="0082057C"/>
    <w:rsid w:val="00820CD9"/>
    <w:rsid w:val="0084308C"/>
    <w:rsid w:val="00894772"/>
    <w:rsid w:val="008F4A4F"/>
    <w:rsid w:val="00915391"/>
    <w:rsid w:val="00945BDF"/>
    <w:rsid w:val="00976F83"/>
    <w:rsid w:val="00997B09"/>
    <w:rsid w:val="00A24EFF"/>
    <w:rsid w:val="00A63974"/>
    <w:rsid w:val="00AA6AD3"/>
    <w:rsid w:val="00AE4302"/>
    <w:rsid w:val="00B363D6"/>
    <w:rsid w:val="00B724AF"/>
    <w:rsid w:val="00BC0519"/>
    <w:rsid w:val="00BD3D30"/>
    <w:rsid w:val="00CB1208"/>
    <w:rsid w:val="00D32D0A"/>
    <w:rsid w:val="00D55F76"/>
    <w:rsid w:val="00D90136"/>
    <w:rsid w:val="00DD1F0E"/>
    <w:rsid w:val="00E37BBD"/>
    <w:rsid w:val="00E5315E"/>
    <w:rsid w:val="00E86344"/>
    <w:rsid w:val="00ED6BD4"/>
    <w:rsid w:val="00ED7B91"/>
    <w:rsid w:val="00F150F6"/>
    <w:rsid w:val="00FA5527"/>
    <w:rsid w:val="00FB0CD7"/>
    <w:rsid w:val="00FE27BC"/>
    <w:rsid w:val="00FE77A0"/>
    <w:rsid w:val="6523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0469E"/>
  <w15:docId w15:val="{E94ABE03-F242-4CB5-A209-5AF77178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rPr>
      <w:rFonts w:ascii="Times New Roman" w:hAnsi="Times New Roman" w:cs="Times New Roman"/>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3">
    <w:name w:val="书目1"/>
    <w:basedOn w:val="a"/>
    <w:next w:val="a"/>
    <w:uiPriority w:val="37"/>
    <w:unhideWhenUsed/>
    <w:pPr>
      <w:tabs>
        <w:tab w:val="left" w:pos="384"/>
      </w:tabs>
      <w:ind w:left="384" w:hanging="384"/>
    </w:pPr>
  </w:style>
  <w:style w:type="character" w:customStyle="1" w:styleId="src">
    <w:name w:val="src"/>
    <w:basedOn w:val="a0"/>
    <w:qFormat/>
  </w:style>
  <w:style w:type="character" w:customStyle="1" w:styleId="apple-converted-space">
    <w:name w:val="apple-converted-space"/>
    <w:basedOn w:val="a0"/>
    <w:qFormat/>
  </w:style>
  <w:style w:type="paragraph" w:styleId="af1">
    <w:name w:val="Bibliography"/>
    <w:basedOn w:val="a"/>
    <w:next w:val="a"/>
    <w:uiPriority w:val="37"/>
    <w:unhideWhenUsed/>
    <w:rsid w:val="0007624B"/>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FD03-E846-43EA-81D7-8952DA2F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1899</Words>
  <Characters>11495</Characters>
  <Application>Microsoft Office Word</Application>
  <DocSecurity>0</DocSecurity>
  <Lines>176</Lines>
  <Paragraphs>70</Paragraphs>
  <ScaleCrop>false</ScaleCrop>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宋冰 高</dc:creator>
  <cp:lastModifiedBy>宋冰 高</cp:lastModifiedBy>
  <cp:revision>16</cp:revision>
  <dcterms:created xsi:type="dcterms:W3CDTF">2026-01-10T05:48:00Z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4eabdeee-2575-41a7-872a-1b3fee53a2c9</vt:lpwstr>
  </property>
  <property fmtid="{D5CDD505-2E9C-101B-9397-08002B2CF9AE}" pid="3" name="ZOTERO_PREF_1">
    <vt:lpwstr>&lt;data data-version="3" zotero-version="7.0.32"&gt;&lt;session id="gaJYKOgE"/&gt;&lt;style id="http://www.zotero.org/styles/microchimica-acta" hasBibliography="1" bibliographyStyleHasBeenSet="1"/&gt;&lt;prefs&gt;&lt;pref name="fieldType" value="Field"/&gt;&lt;/prefs&gt;&lt;/data&gt;</vt:lpwstr>
  </property>
  <property fmtid="{D5CDD505-2E9C-101B-9397-08002B2CF9AE}" pid="4" name="KSOTemplateDocerSaveRecord">
    <vt:lpwstr>eyJoZGlkIjoiYWY0OTI3YzI1MTg0ZjFkOTg5MmNlNDk4NjMyMzZmYjMiLCJ1c2VySWQiOiI3MTc4NzQ0NzkifQ==</vt:lpwstr>
  </property>
  <property fmtid="{D5CDD505-2E9C-101B-9397-08002B2CF9AE}" pid="5" name="KSOProductBuildVer">
    <vt:lpwstr>2052-12.1.0.24657</vt:lpwstr>
  </property>
  <property fmtid="{D5CDD505-2E9C-101B-9397-08002B2CF9AE}" pid="6" name="ICV">
    <vt:lpwstr>2BFCFE412754456CAE45F348C8436E06_12</vt:lpwstr>
  </property>
</Properties>
</file>