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8AD8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eastAsia="宋体" w:cs="Times New Roman"/>
        </w:rPr>
      </w:pPr>
      <w:bookmarkStart w:id="0" w:name="OLE_LINK7"/>
      <w:r>
        <w:rPr>
          <w:rFonts w:hint="default" w:ascii="Times New Roman" w:hAnsi="Times New Roman" w:cs="Times New Roman" w:eastAsiaTheme="minorEastAsia"/>
          <w:b/>
          <w:bCs/>
          <w:lang w:val="en-US" w:eastAsia="zh-CN"/>
        </w:rPr>
        <w:t xml:space="preserve">Supplementary </w:t>
      </w:r>
      <w:r>
        <w:rPr>
          <w:rFonts w:hint="default" w:ascii="Times New Roman" w:hAnsi="Times New Roman" w:cs="Times New Roman" w:eastAsiaTheme="minorEastAsia"/>
          <w:b/>
          <w:bCs/>
        </w:rPr>
        <w:t xml:space="preserve">Table </w:t>
      </w:r>
      <w:r>
        <w:rPr>
          <w:rFonts w:hint="default" w:ascii="Times New Roman" w:hAnsi="Times New Roman" w:cs="Times New Roman" w:eastAsiaTheme="minorEastAsia"/>
          <w:b/>
          <w:bCs/>
          <w:lang w:val="en-US" w:eastAsia="zh-CN"/>
        </w:rPr>
        <w:t>2</w:t>
      </w:r>
      <w:r>
        <w:rPr>
          <w:rFonts w:hint="default" w:ascii="Times New Roman" w:hAnsi="Times New Roman" w:cs="Times New Roman" w:eastAsiaTheme="minorEastAsia"/>
          <w:b/>
          <w:bCs/>
        </w:rPr>
        <w:t xml:space="preserve"> </w:t>
      </w:r>
      <w:r>
        <w:rPr>
          <w:rFonts w:hint="default" w:ascii="Times New Roman" w:hAnsi="Times New Roman" w:cs="Times New Roman" w:eastAsiaTheme="minorEastAsia"/>
        </w:rPr>
        <w:t>A</w:t>
      </w:r>
      <w:r>
        <w:rPr>
          <w:rFonts w:hint="default" w:ascii="Times New Roman" w:hAnsi="Times New Roman" w:eastAsia="宋体" w:cs="Times New Roman"/>
        </w:rPr>
        <w:t>pplication of Endpoints in Included Trials (n=</w:t>
      </w:r>
      <w:r>
        <w:rPr>
          <w:rFonts w:hint="eastAsia" w:ascii="Times New Roman" w:hAnsi="Times New Roman" w:eastAsia="宋体" w:cs="Times New Roman"/>
          <w:lang w:val="en-US" w:eastAsia="zh-CN"/>
        </w:rPr>
        <w:t>53</w:t>
      </w:r>
      <w:r>
        <w:rPr>
          <w:rFonts w:hint="default" w:ascii="Times New Roman" w:hAnsi="Times New Roman" w:eastAsia="宋体" w:cs="Times New Roman"/>
        </w:rPr>
        <w:t>)</w:t>
      </w:r>
    </w:p>
    <w:bookmarkEnd w:id="0"/>
    <w:tbl>
      <w:tblPr>
        <w:tblStyle w:val="3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5"/>
        <w:gridCol w:w="767"/>
        <w:gridCol w:w="1103"/>
        <w:gridCol w:w="443"/>
        <w:gridCol w:w="1038"/>
        <w:gridCol w:w="510"/>
        <w:gridCol w:w="777"/>
        <w:gridCol w:w="774"/>
        <w:gridCol w:w="815"/>
      </w:tblGrid>
      <w:tr w14:paraId="1E7BE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</w:trPr>
        <w:tc>
          <w:tcPr>
            <w:tcW w:w="1346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  <w:tl2br w:val="single" w:color="auto" w:sz="4" w:space="0"/>
            </w:tcBorders>
            <w:shd w:val="clear" w:color="auto" w:fill="auto"/>
            <w:vAlign w:val="center"/>
          </w:tcPr>
          <w:p w14:paraId="69137E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　Description</w:t>
            </w:r>
          </w:p>
          <w:p w14:paraId="0312DE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  <w:p w14:paraId="3F4DE0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　Endpoint</w:t>
            </w:r>
          </w:p>
          <w:p w14:paraId="3D006F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7" w:type="pct"/>
            <w:gridSpan w:val="2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ACA50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Used as an endpoint in the trial</w:t>
            </w:r>
          </w:p>
        </w:tc>
        <w:tc>
          <w:tcPr>
            <w:tcW w:w="868" w:type="pct"/>
            <w:gridSpan w:val="2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58B12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Used as a PEP</w:t>
            </w:r>
          </w:p>
        </w:tc>
        <w:tc>
          <w:tcPr>
            <w:tcW w:w="755" w:type="pct"/>
            <w:gridSpan w:val="2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F457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Used as a SEP</w:t>
            </w:r>
          </w:p>
        </w:tc>
        <w:tc>
          <w:tcPr>
            <w:tcW w:w="932" w:type="pct"/>
            <w:gridSpan w:val="2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1EB58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Not distinguish PEP from SEP</w:t>
            </w:r>
          </w:p>
        </w:tc>
      </w:tr>
      <w:tr w14:paraId="71EDCA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47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bookmarkStart w:id="1" w:name="_GoBack" w:colFirst="1" w:colLast="8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Overall survival (OS)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4A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99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85%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75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29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9%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0D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CC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85%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A7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D8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</w:tr>
      <w:bookmarkEnd w:id="1"/>
      <w:tr w14:paraId="55588E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91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Safety and adverse event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48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69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74%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DD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80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17%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96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21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55%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09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9E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2%</w:t>
            </w:r>
          </w:p>
        </w:tc>
      </w:tr>
      <w:tr w14:paraId="5EF5E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C9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Progression-free survival (PFS)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FF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2E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68%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DB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77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47%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F1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96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36%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4D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7A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4%</w:t>
            </w:r>
          </w:p>
        </w:tc>
      </w:tr>
      <w:tr w14:paraId="033F62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51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Objective response rate (ORR)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C8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DA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43%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59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61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18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C5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40%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45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FA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4%</w:t>
            </w:r>
          </w:p>
        </w:tc>
      </w:tr>
      <w:tr w14:paraId="3A6F5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AA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Immunologic parameters</w:t>
            </w:r>
            <w:r>
              <w:rPr>
                <w:rFonts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D8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CC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38%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82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57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78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A8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26%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EC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9C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6%</w:t>
            </w:r>
          </w:p>
        </w:tc>
      </w:tr>
      <w:tr w14:paraId="520E2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56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Tumor biomarker assessments</w:t>
            </w:r>
            <w:r>
              <w:rPr>
                <w:rFonts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C5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90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30%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DE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42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6C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EF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28%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17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19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2%</w:t>
            </w:r>
          </w:p>
        </w:tc>
      </w:tr>
      <w:tr w14:paraId="7A39B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6F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Toxicity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8C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B5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63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BB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33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1F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7E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F4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11%</w:t>
            </w:r>
          </w:p>
        </w:tc>
      </w:tr>
      <w:tr w14:paraId="1D05C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AC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Duration of overall response (DOR)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06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7B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23%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E2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8D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4D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9E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21%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A4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D6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2%</w:t>
            </w:r>
          </w:p>
        </w:tc>
      </w:tr>
      <w:tr w14:paraId="26885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06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Patient-reported outcome (PROs)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1A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06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21%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3F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28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56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2A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21%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F9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AA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 w14:paraId="083B9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85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Quality of life (QoL)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10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06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17%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FC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B2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89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EC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2%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7C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18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 w14:paraId="57C76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94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Disease control/clinical benefit rate</w:t>
            </w:r>
            <w:r>
              <w:rPr>
                <w:rFonts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4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7D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17%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B4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BF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44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D2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17%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E6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57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 w14:paraId="21108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9D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Time to first subsequent therapy (TFST)</w:t>
            </w:r>
            <w:r>
              <w:rPr>
                <w:rFonts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f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DB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59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15%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EC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2D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E8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F3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15%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56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8B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 w14:paraId="2BD21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4D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Tolerability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EE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C9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11%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E0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C4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20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7B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11%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02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CC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 w14:paraId="0010D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94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Time to progression (TTP</w:t>
            </w:r>
            <w:r>
              <w:rPr>
                <w:rStyle w:val="7"/>
                <w:lang w:val="en-US" w:eastAsia="zh-CN" w:bidi="ar"/>
              </w:rPr>
              <w:t>）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DD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E1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9%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98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A3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CE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A3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6%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D9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63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4%</w:t>
            </w:r>
          </w:p>
        </w:tc>
      </w:tr>
      <w:tr w14:paraId="31445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5B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Time to relapse(TTR)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4B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1F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9%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D1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F6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4%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5D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63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4%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F0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0C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2%</w:t>
            </w:r>
          </w:p>
        </w:tc>
      </w:tr>
      <w:tr w14:paraId="433A9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DB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Overall response rate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FD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A3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8%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3B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60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F2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56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6%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AE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6F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2%</w:t>
            </w:r>
          </w:p>
        </w:tc>
      </w:tr>
      <w:tr w14:paraId="4E847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42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Relapse-free survival (RFS)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33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2C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8%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8F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69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6%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9D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CE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2%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DD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60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 w14:paraId="40996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62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Objective tumor response</w:t>
            </w:r>
            <w:r>
              <w:rPr>
                <w:rFonts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63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E1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8%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C1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8B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2%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D4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92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F0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7F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6%</w:t>
            </w:r>
          </w:p>
        </w:tc>
      </w:tr>
      <w:tr w14:paraId="356BD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2C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Best overall response (BOR)</w:t>
            </w:r>
            <w:r>
              <w:rPr>
                <w:rFonts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e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13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5A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8%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BE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F0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6A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3D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8%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08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54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 w14:paraId="1ACEE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B8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Biological progression-free interval (PFIBIO)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FE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52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6%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8A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B1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69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AE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4%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B4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6C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2%</w:t>
            </w:r>
          </w:p>
        </w:tc>
      </w:tr>
      <w:tr w14:paraId="24927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DB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Pharmacokinetic parameters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0A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79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6%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88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69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22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AD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6%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D9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64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 w14:paraId="33E1E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01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Relapse rate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50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CD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8%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27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79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06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1F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2%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FE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61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6%</w:t>
            </w:r>
          </w:p>
        </w:tc>
      </w:tr>
      <w:tr w14:paraId="08540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2F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Time to second subsequent therapy (TSST)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FC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71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6%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A0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02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DA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D7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6%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46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6F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 w14:paraId="29698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BD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Remission rates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80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BF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6%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A4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9F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4E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25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4%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FC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E2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2%</w:t>
            </w:r>
          </w:p>
        </w:tc>
      </w:tr>
      <w:tr w14:paraId="678B8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CB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Pathological complete response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41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FB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6%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13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55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0A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19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4%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3C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E2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2%</w:t>
            </w:r>
          </w:p>
        </w:tc>
      </w:tr>
      <w:tr w14:paraId="34E1E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79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Disease-free survival</w:t>
            </w:r>
            <w:r>
              <w:rPr>
                <w:rStyle w:val="7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DFS</w:t>
            </w:r>
            <w:r>
              <w:rPr>
                <w:rStyle w:val="7"/>
                <w:lang w:val="en-US" w:eastAsia="zh-CN" w:bidi="ar"/>
              </w:rPr>
              <w:t>）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AD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BB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4%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18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81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2%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C4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4C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06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2B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2%</w:t>
            </w:r>
          </w:p>
        </w:tc>
      </w:tr>
      <w:tr w14:paraId="2E537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8D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Time to response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9E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96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4%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D2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AB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ED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74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4%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F3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6C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 w14:paraId="646FC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C2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Change in the sum of target lesion diameters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00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07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2%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E2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90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DF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24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2%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9D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D0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 w14:paraId="3C39F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50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Complete Resection Rate</w:t>
            </w:r>
            <w:r>
              <w:rPr>
                <w:rStyle w:val="8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CRR</w:t>
            </w:r>
            <w:r>
              <w:rPr>
                <w:rStyle w:val="8"/>
                <w:lang w:val="en-US" w:eastAsia="zh-CN" w:bidi="ar"/>
              </w:rPr>
              <w:t>）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BE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18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2%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5C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8B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2%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1B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14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4A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3E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 w14:paraId="140E0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94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Completeness of Cytoreduction Index</w:t>
            </w:r>
            <w:r>
              <w:rPr>
                <w:rStyle w:val="8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CCI</w:t>
            </w:r>
            <w:r>
              <w:rPr>
                <w:rStyle w:val="8"/>
                <w:lang w:val="en-US" w:eastAsia="zh-CN" w:bidi="ar"/>
              </w:rPr>
              <w:t>）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3A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E7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2%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7E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10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4D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ED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2%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23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31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 w14:paraId="67B09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15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Peritoneal Cancer Index</w:t>
            </w:r>
            <w:r>
              <w:rPr>
                <w:rStyle w:val="8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PCI</w:t>
            </w:r>
            <w:r>
              <w:rPr>
                <w:rStyle w:val="8"/>
                <w:lang w:val="en-US" w:eastAsia="zh-CN" w:bidi="ar"/>
              </w:rPr>
              <w:t>）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76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70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2%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46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0D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B0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4C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2%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31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D0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 w14:paraId="23F45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F2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Surgical Response Rate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F8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5B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2%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1D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C3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DE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69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2%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E8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13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 w14:paraId="6DB99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3C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Chemotherapy Response Score</w:t>
            </w:r>
            <w:r>
              <w:rPr>
                <w:rStyle w:val="8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CRS</w:t>
            </w:r>
            <w:r>
              <w:rPr>
                <w:rStyle w:val="8"/>
                <w:lang w:val="en-US" w:eastAsia="zh-CN" w:bidi="ar"/>
              </w:rPr>
              <w:t>）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05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8A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2%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AB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5B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18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29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2%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93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58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 w14:paraId="585B7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ED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Clinical Benefit Rate</w:t>
            </w:r>
            <w:r>
              <w:rPr>
                <w:rStyle w:val="8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CBR</w:t>
            </w:r>
            <w:r>
              <w:rPr>
                <w:rStyle w:val="8"/>
                <w:lang w:val="en-US" w:eastAsia="zh-CN" w:bidi="ar"/>
              </w:rPr>
              <w:t>）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0F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77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2%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6A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2D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9D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EF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2%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7F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BA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 w14:paraId="558BF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50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Disease Progression Rate at 25 Weeks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07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99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2%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A9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C3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2%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31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B3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1E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39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 w14:paraId="0136D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20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Disease Control Rate（DCR）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1D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8B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2%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0C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D0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7A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36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2%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85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38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 w14:paraId="3A4A45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6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15F75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Optimal Dose Combination</w:t>
            </w:r>
          </w:p>
        </w:tc>
        <w:tc>
          <w:tcPr>
            <w:tcW w:w="45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224A3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86CB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2%</w:t>
            </w:r>
          </w:p>
        </w:tc>
        <w:tc>
          <w:tcPr>
            <w:tcW w:w="25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6897F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9F45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3ECA6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DDC0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2%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5A6BB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7EB4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 w14:paraId="7B53C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014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  <w:vertAlign w:val="superscript"/>
                <w:lang w:val="en-US" w:eastAsia="zh-CN"/>
              </w:rPr>
              <w:t>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 Immunologic parameters includes immunogenicity of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</w:rPr>
              <w:t>avelumab,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 antibody response and immune response.</w:t>
            </w:r>
          </w:p>
        </w:tc>
      </w:tr>
      <w:tr w14:paraId="3727B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F85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  <w:vertAlign w:val="superscript"/>
                <w:lang w:val="en-US" w:eastAsia="zh-CN"/>
              </w:rPr>
              <w:t>b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 Tumor biomarker assessments indicate CA125 response in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nine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articles and refer to identification of prognostic and predictive biomarkers in other articles. </w:t>
            </w:r>
          </w:p>
        </w:tc>
      </w:tr>
      <w:tr w14:paraId="60EAF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987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  <w:vertAlign w:val="superscript"/>
                <w:lang w:val="en-US" w:eastAsia="zh-CN"/>
              </w:rPr>
              <w:t>c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Disease control/clinical benefit rate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is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defined as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 achieving a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 complete or partial response or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maintaining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stable disease.</w:t>
            </w:r>
          </w:p>
        </w:tc>
      </w:tr>
      <w:tr w14:paraId="0E5A7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FB4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  <w:vertAlign w:val="superscript"/>
                <w:lang w:val="en-US" w:eastAsia="zh-CN"/>
              </w:rPr>
              <w:t>d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Objective tumor response is based on RECIST criteria,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 which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categorizes the changes in cancer patients as improvement ("respond"), stability ("stable"), or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deterioration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 ("progression") during antitumor therapies.</w:t>
            </w:r>
          </w:p>
        </w:tc>
      </w:tr>
      <w:tr w14:paraId="4E62A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4B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  <w:vertAlign w:val="superscript"/>
                <w:lang w:val="en-US" w:eastAsia="zh-CN"/>
              </w:rPr>
              <w:t>e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The best overall response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refers to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 the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most favorable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 response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observe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d from the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initiation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 of treatment until disease progression/recurrence.</w:t>
            </w:r>
          </w:p>
        </w:tc>
      </w:tr>
      <w:tr w14:paraId="33F1A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9B9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  <w:vertAlign w:val="superscript"/>
                <w:lang w:val="en-US" w:eastAsia="zh-CN"/>
              </w:rPr>
              <w:t>f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 TFST defined as the time from initiating maintenance treatment to the date of first documented disease progression.</w:t>
            </w:r>
          </w:p>
        </w:tc>
      </w:tr>
    </w:tbl>
    <w:p w14:paraId="510CDE2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Q5YjNlOWQ5MzNjMGE4MzZmOWFmYTczNDk5OTZmZGYifQ=="/>
  </w:docVars>
  <w:rsids>
    <w:rsidRoot w:val="00EF424F"/>
    <w:rsid w:val="004F6494"/>
    <w:rsid w:val="005E2FAD"/>
    <w:rsid w:val="00AB4E38"/>
    <w:rsid w:val="00B66A4B"/>
    <w:rsid w:val="00EF424F"/>
    <w:rsid w:val="00F364C7"/>
    <w:rsid w:val="0A18585A"/>
    <w:rsid w:val="36A9520F"/>
    <w:rsid w:val="3AA2694C"/>
    <w:rsid w:val="3AAC53BD"/>
    <w:rsid w:val="45481CA8"/>
    <w:rsid w:val="47AD0DAC"/>
    <w:rsid w:val="60540DCA"/>
    <w:rsid w:val="60AA20C1"/>
    <w:rsid w:val="6BD626C4"/>
    <w:rsid w:val="7930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autoRedefine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character" w:customStyle="1" w:styleId="5">
    <w:name w:val="font21"/>
    <w:basedOn w:val="4"/>
    <w:qFormat/>
    <w:uiPriority w:val="0"/>
    <w:rPr>
      <w:rFonts w:hint="eastAsia" w:ascii="宋体" w:hAnsi="宋体" w:eastAsia="宋体" w:cs="宋体"/>
      <w:color w:val="000000"/>
      <w:sz w:val="23"/>
      <w:szCs w:val="23"/>
      <w:u w:val="none"/>
    </w:rPr>
  </w:style>
  <w:style w:type="character" w:customStyle="1" w:styleId="6">
    <w:name w:val="font11"/>
    <w:basedOn w:val="4"/>
    <w:qFormat/>
    <w:uiPriority w:val="0"/>
    <w:rPr>
      <w:rFonts w:hint="default" w:ascii="Segoe UI" w:hAnsi="Segoe UI" w:eastAsia="Segoe UI" w:cs="Segoe UI"/>
      <w:color w:val="000000"/>
      <w:sz w:val="23"/>
      <w:szCs w:val="23"/>
      <w:u w:val="none"/>
    </w:rPr>
  </w:style>
  <w:style w:type="character" w:customStyle="1" w:styleId="7">
    <w:name w:val="font3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41"/>
    <w:basedOn w:val="4"/>
    <w:qFormat/>
    <w:uiPriority w:val="0"/>
    <w:rPr>
      <w:rFonts w:hint="eastAsia" w:ascii="等线" w:hAnsi="等线" w:eastAsia="等线" w:cs="等线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586</Words>
  <Characters>2288</Characters>
  <Lines>16</Lines>
  <Paragraphs>4</Paragraphs>
  <TotalTime>1</TotalTime>
  <ScaleCrop>false</ScaleCrop>
  <LinksUpToDate>false</LinksUpToDate>
  <CharactersWithSpaces>2516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2024-04-16T14:38:00Z</dcterms:created>
  <dc:creator>Ruijie Yu</dc:creator>
  <cp:lastModifiedBy>梁茗威</cp:lastModifiedBy>
  <dcterms:modified xsi:type="dcterms:W3CDTF">2026-01-25T06:35:19Z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A33CFB5EF5164502A8E40E202EAD2F85_12</vt:lpwstr>
  </property>
  <property fmtid="{D5CDD505-2E9C-101B-9397-08002B2CF9AE}" pid="4" name="KSOTemplateDocerSaveRecord">
    <vt:lpwstr>eyJoZGlkIjoiNmI3OGVkZWZmMDE2NjRhODliNTIyMzdmNmI5ZTFiYmEiLCJ1c2VySWQiOiIxNTk2MTQ3MDc5In0=</vt:lpwstr>
  </property>
</Properties>
</file>