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87A4F" w14:textId="77777777" w:rsidR="00256A39" w:rsidRPr="007203D8" w:rsidRDefault="00256A39" w:rsidP="00256A39">
      <w:pPr>
        <w:pStyle w:val="Heading2"/>
      </w:pPr>
      <w:r>
        <w:t xml:space="preserve">Supplementary </w:t>
      </w:r>
      <w:r w:rsidRPr="007203D8">
        <w:t>Figure legends</w:t>
      </w:r>
    </w:p>
    <w:p w14:paraId="5B390C21" w14:textId="77777777" w:rsidR="00256A39" w:rsidRPr="007203D8" w:rsidRDefault="00256A39" w:rsidP="00256A39">
      <w:pPr>
        <w:jc w:val="both"/>
      </w:pPr>
      <w:r w:rsidRPr="007203D8">
        <w:rPr>
          <w:b/>
          <w:bCs/>
        </w:rPr>
        <w:t>Table S</w:t>
      </w:r>
      <w:r>
        <w:rPr>
          <w:b/>
          <w:bCs/>
        </w:rPr>
        <w:t xml:space="preserve">1, </w:t>
      </w:r>
      <w:r w:rsidRPr="007203D8">
        <w:rPr>
          <w:b/>
          <w:bCs/>
        </w:rPr>
        <w:t>Inclusion and exclusion criteria of the study</w:t>
      </w:r>
      <w:r>
        <w:rPr>
          <w:b/>
          <w:bCs/>
        </w:rPr>
        <w:t xml:space="preserve">. </w:t>
      </w:r>
      <w:r w:rsidRPr="007203D8">
        <w:t>COPD, Chronic obstructive pulmonary disease; HbA</w:t>
      </w:r>
      <w:r w:rsidRPr="007203D8">
        <w:rPr>
          <w:vertAlign w:val="subscript"/>
        </w:rPr>
        <w:t>1c</w:t>
      </w:r>
      <w:r w:rsidRPr="007203D8">
        <w:t xml:space="preserve">, </w:t>
      </w:r>
      <w:r>
        <w:t>Glycated h</w:t>
      </w:r>
      <w:r w:rsidRPr="007203D8">
        <w:t>emoglobin A</w:t>
      </w:r>
      <w:r w:rsidRPr="007203D8">
        <w:rPr>
          <w:vertAlign w:val="subscript"/>
        </w:rPr>
        <w:t>1c</w:t>
      </w:r>
      <w:r w:rsidRPr="007203D8">
        <w:t>; HPA, Hypothalamus-pituitary-adrenal axis; IBD, Inflammatory bowel disease; LSM, Liver stiffness measure; RA, Rheumatoid arthritis.</w:t>
      </w:r>
    </w:p>
    <w:p w14:paraId="36932940" w14:textId="77777777" w:rsidR="00256A39" w:rsidRDefault="00256A39" w:rsidP="00256A39">
      <w:pPr>
        <w:jc w:val="both"/>
        <w:rPr>
          <w:b/>
          <w:bCs/>
        </w:rPr>
      </w:pPr>
      <w:r>
        <w:rPr>
          <w:b/>
          <w:bCs/>
        </w:rPr>
        <w:t>Table S2,</w:t>
      </w:r>
      <w:r w:rsidRPr="002E6E80">
        <w:rPr>
          <w:rFonts w:eastAsiaTheme="minorEastAsia" w:hAnsi="Aptos"/>
          <w:color w:val="000000" w:themeColor="text1"/>
          <w:kern w:val="24"/>
          <w:sz w:val="36"/>
          <w:szCs w:val="36"/>
        </w:rPr>
        <w:t xml:space="preserve"> </w:t>
      </w:r>
      <w:r w:rsidRPr="002E6E80">
        <w:rPr>
          <w:b/>
          <w:bCs/>
        </w:rPr>
        <w:t>List of antibodies used in experiments</w:t>
      </w:r>
      <w:r>
        <w:rPr>
          <w:b/>
          <w:bCs/>
        </w:rPr>
        <w:t>.</w:t>
      </w:r>
    </w:p>
    <w:p w14:paraId="46A25F3B" w14:textId="77777777" w:rsidR="00256A39" w:rsidRPr="007203D8" w:rsidRDefault="00256A39" w:rsidP="00256A39">
      <w:pPr>
        <w:jc w:val="both"/>
      </w:pPr>
      <w:r w:rsidRPr="007203D8">
        <w:rPr>
          <w:b/>
          <w:bCs/>
        </w:rPr>
        <w:t>Table S</w:t>
      </w:r>
      <w:r>
        <w:rPr>
          <w:b/>
          <w:bCs/>
        </w:rPr>
        <w:t xml:space="preserve">3, </w:t>
      </w:r>
      <w:r w:rsidRPr="007203D8">
        <w:rPr>
          <w:b/>
          <w:bCs/>
        </w:rPr>
        <w:t>Characteristics of patients and controls at baseline</w:t>
      </w:r>
      <w:r>
        <w:rPr>
          <w:b/>
          <w:bCs/>
        </w:rPr>
        <w:t>.</w:t>
      </w:r>
      <w:r w:rsidRPr="007203D8">
        <w:rPr>
          <w:b/>
          <w:bCs/>
        </w:rPr>
        <w:t xml:space="preserve"> </w:t>
      </w:r>
      <w:r w:rsidRPr="007203D8">
        <w:t>eGFR, estimated glomerular filtration rate</w:t>
      </w:r>
      <w:r>
        <w:t>;</w:t>
      </w:r>
      <w:r w:rsidRPr="007203D8" w:rsidDel="00ED1465">
        <w:t xml:space="preserve"> </w:t>
      </w:r>
      <w:r w:rsidRPr="007203D8">
        <w:t>HDL, high-density lipoprotein; HOMA, homeostatic model assessment; LDL, Low-density lipoprotein.</w:t>
      </w:r>
    </w:p>
    <w:p w14:paraId="5E2C323F" w14:textId="77777777" w:rsidR="00256A39" w:rsidRPr="007203D8" w:rsidRDefault="00256A39" w:rsidP="00256A39">
      <w:pPr>
        <w:jc w:val="both"/>
      </w:pPr>
      <w:r w:rsidRPr="007203D8">
        <w:rPr>
          <w:b/>
          <w:bCs/>
        </w:rPr>
        <w:t>Table S</w:t>
      </w:r>
      <w:r>
        <w:rPr>
          <w:b/>
          <w:bCs/>
        </w:rPr>
        <w:t xml:space="preserve">4, </w:t>
      </w:r>
      <w:r w:rsidRPr="007203D8">
        <w:rPr>
          <w:b/>
          <w:bCs/>
        </w:rPr>
        <w:t>Characteristics of patients at baseline and after 12 months of antidiabetic treatment.</w:t>
      </w:r>
      <w:r w:rsidRPr="007203D8">
        <w:t xml:space="preserve"> eGFR, estimated glomerular filtration rate</w:t>
      </w:r>
      <w:r>
        <w:t>;</w:t>
      </w:r>
      <w:r w:rsidRPr="007203D8" w:rsidDel="00ED1465">
        <w:t xml:space="preserve"> </w:t>
      </w:r>
      <w:r w:rsidRPr="007203D8">
        <w:t>HDL, high-density lipoprotein; HOMA, homeostatic model assessment; LDL, Low-density lipoprotein.</w:t>
      </w:r>
    </w:p>
    <w:p w14:paraId="60909697" w14:textId="77777777" w:rsidR="00256A39" w:rsidRPr="007203D8" w:rsidRDefault="00256A39" w:rsidP="00256A39">
      <w:pPr>
        <w:spacing w:line="240" w:lineRule="auto"/>
        <w:jc w:val="both"/>
      </w:pPr>
      <w:r w:rsidRPr="007203D8">
        <w:rPr>
          <w:b/>
          <w:bCs/>
        </w:rPr>
        <w:t>Figure S1</w:t>
      </w:r>
      <w:r>
        <w:rPr>
          <w:b/>
          <w:bCs/>
        </w:rPr>
        <w:t xml:space="preserve">, </w:t>
      </w:r>
      <w:r w:rsidRPr="007203D8">
        <w:rPr>
          <w:b/>
          <w:bCs/>
        </w:rPr>
        <w:t>Flowchart of the study.</w:t>
      </w:r>
      <w:r>
        <w:rPr>
          <w:b/>
          <w:bCs/>
        </w:rPr>
        <w:t xml:space="preserve"> </w:t>
      </w:r>
      <w:r w:rsidRPr="007203D8">
        <w:t>GLP-1RA, glucagon-like peptide-1 receptor agonists; HbA</w:t>
      </w:r>
      <w:r w:rsidRPr="007203D8">
        <w:rPr>
          <w:vertAlign w:val="subscript"/>
        </w:rPr>
        <w:t>1c</w:t>
      </w:r>
      <w:r w:rsidRPr="007203D8">
        <w:t xml:space="preserve">, </w:t>
      </w:r>
      <w:r>
        <w:t xml:space="preserve">glycated </w:t>
      </w:r>
      <w:r w:rsidRPr="007203D8">
        <w:t>hemoglobin A</w:t>
      </w:r>
      <w:r w:rsidRPr="007203D8">
        <w:rPr>
          <w:vertAlign w:val="subscript"/>
        </w:rPr>
        <w:t>1c</w:t>
      </w:r>
      <w:r w:rsidRPr="007203D8">
        <w:t xml:space="preserve">; mo, month; NA, not applicable; SGLT-2i, sodium-glucose co-transporter-2 inhibitors; T2DM, type 2 diabetes mellitus. </w:t>
      </w:r>
    </w:p>
    <w:p w14:paraId="25EE1ACA" w14:textId="77777777" w:rsidR="00256A39" w:rsidRPr="007203D8" w:rsidRDefault="00256A39" w:rsidP="00256A39">
      <w:pPr>
        <w:jc w:val="both"/>
      </w:pPr>
      <w:r w:rsidRPr="007203D8">
        <w:rPr>
          <w:b/>
          <w:bCs/>
        </w:rPr>
        <w:t>Figure S2</w:t>
      </w:r>
      <w:r>
        <w:rPr>
          <w:b/>
          <w:bCs/>
        </w:rPr>
        <w:t>,</w:t>
      </w:r>
      <w:r w:rsidRPr="007203D8">
        <w:rPr>
          <w:b/>
          <w:bCs/>
        </w:rPr>
        <w:t xml:space="preserve"> Phenotypic analysis of γδ T cells. </w:t>
      </w:r>
      <w:r w:rsidRPr="007203D8">
        <w:t>(a)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1</w:t>
      </w:r>
      <w:r w:rsidRPr="007203D8">
        <w:rPr>
          <w:vertAlign w:val="superscript"/>
        </w:rPr>
        <w:t>+</w:t>
      </w:r>
      <w:r w:rsidRPr="007203D8">
        <w:t xml:space="preserve"> γδ T cells expressing CD27 or CD28, segregated by double-negative, single-positive and double-positive cells. (b)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1</w:t>
      </w:r>
      <w:r w:rsidRPr="007203D8">
        <w:rPr>
          <w:vertAlign w:val="superscript"/>
        </w:rPr>
        <w:t>+</w:t>
      </w:r>
      <w:r w:rsidRPr="007203D8">
        <w:t xml:space="preserve"> γδ T cells expressing CD16. (c)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1</w:t>
      </w:r>
      <w:r w:rsidRPr="007203D8">
        <w:rPr>
          <w:vertAlign w:val="superscript"/>
        </w:rPr>
        <w:t>+</w:t>
      </w:r>
      <w:r w:rsidRPr="007203D8">
        <w:t xml:space="preserve"> γδ T cells expressing CD45RA. (d)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2</w:t>
      </w:r>
      <w:r w:rsidRPr="007203D8">
        <w:rPr>
          <w:vertAlign w:val="superscript"/>
        </w:rPr>
        <w:t>+</w:t>
      </w:r>
      <w:r w:rsidRPr="007203D8">
        <w:t xml:space="preserve"> γδ T cells expressing CD27 or CD28, segregated by double-negative, single-positive and double-positive cells. (b)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2</w:t>
      </w:r>
      <w:r w:rsidRPr="007203D8">
        <w:rPr>
          <w:vertAlign w:val="superscript"/>
        </w:rPr>
        <w:t>+</w:t>
      </w:r>
      <w:r w:rsidRPr="007203D8">
        <w:t xml:space="preserve"> γδ T cells expressing CD16. (c) Frequency of CD45</w:t>
      </w:r>
      <w:r w:rsidRPr="007203D8">
        <w:rPr>
          <w:vertAlign w:val="superscript"/>
        </w:rPr>
        <w:t>+</w:t>
      </w:r>
      <w:r w:rsidRPr="007203D8">
        <w:t>CD3</w:t>
      </w:r>
      <w:r w:rsidRPr="007203D8">
        <w:rPr>
          <w:vertAlign w:val="superscript"/>
        </w:rPr>
        <w:t>+</w:t>
      </w:r>
      <w:r w:rsidRPr="007203D8">
        <w:t>δ</w:t>
      </w:r>
      <w:r w:rsidRPr="007203D8">
        <w:rPr>
          <w:vertAlign w:val="subscript"/>
        </w:rPr>
        <w:t>2</w:t>
      </w:r>
      <w:r w:rsidRPr="007203D8">
        <w:rPr>
          <w:vertAlign w:val="superscript"/>
        </w:rPr>
        <w:t>+</w:t>
      </w:r>
      <w:r w:rsidRPr="007203D8">
        <w:t xml:space="preserve"> γδ T cells expressing CD45RA. An individual point represents one participant. Indicated are mean values ± </w:t>
      </w:r>
      <w:r>
        <w:t>standard error of mean</w:t>
      </w:r>
      <w:r w:rsidRPr="007203D8">
        <w:t xml:space="preserve"> and statistical significances at *</w:t>
      </w:r>
      <w:r w:rsidRPr="007203D8">
        <w:rPr>
          <w:i/>
        </w:rPr>
        <w:t>p</w:t>
      </w:r>
      <w:r w:rsidRPr="007203D8">
        <w:t>&lt;0.05</w:t>
      </w:r>
      <w:r>
        <w:t>0</w:t>
      </w:r>
      <w:r w:rsidRPr="007203D8">
        <w:t xml:space="preserve"> and **&lt;0.010 by one-way ANOVA with Tukey’s multiple comparisons post testing.</w:t>
      </w:r>
    </w:p>
    <w:p w14:paraId="3A867B7E" w14:textId="77777777" w:rsidR="00256A39" w:rsidRPr="007203D8" w:rsidRDefault="00256A39" w:rsidP="00256A39">
      <w:pPr>
        <w:jc w:val="both"/>
      </w:pPr>
      <w:r w:rsidRPr="007203D8">
        <w:rPr>
          <w:b/>
          <w:bCs/>
        </w:rPr>
        <w:t>Figure S3</w:t>
      </w:r>
      <w:r>
        <w:rPr>
          <w:b/>
          <w:bCs/>
        </w:rPr>
        <w:t>,</w:t>
      </w:r>
      <w:r w:rsidRPr="007203D8">
        <w:rPr>
          <w:b/>
          <w:bCs/>
        </w:rPr>
        <w:t xml:space="preserve"> Antidiabetic treatment does not impact TNF, IL-17A and Granzyme B production by γδ T cells.</w:t>
      </w:r>
      <w:r>
        <w:rPr>
          <w:b/>
          <w:bCs/>
        </w:rPr>
        <w:t xml:space="preserve"> </w:t>
      </w:r>
      <w:r w:rsidRPr="007203D8">
        <w:t>Groups were segregated based on treatment regime</w:t>
      </w:r>
      <w:r>
        <w:t>n</w:t>
      </w:r>
      <w:r w:rsidRPr="007203D8">
        <w:t xml:space="preserve"> and </w:t>
      </w:r>
      <w:r>
        <w:t>interferon (</w:t>
      </w:r>
      <w:r w:rsidRPr="007203D8">
        <w:t>IFN</w:t>
      </w:r>
      <w:r>
        <w:t xml:space="preserve">) </w:t>
      </w:r>
      <w:r w:rsidRPr="007203D8">
        <w:t xml:space="preserve">γ production was assessed using intracellular flow cytometry. (a) </w:t>
      </w:r>
      <w:r>
        <w:t>Tumor necrosis factor (</w:t>
      </w:r>
      <w:r w:rsidRPr="007203D8">
        <w:t>TNF</w:t>
      </w:r>
      <w:r>
        <w:t xml:space="preserve">) </w:t>
      </w:r>
      <w:r w:rsidRPr="007203D8">
        <w:t xml:space="preserve">and (b) </w:t>
      </w:r>
      <w:r>
        <w:t>interleukin (</w:t>
      </w:r>
      <w:r w:rsidRPr="007203D8">
        <w:t>IL</w:t>
      </w:r>
      <w:r>
        <w:t xml:space="preserve">) </w:t>
      </w:r>
      <w:r w:rsidRPr="007203D8">
        <w:t>17A production by δ</w:t>
      </w:r>
      <w:r w:rsidRPr="007203D8">
        <w:rPr>
          <w:vertAlign w:val="subscript"/>
        </w:rPr>
        <w:t>1</w:t>
      </w:r>
      <w:r w:rsidRPr="007203D8">
        <w:rPr>
          <w:vertAlign w:val="superscript"/>
        </w:rPr>
        <w:t>+</w:t>
      </w:r>
      <w:r w:rsidRPr="007203D8">
        <w:t xml:space="preserve"> γδ T cells at 0 and 12 months after antidiabetic treatment. (c) TNF and (d) Granzyme B production by δ</w:t>
      </w:r>
      <w:r w:rsidRPr="007203D8">
        <w:rPr>
          <w:vertAlign w:val="subscript"/>
        </w:rPr>
        <w:t>2</w:t>
      </w:r>
      <w:r w:rsidRPr="007203D8">
        <w:rPr>
          <w:vertAlign w:val="superscript"/>
        </w:rPr>
        <w:t>+</w:t>
      </w:r>
      <w:r w:rsidRPr="007203D8">
        <w:t xml:space="preserve"> γδ T cells at 0 and 12 months after antidiabetic treatment.</w:t>
      </w:r>
    </w:p>
    <w:p w14:paraId="543C6EE2" w14:textId="77777777" w:rsidR="00256A39" w:rsidRDefault="00256A39" w:rsidP="00256A39">
      <w:pPr>
        <w:jc w:val="both"/>
      </w:pPr>
      <w:r w:rsidRPr="007203D8">
        <w:rPr>
          <w:b/>
          <w:bCs/>
        </w:rPr>
        <w:t>Figure S4</w:t>
      </w:r>
      <w:r>
        <w:rPr>
          <w:b/>
          <w:bCs/>
        </w:rPr>
        <w:t xml:space="preserve">, </w:t>
      </w:r>
      <w:r w:rsidRPr="007203D8">
        <w:rPr>
          <w:b/>
          <w:bCs/>
        </w:rPr>
        <w:t>Reduced meta-inflammation is most prominent in patients with pre-exis</w:t>
      </w:r>
      <w:r>
        <w:rPr>
          <w:b/>
          <w:bCs/>
        </w:rPr>
        <w:t>ti</w:t>
      </w:r>
      <w:r w:rsidRPr="007203D8">
        <w:rPr>
          <w:b/>
          <w:bCs/>
        </w:rPr>
        <w:t xml:space="preserve">ng liver and kidney pathology. </w:t>
      </w:r>
      <w:r w:rsidRPr="007203D8">
        <w:t xml:space="preserve">Post-hoc analysis of the correlation between changes in </w:t>
      </w:r>
      <w:r>
        <w:t>interferon (</w:t>
      </w:r>
      <w:r w:rsidRPr="007203D8">
        <w:t>IFN</w:t>
      </w:r>
      <w:r>
        <w:t xml:space="preserve">) </w:t>
      </w:r>
      <w:r w:rsidRPr="007203D8">
        <w:t xml:space="preserve">γ production after 12 months of ant-diabetic treatment and the absolute levels of indicated parameters at baseline. (a) </w:t>
      </w:r>
      <w:r>
        <w:t>H</w:t>
      </w:r>
      <w:r w:rsidRPr="007203D8">
        <w:t xml:space="preserve">eat-map of p values. Statistically significant changes are provided as numerical values. (b-c) </w:t>
      </w:r>
      <w:r>
        <w:t>R</w:t>
      </w:r>
      <w:r w:rsidRPr="007203D8">
        <w:t>egression analysis correlating changes in IFNγ production with metabolic parameters for (b) δ</w:t>
      </w:r>
      <w:r w:rsidRPr="007203D8">
        <w:rPr>
          <w:vertAlign w:val="subscript"/>
        </w:rPr>
        <w:t>1</w:t>
      </w:r>
      <w:r w:rsidRPr="007203D8">
        <w:rPr>
          <w:vertAlign w:val="superscript"/>
        </w:rPr>
        <w:t>+</w:t>
      </w:r>
      <w:r w:rsidRPr="007203D8">
        <w:t xml:space="preserve"> γδ T cells and (c) δ</w:t>
      </w:r>
      <w:r w:rsidRPr="007203D8">
        <w:rPr>
          <w:vertAlign w:val="subscript"/>
        </w:rPr>
        <w:t>2</w:t>
      </w:r>
      <w:r w:rsidRPr="007203D8">
        <w:rPr>
          <w:vertAlign w:val="superscript"/>
        </w:rPr>
        <w:t>+</w:t>
      </w:r>
      <w:r w:rsidRPr="007203D8">
        <w:t xml:space="preserve"> γδ T cells. Regression analyses with</w:t>
      </w:r>
      <w:r>
        <w:t xml:space="preserve"> </w:t>
      </w:r>
      <w:r w:rsidRPr="007203D8">
        <w:t xml:space="preserve">statistically significant </w:t>
      </w:r>
      <w:r w:rsidRPr="007203D8">
        <w:rPr>
          <w:i/>
          <w:iCs/>
        </w:rPr>
        <w:t xml:space="preserve">p </w:t>
      </w:r>
      <w:r w:rsidRPr="007203D8">
        <w:t xml:space="preserve">value at &lt;0.050 represented as mean and 95% confidence area of the best-fit line. </w:t>
      </w:r>
      <w:r w:rsidRPr="00ED1465">
        <w:t xml:space="preserve"> </w:t>
      </w:r>
      <w:r w:rsidRPr="007203D8">
        <w:t>ALT, alanine aminotransferase; AST, aspartate transaminase; BMI, body mass index; CRP, C-reactive protein; eGFR, estimated glomerular filtration rate FIB4, fibrosis-4</w:t>
      </w:r>
      <w:r>
        <w:t xml:space="preserve"> </w:t>
      </w:r>
      <w:r w:rsidRPr="007203D8">
        <w:t>index; FPG, fasting plasma glucose; Hb</w:t>
      </w:r>
      <w:r>
        <w:t>A</w:t>
      </w:r>
      <w:r w:rsidRPr="00BE45E4">
        <w:rPr>
          <w:vertAlign w:val="subscript"/>
        </w:rPr>
        <w:t>1c</w:t>
      </w:r>
      <w:r w:rsidRPr="007203D8">
        <w:t xml:space="preserve">, </w:t>
      </w:r>
      <w:r>
        <w:t>glycated hemoglobin A</w:t>
      </w:r>
      <w:r w:rsidRPr="00BE45E4">
        <w:rPr>
          <w:vertAlign w:val="subscript"/>
        </w:rPr>
        <w:t>1c</w:t>
      </w:r>
      <w:r w:rsidRPr="007203D8">
        <w:t>; HDL, high-density lipoprotein; HOMA-B, homeostatic model assessment beta cell function; HOMA-IR, homeostatic model assessment insulin resistance</w:t>
      </w:r>
      <w:r>
        <w:t>;</w:t>
      </w:r>
      <w:r w:rsidRPr="007203D8">
        <w:t xml:space="preserve"> </w:t>
      </w:r>
      <w:r>
        <w:t>HSI</w:t>
      </w:r>
      <w:r w:rsidRPr="007203D8">
        <w:t xml:space="preserve">, hepatic </w:t>
      </w:r>
      <w:r w:rsidRPr="007203D8">
        <w:lastRenderedPageBreak/>
        <w:t xml:space="preserve">steatosis index; LDL, low-density lipoprotein; NLFS, </w:t>
      </w:r>
      <w:r>
        <w:t>non-alcoholic fatty liver disease</w:t>
      </w:r>
      <w:r w:rsidRPr="007203D8">
        <w:t xml:space="preserve"> liver fat score; T</w:t>
      </w:r>
      <w:r>
        <w:t xml:space="preserve">yG, </w:t>
      </w:r>
      <w:r w:rsidRPr="007203D8">
        <w:t xml:space="preserve">triglyceride index; WHR, waist-hip ratio. </w:t>
      </w:r>
    </w:p>
    <w:p w14:paraId="7870FF42" w14:textId="77777777" w:rsidR="00E023F9" w:rsidRDefault="00E023F9"/>
    <w:sectPr w:rsidR="00E023F9" w:rsidSect="00256A39">
      <w:footerReference w:type="default" r:id="rId4"/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04806745"/>
      <w:docPartObj>
        <w:docPartGallery w:val="Page Numbers (Bottom of Page)"/>
        <w:docPartUnique/>
      </w:docPartObj>
    </w:sdtPr>
    <w:sdtContent>
      <w:p w14:paraId="2D76B356" w14:textId="77777777" w:rsidR="00256A39" w:rsidRPr="007203D8" w:rsidRDefault="00256A39">
        <w:pPr>
          <w:pStyle w:val="Footer"/>
          <w:jc w:val="right"/>
        </w:pPr>
        <w:r w:rsidRPr="007203D8">
          <w:fldChar w:fldCharType="begin"/>
        </w:r>
        <w:r w:rsidRPr="007203D8">
          <w:instrText xml:space="preserve"> PAGE   \* MERGEFORMAT </w:instrText>
        </w:r>
        <w:r w:rsidRPr="007203D8">
          <w:fldChar w:fldCharType="separate"/>
        </w:r>
        <w:r w:rsidRPr="007203D8">
          <w:t>19</w:t>
        </w:r>
        <w:r w:rsidRPr="007203D8">
          <w:fldChar w:fldCharType="end"/>
        </w:r>
      </w:p>
    </w:sdtContent>
  </w:sdt>
  <w:p w14:paraId="3DCABEE9" w14:textId="77777777" w:rsidR="00256A39" w:rsidRPr="007203D8" w:rsidRDefault="00256A3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A39"/>
    <w:rsid w:val="000C4033"/>
    <w:rsid w:val="00256A39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BB179"/>
  <w15:chartTrackingRefBased/>
  <w15:docId w15:val="{D5B8EFCC-6494-4D50-9B3A-D4D14C53E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A39"/>
    <w:pPr>
      <w:spacing w:line="259" w:lineRule="auto"/>
    </w:pPr>
    <w:rPr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56A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6A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A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A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A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A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A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A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A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A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56A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A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A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A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A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A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A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A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A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56A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A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56A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A3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56A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A39"/>
    <w:pPr>
      <w:spacing w:line="278" w:lineRule="auto"/>
      <w:ind w:left="720"/>
      <w:contextualSpacing/>
    </w:pPr>
    <w:rPr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56A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A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A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A3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256A3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A39"/>
    <w:rPr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2998</Characters>
  <Application>Microsoft Office Word</Application>
  <DocSecurity>0</DocSecurity>
  <Lines>53</Lines>
  <Paragraphs>20</Paragraphs>
  <ScaleCrop>false</ScaleCrop>
  <Company/>
  <LinksUpToDate>false</LinksUpToDate>
  <CharactersWithSpaces>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2026-03-12T12:00:00Z</dcterms:created>
  <dcterms:modified xsi:type="dcterms:W3CDTF">2026-03-12T12:00:00Z</dcterms:modified>
</cp:coreProperties>
</file>