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0BDEE" w14:textId="77777777" w:rsidR="00BF0E13" w:rsidRDefault="00BF0E13" w:rsidP="00BF0E13">
      <w:pPr>
        <w:pStyle w:val="Heading2"/>
        <w:rPr>
          <w:sz w:val="28"/>
        </w:rPr>
      </w:pPr>
      <w:bookmarkStart w:id="0" w:name="_Toc176429305"/>
      <w:bookmarkStart w:id="1" w:name="_Hlk169097940"/>
      <w:r>
        <w:rPr>
          <w:sz w:val="28"/>
        </w:rPr>
        <w:t>TABULATED SUMMARY OF OBJECTIVES AND OUTCOMES</w:t>
      </w:r>
      <w:bookmarkEnd w:id="0"/>
    </w:p>
    <w:p w14:paraId="1C63450E" w14:textId="77777777" w:rsidR="00BF0E13" w:rsidRPr="00C84B22" w:rsidRDefault="00BF0E13" w:rsidP="00BF0E13">
      <w:pPr>
        <w:rPr>
          <w:b/>
        </w:rPr>
      </w:pPr>
      <w:bookmarkStart w:id="2" w:name="_Hlk152684886"/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3827"/>
        <w:gridCol w:w="3119"/>
      </w:tblGrid>
      <w:tr w:rsidR="00BF0E13" w:rsidRPr="00EE2D51" w14:paraId="71D0F588" w14:textId="77777777" w:rsidTr="00D174E1">
        <w:trPr>
          <w:trHeight w:val="300"/>
        </w:trPr>
        <w:tc>
          <w:tcPr>
            <w:tcW w:w="2405" w:type="dxa"/>
          </w:tcPr>
          <w:p w14:paraId="275CEBA6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bookmarkStart w:id="3" w:name="_Hlk169096999"/>
          </w:p>
        </w:tc>
        <w:tc>
          <w:tcPr>
            <w:tcW w:w="3827" w:type="dxa"/>
          </w:tcPr>
          <w:p w14:paraId="32C916AC" w14:textId="77777777" w:rsidR="00BF0E13" w:rsidRPr="00142F73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142F73">
              <w:rPr>
                <w:rFonts w:ascii="Arial" w:eastAsia="MS PGothic" w:hAnsi="Arial" w:cs="Arial"/>
                <w:b/>
                <w:bCs/>
              </w:rPr>
              <w:t xml:space="preserve">Outcome Measures </w:t>
            </w:r>
          </w:p>
        </w:tc>
        <w:tc>
          <w:tcPr>
            <w:tcW w:w="3119" w:type="dxa"/>
          </w:tcPr>
          <w:p w14:paraId="67779661" w14:textId="77777777" w:rsidR="00BF0E13" w:rsidRPr="00142F73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142F73">
              <w:rPr>
                <w:rFonts w:ascii="Arial" w:eastAsia="MS PGothic" w:hAnsi="Arial" w:cs="Arial"/>
                <w:b/>
                <w:bCs/>
              </w:rPr>
              <w:t>Timepoint(s) of evaluation of this outcome measure (if applicable)</w:t>
            </w:r>
          </w:p>
        </w:tc>
      </w:tr>
      <w:tr w:rsidR="00BF0E13" w:rsidRPr="00EE2D51" w14:paraId="5403F5CD" w14:textId="77777777" w:rsidTr="00D174E1">
        <w:trPr>
          <w:trHeight w:val="300"/>
        </w:trPr>
        <w:tc>
          <w:tcPr>
            <w:tcW w:w="9351" w:type="dxa"/>
            <w:gridSpan w:val="3"/>
          </w:tcPr>
          <w:p w14:paraId="78684AA1" w14:textId="77777777" w:rsidR="00BF0E13" w:rsidRPr="001F49FD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1F49FD">
              <w:rPr>
                <w:rFonts w:ascii="Arial" w:eastAsia="MS PGothic" w:hAnsi="Arial" w:cs="Arial"/>
                <w:b/>
                <w:bCs/>
              </w:rPr>
              <w:t>Feasibility Objectives</w:t>
            </w:r>
          </w:p>
        </w:tc>
      </w:tr>
      <w:tr w:rsidR="00BF0E13" w:rsidRPr="00EE2D51" w14:paraId="2A8B54F0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36F9A84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Rates of screening</w:t>
            </w:r>
          </w:p>
        </w:tc>
        <w:tc>
          <w:tcPr>
            <w:tcW w:w="3827" w:type="dxa"/>
          </w:tcPr>
          <w:p w14:paraId="22BA1186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Number of patients screened overall and by centre</w:t>
            </w:r>
          </w:p>
        </w:tc>
        <w:tc>
          <w:tcPr>
            <w:tcW w:w="3119" w:type="dxa"/>
          </w:tcPr>
          <w:p w14:paraId="573F181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Initial and detailed screening</w:t>
            </w:r>
          </w:p>
        </w:tc>
      </w:tr>
      <w:tr w:rsidR="00BF0E13" w:rsidRPr="00EE2D51" w14:paraId="7204156F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3E46525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Recruitment </w:t>
            </w:r>
          </w:p>
        </w:tc>
        <w:tc>
          <w:tcPr>
            <w:tcW w:w="3827" w:type="dxa"/>
          </w:tcPr>
          <w:p w14:paraId="2AD143DF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Number of patients consented (as a proportion of patients screened. Overall and by centre)</w:t>
            </w:r>
          </w:p>
        </w:tc>
        <w:tc>
          <w:tcPr>
            <w:tcW w:w="3119" w:type="dxa"/>
          </w:tcPr>
          <w:p w14:paraId="3925964F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Consented measured at Initial Screening, Detailed </w:t>
            </w:r>
            <w:proofErr w:type="gramStart"/>
            <w:r w:rsidRPr="00EE2D51">
              <w:rPr>
                <w:rFonts w:ascii="Arial" w:eastAsia="MS PGothic" w:hAnsi="Arial" w:cs="Arial"/>
              </w:rPr>
              <w:t>screening</w:t>
            </w:r>
            <w:proofErr w:type="gramEnd"/>
            <w:r w:rsidRPr="00EE2D51">
              <w:rPr>
                <w:rFonts w:ascii="Arial" w:eastAsia="MS PGothic" w:hAnsi="Arial" w:cs="Arial"/>
              </w:rPr>
              <w:t xml:space="preserve"> and Baseline visit</w:t>
            </w:r>
          </w:p>
        </w:tc>
      </w:tr>
      <w:tr w:rsidR="00BF0E13" w:rsidRPr="00EE2D51" w14:paraId="43EE81C3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21B7412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Retention to the study</w:t>
            </w:r>
          </w:p>
        </w:tc>
        <w:tc>
          <w:tcPr>
            <w:tcW w:w="3827" w:type="dxa"/>
          </w:tcPr>
          <w:p w14:paraId="0E4A67EE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1. Number of recruited patients completing outcome measures</w:t>
            </w:r>
          </w:p>
          <w:p w14:paraId="5781E03D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2. Number of patients attending each appointment</w:t>
            </w:r>
          </w:p>
          <w:p w14:paraId="2C8468A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3. Number of participants completing the intervention</w:t>
            </w:r>
          </w:p>
          <w:p w14:paraId="6EAF254E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4. Number of participants that withdraw at different stages of the trial</w:t>
            </w:r>
          </w:p>
        </w:tc>
        <w:tc>
          <w:tcPr>
            <w:tcW w:w="3119" w:type="dxa"/>
          </w:tcPr>
          <w:p w14:paraId="50371759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1 and 2. At Baseline, CPET test</w:t>
            </w:r>
            <w:r>
              <w:rPr>
                <w:rFonts w:ascii="Arial" w:eastAsia="MS PGothic" w:hAnsi="Arial" w:cs="Arial"/>
              </w:rPr>
              <w:t>s</w:t>
            </w:r>
            <w:r w:rsidRPr="00EE2D51">
              <w:rPr>
                <w:rFonts w:ascii="Arial" w:eastAsia="MS PGothic" w:hAnsi="Arial" w:cs="Arial"/>
              </w:rPr>
              <w:t xml:space="preserve"> and post-Intervention visit (Days 0, 7&amp;8, 44, 51&amp;52 (53 in Exeter))</w:t>
            </w:r>
          </w:p>
          <w:p w14:paraId="6C878E77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3. Number of patients completing each day of treatment</w:t>
            </w:r>
          </w:p>
          <w:p w14:paraId="277162F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4. At Baseline, CPET test, </w:t>
            </w:r>
            <w:proofErr w:type="gramStart"/>
            <w:r>
              <w:rPr>
                <w:rFonts w:ascii="Arial" w:eastAsia="MS PGothic" w:hAnsi="Arial" w:cs="Arial"/>
              </w:rPr>
              <w:t>t</w:t>
            </w:r>
            <w:r w:rsidRPr="00EE2D51">
              <w:rPr>
                <w:rFonts w:ascii="Arial" w:eastAsia="MS PGothic" w:hAnsi="Arial" w:cs="Arial"/>
              </w:rPr>
              <w:t>reatment</w:t>
            </w:r>
            <w:proofErr w:type="gramEnd"/>
            <w:r w:rsidRPr="00EE2D51">
              <w:rPr>
                <w:rFonts w:ascii="Arial" w:eastAsia="MS PGothic" w:hAnsi="Arial" w:cs="Arial"/>
              </w:rPr>
              <w:t xml:space="preserve"> and post-Intervention visits (Days 0, 7&amp;8, 14 – 22, 44, 51&amp;52 (53 in Exeter))</w:t>
            </w:r>
          </w:p>
        </w:tc>
      </w:tr>
      <w:tr w:rsidR="00BF0E13" w:rsidRPr="00EE2D51" w14:paraId="78D21513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2FF4DC2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Adherence to the treatment regime of Remdesivir</w:t>
            </w:r>
          </w:p>
        </w:tc>
        <w:tc>
          <w:tcPr>
            <w:tcW w:w="3827" w:type="dxa"/>
          </w:tcPr>
          <w:p w14:paraId="5FAD79A3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Attend clinic appointments and complete each treatment session.</w:t>
            </w:r>
          </w:p>
        </w:tc>
        <w:tc>
          <w:tcPr>
            <w:tcW w:w="3119" w:type="dxa"/>
          </w:tcPr>
          <w:p w14:paraId="1D203D0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Measure Days 14 -22 during treatment phase</w:t>
            </w:r>
          </w:p>
        </w:tc>
      </w:tr>
      <w:tr w:rsidR="00BF0E13" w:rsidRPr="00EE2D51" w14:paraId="69900F87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2E7F6A7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Completeness of study assessments</w:t>
            </w:r>
          </w:p>
        </w:tc>
        <w:tc>
          <w:tcPr>
            <w:tcW w:w="3827" w:type="dxa"/>
          </w:tcPr>
          <w:p w14:paraId="69236AA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Attend appointments and complete assessments</w:t>
            </w:r>
          </w:p>
        </w:tc>
        <w:tc>
          <w:tcPr>
            <w:tcW w:w="3119" w:type="dxa"/>
          </w:tcPr>
          <w:p w14:paraId="0EBFA7A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CPET, Bloods (and PET/CT if in Exeter)</w:t>
            </w:r>
          </w:p>
        </w:tc>
      </w:tr>
      <w:tr w:rsidR="00BF0E13" w:rsidRPr="00EE2D51" w14:paraId="538DD818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56B0A806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Completeness of data collection activities</w:t>
            </w:r>
          </w:p>
        </w:tc>
        <w:tc>
          <w:tcPr>
            <w:tcW w:w="3827" w:type="dxa"/>
          </w:tcPr>
          <w:p w14:paraId="522AE34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1. Participants complete all patient -reported measures</w:t>
            </w:r>
          </w:p>
          <w:p w14:paraId="525E8A6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2. Number of participants that complete physical and physiological tests</w:t>
            </w:r>
          </w:p>
        </w:tc>
        <w:tc>
          <w:tcPr>
            <w:tcW w:w="3119" w:type="dxa"/>
          </w:tcPr>
          <w:p w14:paraId="0FF0DA01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At Baseline, CPET test and post-Intervention visits (Days 0, 7&amp;8, 44, 51&amp;52</w:t>
            </w:r>
            <w:r>
              <w:rPr>
                <w:rFonts w:ascii="Arial" w:eastAsia="MS PGothic" w:hAnsi="Arial" w:cs="Arial"/>
              </w:rPr>
              <w:t>).</w:t>
            </w:r>
          </w:p>
          <w:p w14:paraId="25E8158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5C9ED8F4" w14:textId="77777777" w:rsidTr="00D174E1">
        <w:trPr>
          <w:trHeight w:val="300"/>
        </w:trPr>
        <w:tc>
          <w:tcPr>
            <w:tcW w:w="9351" w:type="dxa"/>
            <w:gridSpan w:val="3"/>
            <w:vAlign w:val="center"/>
          </w:tcPr>
          <w:p w14:paraId="03A7EF95" w14:textId="77777777" w:rsidR="00BF0E13" w:rsidRPr="00B412B3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B412B3">
              <w:rPr>
                <w:rFonts w:ascii="Arial" w:eastAsia="MS PGothic" w:hAnsi="Arial" w:cs="Arial"/>
                <w:b/>
                <w:bCs/>
              </w:rPr>
              <w:t>Secondary objectives</w:t>
            </w:r>
          </w:p>
        </w:tc>
      </w:tr>
      <w:tr w:rsidR="00BF0E13" w:rsidRPr="00EE2D51" w14:paraId="3F06A246" w14:textId="77777777" w:rsidTr="00D174E1">
        <w:trPr>
          <w:trHeight w:val="300"/>
        </w:trPr>
        <w:tc>
          <w:tcPr>
            <w:tcW w:w="6232" w:type="dxa"/>
            <w:gridSpan w:val="2"/>
            <w:vAlign w:val="center"/>
          </w:tcPr>
          <w:p w14:paraId="54F600D3" w14:textId="77777777" w:rsidR="00BF0E13" w:rsidRPr="00B412B3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B412B3">
              <w:rPr>
                <w:rFonts w:ascii="Arial" w:eastAsia="MS PGothic" w:hAnsi="Arial" w:cs="Arial"/>
                <w:b/>
                <w:bCs/>
              </w:rPr>
              <w:t>Pre and Post Intervention Patient-reported Outcome measures</w:t>
            </w:r>
          </w:p>
        </w:tc>
        <w:tc>
          <w:tcPr>
            <w:tcW w:w="3119" w:type="dxa"/>
            <w:vMerge w:val="restart"/>
            <w:vAlign w:val="center"/>
          </w:tcPr>
          <w:p w14:paraId="7C8A85FA" w14:textId="77777777" w:rsidR="00BF0E13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Day 0 and +28 days after IMP</w:t>
            </w:r>
            <w:r>
              <w:rPr>
                <w:rFonts w:ascii="Arial" w:eastAsia="MS PGothic" w:hAnsi="Arial" w:cs="Arial"/>
              </w:rPr>
              <w:t xml:space="preserve"> (Day 44)</w:t>
            </w:r>
          </w:p>
          <w:p w14:paraId="6942B42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</w:rPr>
            </w:pPr>
            <w:r w:rsidRPr="00F5497B">
              <w:rPr>
                <w:rFonts w:ascii="Arial" w:eastAsia="MS PGothic" w:hAnsi="Arial" w:cs="Arial"/>
              </w:rPr>
              <w:t>*Days 7, 8, 51, 52</w:t>
            </w:r>
          </w:p>
        </w:tc>
      </w:tr>
      <w:tr w:rsidR="00BF0E13" w:rsidRPr="00EE2D51" w14:paraId="7090D6F5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7C8C2A4C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Quality of life</w:t>
            </w:r>
          </w:p>
        </w:tc>
        <w:tc>
          <w:tcPr>
            <w:tcW w:w="3827" w:type="dxa"/>
          </w:tcPr>
          <w:p w14:paraId="283FA1C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color w:val="0000FF"/>
              </w:rPr>
            </w:pPr>
            <w:r w:rsidRPr="00EE2D51">
              <w:rPr>
                <w:rFonts w:ascii="Arial" w:eastAsia="MS PGothic" w:hAnsi="Arial" w:cs="Arial"/>
              </w:rPr>
              <w:t>EQ-5D-5L</w:t>
            </w:r>
          </w:p>
        </w:tc>
        <w:tc>
          <w:tcPr>
            <w:tcW w:w="3119" w:type="dxa"/>
            <w:vMerge/>
            <w:vAlign w:val="center"/>
          </w:tcPr>
          <w:p w14:paraId="2C2DB54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1AACF7DF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7F93779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lastRenderedPageBreak/>
              <w:t>Functional status</w:t>
            </w:r>
          </w:p>
        </w:tc>
        <w:tc>
          <w:tcPr>
            <w:tcW w:w="3827" w:type="dxa"/>
          </w:tcPr>
          <w:p w14:paraId="57603FDC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PCFS (Impact on daily life subscale of LC Symptom Burden)</w:t>
            </w:r>
          </w:p>
          <w:p w14:paraId="227ED0F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</w:rPr>
            </w:pPr>
          </w:p>
        </w:tc>
        <w:tc>
          <w:tcPr>
            <w:tcW w:w="3119" w:type="dxa"/>
            <w:vMerge/>
            <w:vAlign w:val="center"/>
          </w:tcPr>
          <w:p w14:paraId="76223DE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</w:p>
        </w:tc>
      </w:tr>
      <w:tr w:rsidR="00BF0E13" w:rsidRPr="00EE2D51" w14:paraId="1426A992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78ADE7B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Physical Symptoms</w:t>
            </w:r>
          </w:p>
        </w:tc>
        <w:tc>
          <w:tcPr>
            <w:tcW w:w="3827" w:type="dxa"/>
          </w:tcPr>
          <w:p w14:paraId="429F8983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</w:rPr>
            </w:pPr>
            <w:r w:rsidRPr="00EE2D51">
              <w:rPr>
                <w:rFonts w:ascii="Arial" w:eastAsia="MS PGothic" w:hAnsi="Arial" w:cs="Arial"/>
              </w:rPr>
              <w:t>MRC Dyspnoea Scale</w:t>
            </w:r>
          </w:p>
        </w:tc>
        <w:tc>
          <w:tcPr>
            <w:tcW w:w="3119" w:type="dxa"/>
            <w:vMerge/>
            <w:vAlign w:val="center"/>
          </w:tcPr>
          <w:p w14:paraId="7D6B303E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</w:p>
        </w:tc>
      </w:tr>
      <w:tr w:rsidR="00BF0E13" w:rsidRPr="00EE2D51" w14:paraId="648B405C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2A44010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Cognitive symptoms</w:t>
            </w:r>
          </w:p>
        </w:tc>
        <w:tc>
          <w:tcPr>
            <w:tcW w:w="3827" w:type="dxa"/>
          </w:tcPr>
          <w:p w14:paraId="0DE781B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PDQ-5</w:t>
            </w:r>
          </w:p>
          <w:p w14:paraId="05674696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color w:val="0000FF"/>
              </w:rPr>
            </w:pPr>
          </w:p>
        </w:tc>
        <w:tc>
          <w:tcPr>
            <w:tcW w:w="3119" w:type="dxa"/>
            <w:vMerge/>
            <w:vAlign w:val="center"/>
          </w:tcPr>
          <w:p w14:paraId="660B8F7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</w:p>
        </w:tc>
      </w:tr>
      <w:tr w:rsidR="00BF0E13" w:rsidRPr="00EE2D51" w14:paraId="1C7FD43A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4D3106D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Emotional symptoms</w:t>
            </w:r>
          </w:p>
        </w:tc>
        <w:tc>
          <w:tcPr>
            <w:tcW w:w="3827" w:type="dxa"/>
          </w:tcPr>
          <w:p w14:paraId="6CE0B59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</w:rPr>
            </w:pPr>
            <w:r w:rsidRPr="00EE2D51">
              <w:rPr>
                <w:rFonts w:ascii="Arial" w:eastAsia="MS PGothic" w:hAnsi="Arial" w:cs="Arial"/>
              </w:rPr>
              <w:t>GAD-7</w:t>
            </w:r>
          </w:p>
        </w:tc>
        <w:tc>
          <w:tcPr>
            <w:tcW w:w="3119" w:type="dxa"/>
            <w:vMerge/>
            <w:vAlign w:val="center"/>
          </w:tcPr>
          <w:p w14:paraId="03A2ED8C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</w:p>
        </w:tc>
      </w:tr>
      <w:tr w:rsidR="00BF0E13" w:rsidRPr="00EE2D51" w14:paraId="67AD393F" w14:textId="77777777" w:rsidTr="00D174E1">
        <w:trPr>
          <w:trHeight w:val="525"/>
        </w:trPr>
        <w:tc>
          <w:tcPr>
            <w:tcW w:w="2405" w:type="dxa"/>
            <w:vMerge w:val="restart"/>
            <w:vAlign w:val="center"/>
          </w:tcPr>
          <w:p w14:paraId="6EFD69A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Symptom Burden</w:t>
            </w:r>
          </w:p>
        </w:tc>
        <w:tc>
          <w:tcPr>
            <w:tcW w:w="3827" w:type="dxa"/>
          </w:tcPr>
          <w:p w14:paraId="0ACBB29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DSQ-PEM</w:t>
            </w:r>
          </w:p>
        </w:tc>
        <w:tc>
          <w:tcPr>
            <w:tcW w:w="3119" w:type="dxa"/>
            <w:vMerge/>
            <w:vAlign w:val="center"/>
          </w:tcPr>
          <w:p w14:paraId="438F333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08541963" w14:textId="77777777" w:rsidTr="00D174E1">
        <w:trPr>
          <w:trHeight w:val="525"/>
        </w:trPr>
        <w:tc>
          <w:tcPr>
            <w:tcW w:w="2405" w:type="dxa"/>
            <w:vMerge/>
            <w:vAlign w:val="center"/>
          </w:tcPr>
          <w:p w14:paraId="7B7A056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  <w:tc>
          <w:tcPr>
            <w:tcW w:w="3827" w:type="dxa"/>
          </w:tcPr>
          <w:p w14:paraId="132ECA6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LC Symptom Burden</w:t>
            </w:r>
            <w:r>
              <w:rPr>
                <w:rFonts w:ascii="Arial" w:eastAsia="MS PGothic" w:hAnsi="Arial" w:cs="Arial"/>
              </w:rPr>
              <w:t>*</w:t>
            </w:r>
          </w:p>
        </w:tc>
        <w:tc>
          <w:tcPr>
            <w:tcW w:w="3119" w:type="dxa"/>
            <w:vMerge/>
            <w:vAlign w:val="center"/>
          </w:tcPr>
          <w:p w14:paraId="051817C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215069A2" w14:textId="77777777" w:rsidTr="00D174E1">
        <w:trPr>
          <w:trHeight w:val="525"/>
        </w:trPr>
        <w:tc>
          <w:tcPr>
            <w:tcW w:w="2405" w:type="dxa"/>
            <w:vMerge/>
            <w:vAlign w:val="center"/>
          </w:tcPr>
          <w:p w14:paraId="1D5EAF6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  <w:tc>
          <w:tcPr>
            <w:tcW w:w="3827" w:type="dxa"/>
          </w:tcPr>
          <w:p w14:paraId="547AC97E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A82010">
              <w:rPr>
                <w:rFonts w:ascii="Arial" w:eastAsia="MS PGothic" w:hAnsi="Arial" w:cs="Arial"/>
              </w:rPr>
              <w:t>FAS</w:t>
            </w:r>
            <w:r>
              <w:rPr>
                <w:rFonts w:ascii="Arial" w:eastAsia="MS PGothic" w:hAnsi="Arial" w:cs="Arial"/>
              </w:rPr>
              <w:t>*</w:t>
            </w:r>
          </w:p>
        </w:tc>
        <w:tc>
          <w:tcPr>
            <w:tcW w:w="3119" w:type="dxa"/>
            <w:vMerge/>
            <w:vAlign w:val="center"/>
          </w:tcPr>
          <w:p w14:paraId="0590DBE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0AEEB44D" w14:textId="77777777" w:rsidTr="00D174E1">
        <w:trPr>
          <w:trHeight w:val="525"/>
        </w:trPr>
        <w:tc>
          <w:tcPr>
            <w:tcW w:w="2405" w:type="dxa"/>
            <w:vMerge/>
            <w:vAlign w:val="center"/>
          </w:tcPr>
          <w:p w14:paraId="24F14159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  <w:tc>
          <w:tcPr>
            <w:tcW w:w="3827" w:type="dxa"/>
          </w:tcPr>
          <w:p w14:paraId="5664B079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MFIS</w:t>
            </w:r>
            <w:r>
              <w:rPr>
                <w:rFonts w:ascii="Arial" w:eastAsia="MS PGothic" w:hAnsi="Arial" w:cs="Arial"/>
              </w:rPr>
              <w:t>*</w:t>
            </w:r>
          </w:p>
        </w:tc>
        <w:tc>
          <w:tcPr>
            <w:tcW w:w="3119" w:type="dxa"/>
            <w:vMerge/>
            <w:vAlign w:val="center"/>
          </w:tcPr>
          <w:p w14:paraId="6FD2F42F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</w:tc>
      </w:tr>
      <w:tr w:rsidR="00BF0E13" w:rsidRPr="00EE2D51" w14:paraId="79E367B5" w14:textId="77777777" w:rsidTr="00D174E1">
        <w:trPr>
          <w:trHeight w:val="300"/>
        </w:trPr>
        <w:tc>
          <w:tcPr>
            <w:tcW w:w="6232" w:type="dxa"/>
            <w:gridSpan w:val="2"/>
            <w:vAlign w:val="center"/>
          </w:tcPr>
          <w:p w14:paraId="02879FF4" w14:textId="77777777" w:rsidR="00BF0E13" w:rsidRPr="00207A3F" w:rsidRDefault="00BF0E13" w:rsidP="00D174E1">
            <w:pPr>
              <w:jc w:val="left"/>
              <w:rPr>
                <w:rFonts w:ascii="Arial" w:eastAsia="MS PGothic" w:hAnsi="Arial" w:cs="Arial"/>
                <w:b/>
                <w:bCs/>
              </w:rPr>
            </w:pPr>
            <w:r w:rsidRPr="00207A3F">
              <w:rPr>
                <w:rFonts w:ascii="Arial" w:eastAsia="MS PGothic" w:hAnsi="Arial" w:cs="Arial"/>
                <w:b/>
                <w:bCs/>
              </w:rPr>
              <w:t>Clinical Assessments</w:t>
            </w:r>
          </w:p>
        </w:tc>
        <w:tc>
          <w:tcPr>
            <w:tcW w:w="3119" w:type="dxa"/>
            <w:vMerge w:val="restart"/>
            <w:vAlign w:val="center"/>
          </w:tcPr>
          <w:p w14:paraId="28100D0A" w14:textId="77777777" w:rsidR="00BF0E13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  <w:p w14:paraId="0AD0F15C" w14:textId="77777777" w:rsidR="00BF0E13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  <w:p w14:paraId="0CC80DCC" w14:textId="77777777" w:rsidR="00BF0E13" w:rsidRDefault="00BF0E13" w:rsidP="00D174E1">
            <w:pPr>
              <w:jc w:val="left"/>
              <w:rPr>
                <w:rFonts w:ascii="Arial" w:eastAsia="MS PGothic" w:hAnsi="Arial" w:cs="Arial"/>
              </w:rPr>
            </w:pPr>
          </w:p>
          <w:p w14:paraId="71C60780" w14:textId="77777777" w:rsidR="00BF0E13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Day 0 and +28 days after IMP</w:t>
            </w:r>
            <w:r>
              <w:rPr>
                <w:rFonts w:ascii="Arial" w:eastAsia="MS PGothic" w:hAnsi="Arial" w:cs="Arial"/>
              </w:rPr>
              <w:t xml:space="preserve"> (Day 44)</w:t>
            </w:r>
          </w:p>
          <w:p w14:paraId="551AA2C6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  <w:r w:rsidRPr="00197139">
              <w:rPr>
                <w:rFonts w:ascii="Arial" w:eastAsia="MS PGothic" w:hAnsi="Arial" w:cs="Arial"/>
              </w:rPr>
              <w:t>*Days 7, 8, 51, 52</w:t>
            </w:r>
          </w:p>
        </w:tc>
      </w:tr>
      <w:tr w:rsidR="00BF0E13" w:rsidRPr="00EE2D51" w14:paraId="502F2574" w14:textId="77777777" w:rsidTr="00D174E1">
        <w:trPr>
          <w:trHeight w:val="300"/>
        </w:trPr>
        <w:tc>
          <w:tcPr>
            <w:tcW w:w="2405" w:type="dxa"/>
            <w:vAlign w:val="center"/>
          </w:tcPr>
          <w:p w14:paraId="240E8C8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Physiological function</w:t>
            </w:r>
            <w:r>
              <w:rPr>
                <w:rFonts w:ascii="Arial" w:eastAsia="MS PGothic" w:hAnsi="Arial" w:cs="Arial"/>
              </w:rPr>
              <w:t xml:space="preserve"> and</w:t>
            </w:r>
            <w:r w:rsidRPr="00EE2D51">
              <w:rPr>
                <w:rFonts w:ascii="Arial" w:eastAsia="MS PGothic" w:hAnsi="Arial" w:cs="Arial"/>
              </w:rPr>
              <w:t xml:space="preserve"> physical function</w:t>
            </w:r>
          </w:p>
        </w:tc>
        <w:tc>
          <w:tcPr>
            <w:tcW w:w="3827" w:type="dxa"/>
          </w:tcPr>
          <w:p w14:paraId="5D3207F5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Maximum inspiratory and expiratory mouth pressure (MIP and MEP)</w:t>
            </w:r>
          </w:p>
          <w:p w14:paraId="636837F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Lung function</w:t>
            </w:r>
          </w:p>
          <w:p w14:paraId="3036EEA5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Blood pressure*</w:t>
            </w:r>
          </w:p>
          <w:p w14:paraId="466DFE77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Oxygen saturation *</w:t>
            </w:r>
          </w:p>
          <w:p w14:paraId="04C802DC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Breathing rate*</w:t>
            </w:r>
          </w:p>
          <w:p w14:paraId="08226D6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Resting heart rate</w:t>
            </w:r>
          </w:p>
          <w:p w14:paraId="2BCC5DE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>
              <w:rPr>
                <w:rFonts w:ascii="Arial" w:eastAsia="MS PGothic" w:hAnsi="Arial" w:cs="Arial"/>
              </w:rPr>
              <w:t>Body t</w:t>
            </w:r>
            <w:r w:rsidRPr="00EE2D51">
              <w:rPr>
                <w:rFonts w:ascii="Arial" w:eastAsia="MS PGothic" w:hAnsi="Arial" w:cs="Arial"/>
              </w:rPr>
              <w:t>emperature*</w:t>
            </w:r>
          </w:p>
          <w:p w14:paraId="5A3ABA4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6-minute walk test (6MWT, Borg 6-20 and SPO</w:t>
            </w:r>
            <w:r w:rsidRPr="00EE2D51">
              <w:rPr>
                <w:rFonts w:ascii="Arial" w:eastAsia="MS PGothic" w:hAnsi="Arial" w:cs="Arial"/>
                <w:vertAlign w:val="superscript"/>
              </w:rPr>
              <w:t>2</w:t>
            </w:r>
            <w:r w:rsidRPr="00EE2D51">
              <w:rPr>
                <w:rFonts w:ascii="Arial" w:eastAsia="MS PGothic" w:hAnsi="Arial" w:cs="Arial"/>
              </w:rPr>
              <w:t>)</w:t>
            </w:r>
          </w:p>
        </w:tc>
        <w:tc>
          <w:tcPr>
            <w:tcW w:w="3119" w:type="dxa"/>
            <w:vMerge/>
          </w:tcPr>
          <w:p w14:paraId="1A086C4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  <w:highlight w:val="yellow"/>
              </w:rPr>
            </w:pPr>
          </w:p>
        </w:tc>
      </w:tr>
      <w:tr w:rsidR="00BF0E13" w:rsidRPr="00EE2D51" w14:paraId="3973413C" w14:textId="77777777" w:rsidTr="00D174E1">
        <w:trPr>
          <w:trHeight w:val="300"/>
        </w:trPr>
        <w:tc>
          <w:tcPr>
            <w:tcW w:w="2405" w:type="dxa"/>
          </w:tcPr>
          <w:p w14:paraId="3BBCB36D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Biomarker and inflammatory profiles</w:t>
            </w:r>
          </w:p>
        </w:tc>
        <w:tc>
          <w:tcPr>
            <w:tcW w:w="3827" w:type="dxa"/>
          </w:tcPr>
          <w:p w14:paraId="513C1FBC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Full blood count</w:t>
            </w:r>
          </w:p>
          <w:p w14:paraId="0A9A3F8C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CRP</w:t>
            </w:r>
          </w:p>
          <w:p w14:paraId="5A84A5F0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d-dimers</w:t>
            </w:r>
          </w:p>
          <w:p w14:paraId="2DDEDE5A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IL6</w:t>
            </w:r>
          </w:p>
          <w:p w14:paraId="5A04E754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IL16</w:t>
            </w:r>
          </w:p>
          <w:p w14:paraId="092B6A0B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IL18</w:t>
            </w:r>
          </w:p>
          <w:p w14:paraId="618FEA61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PCT</w:t>
            </w:r>
          </w:p>
          <w:p w14:paraId="691F88E4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IFN-Y</w:t>
            </w:r>
          </w:p>
          <w:p w14:paraId="79D3841E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TNF-A</w:t>
            </w:r>
          </w:p>
          <w:p w14:paraId="42806550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t>VEGF-D</w:t>
            </w:r>
          </w:p>
          <w:p w14:paraId="52BB95FD" w14:textId="77777777" w:rsidR="00BF0E13" w:rsidRPr="00C000E7" w:rsidRDefault="00BF0E13" w:rsidP="00D174E1">
            <w:pPr>
              <w:jc w:val="left"/>
              <w:rPr>
                <w:rFonts w:ascii="Arial" w:eastAsia="MS PGothic" w:hAnsi="Arial" w:cs="Arial"/>
                <w:lang w:val="it-IT"/>
              </w:rPr>
            </w:pPr>
            <w:r w:rsidRPr="00C000E7">
              <w:rPr>
                <w:rFonts w:ascii="Arial" w:eastAsia="MS PGothic" w:hAnsi="Arial" w:cs="Arial"/>
                <w:lang w:val="it-IT"/>
              </w:rPr>
              <w:lastRenderedPageBreak/>
              <w:t>HLA-DP</w:t>
            </w:r>
          </w:p>
          <w:p w14:paraId="0175E24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Vitamin D</w:t>
            </w:r>
          </w:p>
        </w:tc>
        <w:tc>
          <w:tcPr>
            <w:tcW w:w="3119" w:type="dxa"/>
            <w:vAlign w:val="center"/>
          </w:tcPr>
          <w:p w14:paraId="22768FB1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  <w:highlight w:val="yellow"/>
              </w:rPr>
            </w:pPr>
            <w:r w:rsidRPr="00EE2D51">
              <w:rPr>
                <w:rFonts w:ascii="Arial" w:eastAsia="MS PGothic" w:hAnsi="Arial" w:cs="Arial"/>
              </w:rPr>
              <w:lastRenderedPageBreak/>
              <w:t>Day</w:t>
            </w:r>
            <w:r>
              <w:rPr>
                <w:rFonts w:ascii="Arial" w:eastAsia="MS PGothic" w:hAnsi="Arial" w:cs="Arial"/>
              </w:rPr>
              <w:t>s</w:t>
            </w:r>
            <w:r w:rsidRPr="00EE2D51">
              <w:rPr>
                <w:rFonts w:ascii="Arial" w:eastAsia="MS PGothic" w:hAnsi="Arial" w:cs="Arial"/>
              </w:rPr>
              <w:t xml:space="preserve"> 0</w:t>
            </w:r>
            <w:r>
              <w:rPr>
                <w:rFonts w:ascii="Arial" w:eastAsia="MS PGothic" w:hAnsi="Arial" w:cs="Arial"/>
              </w:rPr>
              <w:t xml:space="preserve">, 7, 8, 44, 51, 52 </w:t>
            </w:r>
          </w:p>
        </w:tc>
      </w:tr>
      <w:tr w:rsidR="00BF0E13" w:rsidRPr="00EE2D51" w14:paraId="5A9003E6" w14:textId="77777777" w:rsidTr="00D174E1">
        <w:trPr>
          <w:trHeight w:val="300"/>
        </w:trPr>
        <w:tc>
          <w:tcPr>
            <w:tcW w:w="2405" w:type="dxa"/>
          </w:tcPr>
          <w:p w14:paraId="159A682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Tolerance to physical stimulus (CPET)</w:t>
            </w:r>
          </w:p>
        </w:tc>
        <w:tc>
          <w:tcPr>
            <w:tcW w:w="3827" w:type="dxa"/>
          </w:tcPr>
          <w:p w14:paraId="5F9AC875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First ventilatory threshold (VT1)</w:t>
            </w:r>
          </w:p>
          <w:p w14:paraId="500908FE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Respiratory compensation point (RCP)</w:t>
            </w:r>
          </w:p>
          <w:p w14:paraId="05AAE5F9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Peak oxygen consumption (V̇O2peak) </w:t>
            </w:r>
          </w:p>
          <w:p w14:paraId="084531F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vertAlign w:val="subscript"/>
              </w:rPr>
            </w:pPr>
            <w:r w:rsidRPr="00EE2D51">
              <w:rPr>
                <w:rFonts w:ascii="Arial" w:eastAsia="MS PGothic" w:hAnsi="Arial" w:cs="Arial"/>
              </w:rPr>
              <w:t>End-tidal CO</w:t>
            </w:r>
            <w:r w:rsidRPr="00EE2D51">
              <w:rPr>
                <w:rFonts w:ascii="Arial" w:eastAsia="MS PGothic" w:hAnsi="Arial" w:cs="Arial"/>
                <w:vertAlign w:val="subscript"/>
              </w:rPr>
              <w:t>2</w:t>
            </w:r>
          </w:p>
        </w:tc>
        <w:tc>
          <w:tcPr>
            <w:tcW w:w="3119" w:type="dxa"/>
            <w:vAlign w:val="center"/>
          </w:tcPr>
          <w:p w14:paraId="61998BA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  <w:r w:rsidRPr="00EE2D51">
              <w:rPr>
                <w:rFonts w:ascii="Arial" w:eastAsia="MS PGothic" w:hAnsi="Arial" w:cs="Arial"/>
              </w:rPr>
              <w:t>Day</w:t>
            </w:r>
            <w:r>
              <w:rPr>
                <w:rFonts w:ascii="Arial" w:eastAsia="MS PGothic" w:hAnsi="Arial" w:cs="Arial"/>
              </w:rPr>
              <w:t>s</w:t>
            </w:r>
            <w:r w:rsidRPr="00EE2D51">
              <w:rPr>
                <w:rFonts w:ascii="Arial" w:eastAsia="MS PGothic" w:hAnsi="Arial" w:cs="Arial"/>
              </w:rPr>
              <w:t xml:space="preserve"> 7, 8, 51 and 52</w:t>
            </w:r>
          </w:p>
        </w:tc>
      </w:tr>
      <w:tr w:rsidR="00BF0E13" w:rsidRPr="00EE2D51" w14:paraId="67004116" w14:textId="77777777" w:rsidTr="00D174E1">
        <w:trPr>
          <w:trHeight w:val="300"/>
        </w:trPr>
        <w:tc>
          <w:tcPr>
            <w:tcW w:w="2405" w:type="dxa"/>
          </w:tcPr>
          <w:p w14:paraId="61F2742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Daily Symptoms and heart rate variability (VISIBLE)</w:t>
            </w:r>
          </w:p>
        </w:tc>
        <w:tc>
          <w:tcPr>
            <w:tcW w:w="3827" w:type="dxa"/>
          </w:tcPr>
          <w:p w14:paraId="2D5F0810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Symptom Score Inventory</w:t>
            </w:r>
          </w:p>
          <w:p w14:paraId="31C50603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Heart rate variability</w:t>
            </w:r>
          </w:p>
        </w:tc>
        <w:tc>
          <w:tcPr>
            <w:tcW w:w="3119" w:type="dxa"/>
            <w:vAlign w:val="center"/>
          </w:tcPr>
          <w:p w14:paraId="6E845D68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highlight w:val="yellow"/>
              </w:rPr>
            </w:pPr>
            <w:r>
              <w:rPr>
                <w:rFonts w:ascii="Arial" w:eastAsia="MS PGothic" w:hAnsi="Arial" w:cs="Arial"/>
              </w:rPr>
              <w:t>Day 0</w:t>
            </w:r>
            <w:r w:rsidRPr="00EE2D51">
              <w:rPr>
                <w:rFonts w:ascii="Arial" w:eastAsia="MS PGothic" w:hAnsi="Arial" w:cs="Arial"/>
              </w:rPr>
              <w:t xml:space="preserve"> to day 52 </w:t>
            </w:r>
          </w:p>
        </w:tc>
      </w:tr>
      <w:tr w:rsidR="00BF0E13" w:rsidRPr="00EE2D51" w14:paraId="06A99235" w14:textId="77777777" w:rsidTr="00D174E1">
        <w:trPr>
          <w:trHeight w:val="300"/>
        </w:trPr>
        <w:tc>
          <w:tcPr>
            <w:tcW w:w="2405" w:type="dxa"/>
          </w:tcPr>
          <w:p w14:paraId="0FCDCED3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Clinical Safety and tolerance parameters of the use of Remdesivir </w:t>
            </w:r>
          </w:p>
        </w:tc>
        <w:tc>
          <w:tcPr>
            <w:tcW w:w="3827" w:type="dxa"/>
          </w:tcPr>
          <w:p w14:paraId="6584225B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AE/SAE/AR/SAR/SUSAR</w:t>
            </w:r>
          </w:p>
        </w:tc>
        <w:tc>
          <w:tcPr>
            <w:tcW w:w="3119" w:type="dxa"/>
            <w:vAlign w:val="center"/>
          </w:tcPr>
          <w:p w14:paraId="1926F59F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>
              <w:rPr>
                <w:rFonts w:ascii="Arial" w:eastAsia="MS PGothic" w:hAnsi="Arial" w:cs="Arial"/>
              </w:rPr>
              <w:t>Consent to day 52 (53 if Exeter)</w:t>
            </w:r>
          </w:p>
        </w:tc>
      </w:tr>
      <w:tr w:rsidR="00BF0E13" w:rsidRPr="00EE2D51" w14:paraId="3BF2A409" w14:textId="77777777" w:rsidTr="00D174E1">
        <w:trPr>
          <w:trHeight w:val="300"/>
        </w:trPr>
        <w:tc>
          <w:tcPr>
            <w:tcW w:w="2405" w:type="dxa"/>
          </w:tcPr>
          <w:p w14:paraId="325AACA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(Exeter patients only)</w:t>
            </w:r>
          </w:p>
          <w:p w14:paraId="5B9D913A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 xml:space="preserve">Microvascular function: whole body FDG uptake using PET/CT methods </w:t>
            </w:r>
          </w:p>
        </w:tc>
        <w:tc>
          <w:tcPr>
            <w:tcW w:w="3827" w:type="dxa"/>
          </w:tcPr>
          <w:p w14:paraId="46D937C2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  <w:bCs/>
                <w:color w:val="0000FF"/>
              </w:rPr>
            </w:pPr>
            <w:r w:rsidRPr="00EE2D51">
              <w:rPr>
                <w:rFonts w:ascii="Arial" w:eastAsia="MS PGothic" w:hAnsi="Arial" w:cs="Arial"/>
              </w:rPr>
              <w:t>Standardised uptake volume (SUV) and Ki of 18FDG uptake observed during PET/CT scans.</w:t>
            </w:r>
          </w:p>
        </w:tc>
        <w:tc>
          <w:tcPr>
            <w:tcW w:w="3119" w:type="dxa"/>
            <w:vAlign w:val="center"/>
          </w:tcPr>
          <w:p w14:paraId="163CF794" w14:textId="77777777" w:rsidR="00BF0E13" w:rsidRPr="00EE2D51" w:rsidRDefault="00BF0E13" w:rsidP="00D174E1">
            <w:pPr>
              <w:jc w:val="left"/>
              <w:rPr>
                <w:rFonts w:ascii="Arial" w:eastAsia="MS PGothic" w:hAnsi="Arial" w:cs="Arial"/>
              </w:rPr>
            </w:pPr>
            <w:r w:rsidRPr="00EE2D51">
              <w:rPr>
                <w:rFonts w:ascii="Arial" w:eastAsia="MS PGothic" w:hAnsi="Arial" w:cs="Arial"/>
              </w:rPr>
              <w:t>Days 9 and 53</w:t>
            </w:r>
          </w:p>
        </w:tc>
      </w:tr>
      <w:bookmarkEnd w:id="1"/>
      <w:bookmarkEnd w:id="2"/>
      <w:bookmarkEnd w:id="3"/>
    </w:tbl>
    <w:p w14:paraId="0FC76D02" w14:textId="77777777" w:rsidR="00556B70" w:rsidRDefault="00556B70"/>
    <w:sectPr w:rsidR="00556B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E13"/>
    <w:rsid w:val="00556B70"/>
    <w:rsid w:val="006910DE"/>
    <w:rsid w:val="007E3DC0"/>
    <w:rsid w:val="00BF0E13"/>
    <w:rsid w:val="00EA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06EC6"/>
  <w15:chartTrackingRefBased/>
  <w15:docId w15:val="{9DF98B41-8D5A-4748-A264-9B77A05F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E13"/>
    <w:pPr>
      <w:spacing w:after="120" w:line="300" w:lineRule="exact"/>
      <w:jc w:val="both"/>
    </w:pPr>
    <w:rPr>
      <w:rFonts w:eastAsiaTheme="minorEastAsia"/>
      <w:kern w:val="0"/>
      <w:szCs w:val="24"/>
      <w:lang w:eastAsia="en-GB"/>
      <w14:ligatures w14:val="none"/>
    </w:rPr>
  </w:style>
  <w:style w:type="paragraph" w:styleId="Heading2">
    <w:name w:val="heading 2"/>
    <w:aliases w:val="Heading B"/>
    <w:basedOn w:val="Normal"/>
    <w:next w:val="Normal"/>
    <w:link w:val="Heading2Char"/>
    <w:uiPriority w:val="9"/>
    <w:qFormat/>
    <w:rsid w:val="00BF0E13"/>
    <w:pPr>
      <w:keepNext/>
      <w:spacing w:before="240" w:after="0"/>
      <w:ind w:left="576" w:hanging="576"/>
      <w:outlineLvl w:val="1"/>
    </w:pPr>
    <w:rPr>
      <w:rFonts w:ascii="Arial" w:eastAsia="MS Gothic" w:hAnsi="Arial" w:cs="Times New Roman"/>
      <w:b/>
      <w:i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Heading B Char"/>
    <w:basedOn w:val="DefaultParagraphFont"/>
    <w:link w:val="Heading2"/>
    <w:uiPriority w:val="9"/>
    <w:rsid w:val="00BF0E13"/>
    <w:rPr>
      <w:rFonts w:ascii="Arial" w:eastAsia="MS Gothic" w:hAnsi="Arial" w:cs="Times New Roman"/>
      <w:b/>
      <w:iCs/>
      <w:kern w:val="0"/>
      <w:sz w:val="24"/>
      <w:szCs w:val="2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2557</Characters>
  <Application>Microsoft Office Word</Application>
  <DocSecurity>0</DocSecurity>
  <Lines>21</Lines>
  <Paragraphs>5</Paragraphs>
  <ScaleCrop>false</ScaleCrop>
  <Company>University of Plymouth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Neilens</dc:creator>
  <cp:keywords/>
  <dc:description/>
  <cp:lastModifiedBy>Helen Neilens</cp:lastModifiedBy>
  <cp:revision>1</cp:revision>
  <dcterms:created xsi:type="dcterms:W3CDTF">2024-11-25T16:32:00Z</dcterms:created>
  <dcterms:modified xsi:type="dcterms:W3CDTF">2024-11-25T16:33:00Z</dcterms:modified>
</cp:coreProperties>
</file>