
<file path=[Content_Types].xml><?xml version="1.0" encoding="utf-8"?>
<Types xmlns="http://schemas.openxmlformats.org/package/2006/content-types">
  <Default Extension="png" ContentType="image/png"/>
  <Default Extension="emf" ContentType="image/x-emf"/>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856FA0">
      <w:pPr>
        <w:spacing w:line="480" w:lineRule="auto"/>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Supplementary Information of</w:t>
      </w:r>
    </w:p>
    <w:p w14:paraId="2035A1F4">
      <w:pPr>
        <w:spacing w:line="480" w:lineRule="auto"/>
        <w:jc w:val="both"/>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ArcMol Enables Task-Adaptive Spherical Representation Learning for Molecular Property Prediction</w:t>
      </w:r>
    </w:p>
    <w:p w14:paraId="20E3C4A1">
      <w:pPr>
        <w:spacing w:line="480" w:lineRule="auto"/>
        <w:jc w:val="left"/>
        <w:rPr>
          <w:rFonts w:ascii="Times New Roman" w:hAnsi="Times New Roman" w:eastAsia="等线" w:cs="Times New Roman"/>
        </w:rPr>
      </w:pPr>
      <w:r>
        <w:rPr>
          <w:rFonts w:ascii="Times New Roman" w:hAnsi="Times New Roman" w:eastAsia="等线" w:cs="Times New Roman"/>
          <w:bCs/>
          <w:iCs/>
          <w:sz w:val="24"/>
        </w:rPr>
        <w:t>Yurong Zou</w:t>
      </w:r>
      <w:r>
        <w:rPr>
          <w:rFonts w:ascii="Times New Roman" w:hAnsi="Times New Roman" w:eastAsia="等线" w:cs="Times New Roman"/>
          <w:bCs/>
          <w:iCs/>
          <w:sz w:val="24"/>
          <w:vertAlign w:val="superscript"/>
        </w:rPr>
        <w:t>1</w:t>
      </w:r>
      <w:r>
        <w:rPr>
          <w:rFonts w:ascii="Times New Roman" w:hAnsi="Times New Roman" w:eastAsia="等线" w:cs="Times New Roman"/>
          <w:bCs/>
          <w:iCs/>
          <w:sz w:val="24"/>
        </w:rPr>
        <w:t xml:space="preserve">, </w:t>
      </w:r>
      <w:bookmarkStart w:id="0" w:name="OLE_LINK33"/>
      <w:r>
        <w:rPr>
          <w:rFonts w:hint="eastAsia" w:ascii="Times New Roman" w:hAnsi="Times New Roman" w:eastAsia="等线" w:cs="Times New Roman"/>
          <w:bCs/>
          <w:iCs/>
          <w:sz w:val="24"/>
        </w:rPr>
        <w:t>Zhongning Guo</w:t>
      </w:r>
      <w:r>
        <w:rPr>
          <w:rFonts w:ascii="Times New Roman" w:hAnsi="Times New Roman" w:eastAsia="等线" w:cs="Times New Roman"/>
          <w:bCs/>
          <w:iCs/>
          <w:sz w:val="24"/>
          <w:vertAlign w:val="superscript"/>
        </w:rPr>
        <w:t>1</w:t>
      </w:r>
      <w:r>
        <w:rPr>
          <w:rFonts w:hint="eastAsia" w:ascii="Times New Roman" w:hAnsi="Times New Roman" w:eastAsia="等线" w:cs="Times New Roman"/>
          <w:bCs/>
          <w:iCs/>
          <w:sz w:val="24"/>
        </w:rPr>
        <w:t>, Zihan Zou</w:t>
      </w:r>
      <w:r>
        <w:rPr>
          <w:rFonts w:ascii="Times New Roman" w:hAnsi="Times New Roman" w:eastAsia="等线" w:cs="Times New Roman"/>
          <w:bCs/>
          <w:iCs/>
          <w:sz w:val="24"/>
          <w:vertAlign w:val="superscript"/>
        </w:rPr>
        <w:t>1</w:t>
      </w:r>
      <w:r>
        <w:rPr>
          <w:rFonts w:hint="eastAsia" w:ascii="Times New Roman" w:hAnsi="Times New Roman" w:eastAsia="等线" w:cs="Times New Roman"/>
          <w:bCs/>
          <w:iCs/>
          <w:sz w:val="24"/>
        </w:rPr>
        <w:t>, Duanyang Qin</w:t>
      </w:r>
      <w:r>
        <w:rPr>
          <w:rFonts w:ascii="Times New Roman" w:hAnsi="Times New Roman" w:eastAsia="等线" w:cs="Times New Roman"/>
          <w:bCs/>
          <w:iCs/>
          <w:sz w:val="24"/>
          <w:vertAlign w:val="superscript"/>
        </w:rPr>
        <w:t>1</w:t>
      </w:r>
      <w:r>
        <w:rPr>
          <w:rFonts w:hint="eastAsia" w:ascii="Times New Roman" w:hAnsi="Times New Roman" w:eastAsia="等线" w:cs="Times New Roman"/>
          <w:bCs/>
          <w:iCs/>
          <w:sz w:val="24"/>
        </w:rPr>
        <w:t>, Dingguo Xu</w:t>
      </w:r>
      <w:r>
        <w:rPr>
          <w:rFonts w:hint="eastAsia" w:ascii="Times New Roman" w:hAnsi="Times New Roman" w:cs="Times New Roman"/>
          <w:sz w:val="24"/>
          <w:vertAlign w:val="superscript"/>
        </w:rPr>
        <w:t>3</w:t>
      </w:r>
      <w:r>
        <w:rPr>
          <w:rFonts w:hint="eastAsia" w:ascii="Times New Roman" w:hAnsi="Times New Roman" w:eastAsia="等线" w:cs="Times New Roman"/>
          <w:bCs/>
          <w:iCs/>
          <w:sz w:val="24"/>
        </w:rPr>
        <w:t xml:space="preserve">, </w:t>
      </w:r>
      <w:r>
        <w:rPr>
          <w:rFonts w:ascii="Times New Roman" w:hAnsi="Times New Roman" w:eastAsia="等线" w:cs="Times New Roman"/>
          <w:bCs/>
          <w:iCs/>
          <w:sz w:val="24"/>
        </w:rPr>
        <w:t>Taijin Wang</w:t>
      </w:r>
      <w:bookmarkEnd w:id="0"/>
      <w:r>
        <w:rPr>
          <w:rFonts w:ascii="Times New Roman" w:hAnsi="Times New Roman" w:eastAsia="等线" w:cs="Times New Roman"/>
          <w:bCs/>
          <w:iCs/>
          <w:sz w:val="24"/>
          <w:vertAlign w:val="superscript"/>
        </w:rPr>
        <w:t>2,</w:t>
      </w:r>
      <w:r>
        <w:rPr>
          <w:rFonts w:hint="eastAsia" w:ascii="Times New Roman" w:hAnsi="Times New Roman" w:eastAsia="等线" w:cs="Times New Roman"/>
          <w:bCs/>
          <w:iCs/>
          <w:sz w:val="24"/>
          <w:vertAlign w:val="superscript"/>
          <w:lang w:val="en-US" w:eastAsia="zh-CN"/>
        </w:rPr>
        <w:t>*</w:t>
      </w:r>
      <w:r>
        <w:rPr>
          <w:rFonts w:ascii="Times New Roman" w:hAnsi="Times New Roman" w:eastAsia="等线" w:cs="Times New Roman"/>
          <w:bCs/>
          <w:iCs/>
          <w:sz w:val="24"/>
        </w:rPr>
        <w:t>and Lijuan Chen</w:t>
      </w:r>
      <w:r>
        <w:rPr>
          <w:rFonts w:ascii="Times New Roman" w:hAnsi="Times New Roman" w:eastAsia="等线" w:cs="Times New Roman"/>
          <w:bCs/>
          <w:iCs/>
          <w:sz w:val="24"/>
          <w:vertAlign w:val="superscript"/>
        </w:rPr>
        <w:t>1,2,</w:t>
      </w:r>
      <w:r>
        <w:rPr>
          <w:rFonts w:ascii="Times New Roman" w:hAnsi="Times New Roman" w:eastAsia="等线" w:cs="Times New Roman"/>
          <w:bCs/>
          <w:iCs/>
          <w:sz w:val="24"/>
        </w:rPr>
        <w:t>*</w:t>
      </w:r>
    </w:p>
    <w:p w14:paraId="5CFB16F3">
      <w:pPr>
        <w:spacing w:line="480" w:lineRule="auto"/>
        <w:rPr>
          <w:rFonts w:ascii="Times New Roman" w:hAnsi="Times New Roman" w:eastAsia="等线" w:cs="Times New Roman"/>
          <w:sz w:val="24"/>
        </w:rPr>
      </w:pPr>
      <w:r>
        <w:rPr>
          <w:rFonts w:ascii="Times New Roman" w:hAnsi="Times New Roman" w:eastAsia="等线" w:cs="Times New Roman"/>
          <w:sz w:val="24"/>
          <w:vertAlign w:val="superscript"/>
        </w:rPr>
        <w:t>1</w:t>
      </w:r>
      <w:bookmarkStart w:id="1" w:name="OLE_LINK65"/>
      <w:r>
        <w:rPr>
          <w:rFonts w:ascii="Times New Roman" w:hAnsi="Times New Roman" w:eastAsia="等线" w:cs="Times New Roman"/>
          <w:sz w:val="24"/>
        </w:rPr>
        <w:t>State Key Laboratory of Biotherapy and Collaborative Innovation Center of Biotherapy</w:t>
      </w:r>
      <w:bookmarkEnd w:id="1"/>
      <w:r>
        <w:rPr>
          <w:rFonts w:ascii="Times New Roman" w:hAnsi="Times New Roman" w:eastAsia="等线" w:cs="Times New Roman"/>
          <w:sz w:val="24"/>
        </w:rPr>
        <w:t>, West China Hospital, Sichuan University, Chengdu, 610041, China</w:t>
      </w:r>
    </w:p>
    <w:p w14:paraId="27AC468A">
      <w:pPr>
        <w:spacing w:line="480" w:lineRule="auto"/>
        <w:rPr>
          <w:rFonts w:ascii="Times New Roman" w:hAnsi="Times New Roman" w:eastAsia="等线" w:cs="Times New Roman"/>
          <w:sz w:val="24"/>
        </w:rPr>
      </w:pPr>
      <w:r>
        <w:rPr>
          <w:rFonts w:ascii="Times New Roman" w:hAnsi="Times New Roman" w:eastAsia="等线" w:cs="Times New Roman"/>
          <w:sz w:val="24"/>
          <w:vertAlign w:val="superscript"/>
        </w:rPr>
        <w:t>2</w:t>
      </w:r>
      <w:r>
        <w:rPr>
          <w:rFonts w:ascii="Times New Roman" w:hAnsi="Times New Roman" w:eastAsia="等线" w:cs="Times New Roman"/>
          <w:sz w:val="24"/>
        </w:rPr>
        <w:t>Chengdu Zenitar Biomedical Technology Co., Ltd., Chengdu, 610045, China</w:t>
      </w:r>
    </w:p>
    <w:p w14:paraId="171AE2F1">
      <w:pPr>
        <w:spacing w:line="480" w:lineRule="auto"/>
        <w:rPr>
          <w:rFonts w:ascii="Times New Roman" w:hAnsi="Times New Roman" w:eastAsia="等线" w:cs="Times New Roman"/>
          <w:sz w:val="24"/>
        </w:rPr>
      </w:pPr>
      <w:r>
        <w:rPr>
          <w:rFonts w:hint="eastAsia" w:ascii="Times New Roman" w:hAnsi="Times New Roman" w:eastAsia="等线" w:cs="Times New Roman"/>
          <w:sz w:val="24"/>
          <w:vertAlign w:val="superscript"/>
        </w:rPr>
        <w:t>3</w:t>
      </w:r>
      <w:r>
        <w:rPr>
          <w:rFonts w:ascii="Times New Roman" w:hAnsi="Times New Roman" w:eastAsia="等线" w:cs="Times New Roman"/>
          <w:sz w:val="24"/>
        </w:rPr>
        <w:t>MOE Key Laboratory of Green Chemistry and Technology, College of Chemistry, Sichuan University, Chengdu, 610064, China</w:t>
      </w:r>
    </w:p>
    <w:p w14:paraId="59827226">
      <w:pPr>
        <w:widowControl/>
        <w:spacing w:line="480" w:lineRule="auto"/>
        <w:rPr>
          <w:rFonts w:ascii="Times New Roman" w:hAnsi="Times New Roman" w:eastAsia="宋体" w:cs="Times New Roman"/>
          <w:sz w:val="24"/>
        </w:rPr>
      </w:pPr>
      <w:r>
        <w:rPr>
          <w:rFonts w:ascii="Times New Roman" w:hAnsi="Times New Roman" w:eastAsia="宋体" w:cs="Times New Roman"/>
          <w:sz w:val="24"/>
        </w:rPr>
        <w:t xml:space="preserve">*Corresponding author: </w:t>
      </w:r>
      <w:r>
        <w:rPr>
          <w:rFonts w:ascii="Times New Roman" w:hAnsi="Times New Roman" w:eastAsia="等线" w:cs="Times New Roman"/>
          <w:sz w:val="24"/>
        </w:rPr>
        <w:t>State Key Laboratory of Biotherapy and Collaborative Innovation Center of Bi</w:t>
      </w:r>
      <w:bookmarkStart w:id="3" w:name="_GoBack"/>
      <w:bookmarkEnd w:id="3"/>
      <w:r>
        <w:rPr>
          <w:rFonts w:ascii="Times New Roman" w:hAnsi="Times New Roman" w:eastAsia="等线" w:cs="Times New Roman"/>
          <w:sz w:val="24"/>
        </w:rPr>
        <w:t>otherapy, West China Hospital, Sichuan University, Chengdu, 610041, China</w:t>
      </w:r>
      <w:r>
        <w:rPr>
          <w:rFonts w:ascii="Times New Roman" w:hAnsi="Times New Roman" w:eastAsia="宋体" w:cs="Times New Roman"/>
          <w:sz w:val="24"/>
        </w:rPr>
        <w:t xml:space="preserve"> and </w:t>
      </w:r>
      <w:r>
        <w:rPr>
          <w:rFonts w:ascii="Times New Roman" w:hAnsi="Times New Roman" w:eastAsia="等线" w:cs="Times New Roman"/>
          <w:sz w:val="24"/>
        </w:rPr>
        <w:t>Chengdu Zenitar Biomedical Technology Co., Ltd., Chengdu, 610045, China</w:t>
      </w:r>
      <w:r>
        <w:rPr>
          <w:rFonts w:ascii="Times New Roman" w:hAnsi="Times New Roman" w:eastAsia="宋体" w:cs="Times New Roman"/>
          <w:sz w:val="24"/>
        </w:rPr>
        <w:t xml:space="preserve"> </w:t>
      </w:r>
    </w:p>
    <w:p w14:paraId="7C61FE08">
      <w:pPr>
        <w:widowControl/>
        <w:spacing w:line="480" w:lineRule="auto"/>
        <w:rPr>
          <w:rFonts w:ascii="Times New Roman" w:hAnsi="Times New Roman" w:eastAsia="宋体" w:cs="Times New Roman"/>
          <w:sz w:val="24"/>
        </w:rPr>
      </w:pPr>
      <w:r>
        <w:rPr>
          <w:rFonts w:ascii="Times New Roman" w:hAnsi="Times New Roman" w:eastAsia="宋体" w:cs="Times New Roman"/>
          <w:sz w:val="24"/>
        </w:rPr>
        <w:t xml:space="preserve">E-mail addresses: </w:t>
      </w:r>
      <w:bookmarkStart w:id="2" w:name="OLE_LINK66"/>
      <w:r>
        <w:rPr>
          <w:rFonts w:ascii="Times New Roman" w:hAnsi="Times New Roman" w:cs="Times New Roman"/>
        </w:rPr>
        <w:fldChar w:fldCharType="begin"/>
      </w:r>
      <w:r>
        <w:rPr>
          <w:rFonts w:ascii="Times New Roman" w:hAnsi="Times New Roman" w:cs="Times New Roman"/>
        </w:rPr>
        <w:instrText xml:space="preserve"> HYPERLINK "mailto:lijuan17@hotmail.com" </w:instrText>
      </w:r>
      <w:r>
        <w:rPr>
          <w:rFonts w:ascii="Times New Roman" w:hAnsi="Times New Roman" w:cs="Times New Roman"/>
        </w:rPr>
        <w:fldChar w:fldCharType="separate"/>
      </w:r>
      <w:r>
        <w:rPr>
          <w:rFonts w:ascii="Times New Roman" w:hAnsi="Times New Roman" w:eastAsia="宋体" w:cs="Times New Roman"/>
          <w:sz w:val="24"/>
        </w:rPr>
        <w:t>chenlijuan125@163.com</w:t>
      </w:r>
      <w:r>
        <w:rPr>
          <w:rFonts w:ascii="Times New Roman" w:hAnsi="Times New Roman" w:eastAsia="宋体" w:cs="Times New Roman"/>
          <w:sz w:val="24"/>
        </w:rPr>
        <w:fldChar w:fldCharType="end"/>
      </w:r>
      <w:bookmarkEnd w:id="2"/>
      <w:r>
        <w:rPr>
          <w:rFonts w:ascii="Times New Roman" w:hAnsi="Times New Roman" w:eastAsia="宋体" w:cs="Times New Roman"/>
          <w:sz w:val="24"/>
        </w:rPr>
        <w:t>.</w:t>
      </w:r>
    </w:p>
    <w:p w14:paraId="58891723">
      <w:pPr>
        <w:rPr>
          <w:rFonts w:hint="default"/>
          <w:lang w:val="en-US" w:eastAsia="zh-CN"/>
        </w:rPr>
      </w:pPr>
    </w:p>
    <w:p w14:paraId="398946D8">
      <w:pPr>
        <w:rPr>
          <w:rFonts w:hint="default"/>
          <w:lang w:val="en-US" w:eastAsia="zh-CN"/>
        </w:rPr>
      </w:pPr>
    </w:p>
    <w:p w14:paraId="42355AE7">
      <w:pPr>
        <w:rPr>
          <w:rFonts w:hint="default"/>
          <w:lang w:val="en-US" w:eastAsia="zh-CN"/>
        </w:rPr>
      </w:pPr>
      <w:r>
        <w:rPr>
          <w:rFonts w:hint="default"/>
          <w:lang w:val="en-US" w:eastAsia="zh-CN"/>
        </w:rPr>
        <w:br w:type="page"/>
      </w:r>
    </w:p>
    <w:p w14:paraId="7166BA52">
      <w:pP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Supplementary Notes</w:t>
      </w:r>
    </w:p>
    <w:p w14:paraId="4F4663ED">
      <w:pPr>
        <w:rPr>
          <w:rFonts w:hint="eastAsia" w:ascii="Times New Roman" w:hAnsi="Times New Roman" w:cs="Times New Roman"/>
          <w:b/>
          <w:bCs/>
          <w:sz w:val="24"/>
          <w:szCs w:val="24"/>
          <w:lang w:val="en-US" w:eastAsia="zh-CN"/>
        </w:rPr>
      </w:pPr>
    </w:p>
    <w:p w14:paraId="3D5D0275">
      <w:pP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Calculation of Physicochemical Descriptors</w:t>
      </w:r>
    </w:p>
    <w:p w14:paraId="02755F1A">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Physicochemical descriptors were calculated using the open-source cheminformatics toolkit RDKit</w:t>
      </w:r>
      <w:r>
        <w:rPr>
          <w:rFonts w:hint="eastAsia" w:ascii="Times New Roman" w:hAnsi="Times New Roman" w:cs="Times New Roman"/>
          <w:sz w:val="24"/>
          <w:lang w:val="en-US" w:eastAsia="zh-CN"/>
        </w:rPr>
        <w:fldChar w:fldCharType="begin"/>
      </w:r>
      <w:r>
        <w:rPr>
          <w:rFonts w:hint="eastAsia" w:ascii="Times New Roman" w:hAnsi="Times New Roman" w:cs="Times New Roman"/>
          <w:sz w:val="24"/>
          <w:lang w:val="en-US" w:eastAsia="zh-CN"/>
        </w:rPr>
        <w:instrText xml:space="preserve"> ADDIN EN.CITE &lt;EndNote&gt;&lt;Cite&gt;&lt;Author&gt;Landrum&lt;/Author&gt;&lt;Year&gt;2013&lt;/Year&gt;&lt;RecNum&gt;624&lt;/RecNum&gt;&lt;DisplayText&gt;&lt;style face="superscript"&gt;1&lt;/style&gt;&lt;/DisplayText&gt;&lt;record&gt;&lt;rec-number&gt;624&lt;/rec-number&gt;&lt;foreign-keys&gt;&lt;key app="EN" db-id="59xxxwf9ndvvwjev9tjxepeax5dxa2peepp9" timestamp="1769396779"&gt;624&lt;/key&gt;&lt;/foreign-keys&gt;&lt;ref-type name="Web Page"&gt;12&lt;/ref-type&gt;&lt;contributors&gt;&lt;authors&gt;&lt;author&gt;Landrum, G.&lt;/author&gt;&lt;/authors&gt;&lt;/contributors&gt;&lt;titles&gt;&lt;title&gt;RDKit: A software suite for cheminformatics, computational chemistry, and predictive modeling&lt;/title&gt;&lt;/titles&gt;&lt;number&gt;October 18, 2022&lt;/number&gt;&lt;dates&gt;&lt;year&gt;2013&lt;/year&gt;&lt;/dates&gt;&lt;urls&gt;&lt;related-urls&gt;&lt;url&gt;https://www.rdkit.org/&lt;/url&gt;&lt;/related-urls&gt;&lt;/urls&gt;&lt;/record&gt;&lt;/Cite&gt;&lt;/EndNote&gt;</w:instrText>
      </w:r>
      <w:r>
        <w:rPr>
          <w:rFonts w:hint="eastAsia" w:ascii="Times New Roman" w:hAnsi="Times New Roman" w:cs="Times New Roman"/>
          <w:sz w:val="24"/>
          <w:lang w:val="en-US" w:eastAsia="zh-CN"/>
        </w:rPr>
        <w:fldChar w:fldCharType="separate"/>
      </w:r>
      <w:r>
        <w:rPr>
          <w:rFonts w:hint="eastAsia" w:ascii="Times New Roman" w:hAnsi="Times New Roman" w:cs="Times New Roman" w:eastAsiaTheme="minorEastAsia"/>
          <w:kern w:val="2"/>
          <w:sz w:val="24"/>
          <w:szCs w:val="24"/>
          <w:vertAlign w:val="superscript"/>
          <w:lang w:val="en-US" w:eastAsia="zh-CN" w:bidi="ar-SA"/>
        </w:rPr>
        <w:t>1</w:t>
      </w:r>
      <w:r>
        <w:rPr>
          <w:rFonts w:hint="eastAsia" w:ascii="Times New Roman" w:hAnsi="Times New Roman" w:cs="Times New Roman"/>
          <w:sz w:val="24"/>
          <w:lang w:val="en-US" w:eastAsia="zh-CN"/>
        </w:rPr>
        <w:fldChar w:fldCharType="end"/>
      </w:r>
      <w:r>
        <w:rPr>
          <w:rFonts w:hint="eastAsia" w:ascii="Times New Roman" w:hAnsi="Times New Roman" w:cs="Times New Roman"/>
          <w:sz w:val="24"/>
          <w:lang w:val="en-US" w:eastAsia="zh-CN"/>
        </w:rPr>
        <w:t xml:space="preserve"> (version 2023.9.4). Molecular structures were converted into canonical SMILES representations and processed to generate a total of 210 molecular descriptors, covering physicochemical and topological features, such as molecular weight (MolWt), octanol-water partition coefficient (MolLogP), topological polar surface area (TPSA), hydrogen bond donors and acceptors, rotatable bonds, ring-related descriptors, and other connectivity- and shape-related indices. All molecules were sanitized prior to descriptor calculation to ensure chemically valid structures.</w:t>
      </w:r>
    </w:p>
    <w:p w14:paraId="17DB2E6A">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cs="Times New Roman"/>
          <w:sz w:val="24"/>
          <w:lang w:val="en-US" w:eastAsia="zh-CN"/>
        </w:rPr>
      </w:pPr>
    </w:p>
    <w:p w14:paraId="030D481B">
      <w:pP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Molecular Representations in ArcMol</w:t>
      </w:r>
    </w:p>
    <w:p w14:paraId="241A1D96">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ArcMol integrates 14 complementary molecular representations across four categories: knowledge-based fingerprints, molecular language models, 2D graph-based self-supervised representations, and 3D geometry-aware representations, enabling multi-level molecular characterization. Knowledge-based fingerprints include RDKit fingerprints encoding topological substructures,</w:t>
      </w:r>
      <w:r>
        <w:rPr>
          <w:rFonts w:hint="eastAsia" w:ascii="Times New Roman" w:hAnsi="Times New Roman" w:cs="Times New Roman"/>
          <w:sz w:val="24"/>
          <w:lang w:val="en-US" w:eastAsia="zh-CN"/>
        </w:rPr>
        <w:fldChar w:fldCharType="begin"/>
      </w:r>
      <w:r>
        <w:rPr>
          <w:rFonts w:hint="eastAsia" w:ascii="Times New Roman" w:hAnsi="Times New Roman" w:cs="Times New Roman"/>
          <w:sz w:val="24"/>
          <w:lang w:val="en-US" w:eastAsia="zh-CN"/>
        </w:rPr>
        <w:instrText xml:space="preserve"> ADDIN EN.CITE &lt;EndNote&gt;&lt;Cite&gt;&lt;Author&gt;Landrum&lt;/Author&gt;&lt;Year&gt;2013&lt;/Year&gt;&lt;RecNum&gt;624&lt;/RecNum&gt;&lt;DisplayText&gt;&lt;style face="superscript"&gt;1&lt;/style&gt;&lt;/DisplayText&gt;&lt;record&gt;&lt;rec-number&gt;624&lt;/rec-number&gt;&lt;foreign-keys&gt;&lt;key app="EN" db-id="59xxxwf9ndvvwjev9tjxepeax5dxa2peepp9" timestamp="1769396779"&gt;624&lt;/key&gt;&lt;/foreign-keys&gt;&lt;ref-type name="Web Page"&gt;12&lt;/ref-type&gt;&lt;contributors&gt;&lt;authors&gt;&lt;author&gt;Landrum, G.&lt;/author&gt;&lt;/authors&gt;&lt;/contributors&gt;&lt;titles&gt;&lt;title&gt;RDKit: A software suite for cheminformatics, computational chemistry, and predictive modeling&lt;/title&gt;&lt;/titles&gt;&lt;number&gt;October 18, 2022&lt;/number&gt;&lt;dates&gt;&lt;year&gt;2013&lt;/year&gt;&lt;/dates&gt;&lt;urls&gt;&lt;related-urls&gt;&lt;url&gt;https://www.rdkit.org/&lt;/url&gt;&lt;/related-urls&gt;&lt;/urls&gt;&lt;/record&gt;&lt;/Cite&gt;&lt;/EndNote&gt;</w:instrText>
      </w:r>
      <w:r>
        <w:rPr>
          <w:rFonts w:hint="eastAsia" w:ascii="Times New Roman" w:hAnsi="Times New Roman" w:cs="Times New Roman"/>
          <w:sz w:val="24"/>
          <w:lang w:val="en-US" w:eastAsia="zh-CN"/>
        </w:rPr>
        <w:fldChar w:fldCharType="separate"/>
      </w:r>
      <w:r>
        <w:rPr>
          <w:rFonts w:hint="eastAsia" w:ascii="Times New Roman" w:hAnsi="Times New Roman" w:cs="Times New Roman" w:eastAsiaTheme="minorEastAsia"/>
          <w:kern w:val="2"/>
          <w:sz w:val="24"/>
          <w:szCs w:val="24"/>
          <w:vertAlign w:val="superscript"/>
          <w:lang w:val="en-US" w:eastAsia="zh-CN" w:bidi="ar-SA"/>
        </w:rPr>
        <w:t>1</w:t>
      </w:r>
      <w:r>
        <w:rPr>
          <w:rFonts w:hint="eastAsia" w:ascii="Times New Roman" w:hAnsi="Times New Roman" w:cs="Times New Roman"/>
          <w:sz w:val="24"/>
          <w:lang w:val="en-US" w:eastAsia="zh-CN"/>
        </w:rPr>
        <w:fldChar w:fldCharType="end"/>
      </w:r>
      <w:r>
        <w:rPr>
          <w:rFonts w:hint="eastAsia" w:ascii="Times New Roman" w:hAnsi="Times New Roman" w:cs="Times New Roman"/>
          <w:sz w:val="24"/>
          <w:lang w:val="en-US" w:eastAsia="zh-CN"/>
        </w:rPr>
        <w:t xml:space="preserve"> MACCS keys capturing predefined functional patterns,</w:t>
      </w:r>
      <w:r>
        <w:rPr>
          <w:rFonts w:hint="eastAsia" w:ascii="Times New Roman" w:hAnsi="Times New Roman" w:cs="Times New Roman"/>
          <w:sz w:val="24"/>
          <w:lang w:val="en-US" w:eastAsia="zh-CN"/>
        </w:rPr>
        <w:fldChar w:fldCharType="begin"/>
      </w:r>
      <w:r>
        <w:rPr>
          <w:rFonts w:hint="eastAsia" w:ascii="Times New Roman" w:hAnsi="Times New Roman" w:cs="Times New Roman"/>
          <w:sz w:val="24"/>
          <w:lang w:val="en-US" w:eastAsia="zh-CN"/>
        </w:rPr>
        <w:instrText xml:space="preserve"> ADDIN EN.CITE &lt;EndNote&gt;&lt;Cite&gt;&lt;Author&gt;Willett&lt;/Author&gt;&lt;Year&gt;2006&lt;/Year&gt;&lt;RecNum&gt;53&lt;/RecNum&gt;&lt;DisplayText&gt;&lt;style face="superscript"&gt;2&lt;/style&gt;&lt;/DisplayText&gt;&lt;record&gt;&lt;rec-number&gt;53&lt;/rec-number&gt;&lt;foreign-keys&gt;&lt;key app="EN" db-id="59xxxwf9ndvvwjev9tjxepeax5dxa2peepp9" timestamp="0"&gt;53&lt;/key&gt;&lt;/foreign-keys&gt;&lt;ref-type name="Journal Article"&gt;17&lt;/ref-type&gt;&lt;contributors&gt;&lt;authors&gt;&lt;author&gt;Willett, Peter&lt;/author&gt;&lt;/authors&gt;&lt;/contributors&gt;&lt;titles&gt;&lt;title&gt;Similarity-based virtual screening using 2D fingerprints&lt;/title&gt;&lt;secondary-title&gt;Drug Discovery Today&lt;/secondary-title&gt;&lt;/titles&gt;&lt;pages&gt;1046-1053&lt;/pages&gt;&lt;volume&gt;11&lt;/volume&gt;&lt;number&gt;23&lt;/number&gt;&lt;dates&gt;&lt;year&gt;2006&lt;/year&gt;&lt;pub-dates&gt;&lt;date&gt;2006/12/01/&lt;/date&gt;&lt;/pub-dates&gt;&lt;/dates&gt;&lt;isbn&gt;1359-6446&lt;/isbn&gt;&lt;urls&gt;&lt;related-urls&gt;&lt;url&gt;https://www.sciencedirect.com/science/article/pii/S1359644606004193&lt;/url&gt;&lt;/related-urls&gt;&lt;/urls&gt;&lt;electronic-resource-num&gt;https://doi.org/10.1016/j.drudis.2006.10.005&lt;/electronic-resource-num&gt;&lt;/record&gt;&lt;/Cite&gt;&lt;/EndNote&gt;</w:instrText>
      </w:r>
      <w:r>
        <w:rPr>
          <w:rFonts w:hint="eastAsia" w:ascii="Times New Roman" w:hAnsi="Times New Roman" w:cs="Times New Roman"/>
          <w:sz w:val="24"/>
          <w:lang w:val="en-US" w:eastAsia="zh-CN"/>
        </w:rPr>
        <w:fldChar w:fldCharType="separate"/>
      </w:r>
      <w:r>
        <w:rPr>
          <w:rFonts w:hint="eastAsia" w:ascii="Times New Roman" w:hAnsi="Times New Roman" w:cs="Times New Roman" w:eastAsiaTheme="minorEastAsia"/>
          <w:kern w:val="2"/>
          <w:sz w:val="24"/>
          <w:szCs w:val="24"/>
          <w:vertAlign w:val="superscript"/>
          <w:lang w:val="en-US" w:eastAsia="zh-CN" w:bidi="ar-SA"/>
        </w:rPr>
        <w:t>2</w:t>
      </w:r>
      <w:r>
        <w:rPr>
          <w:rFonts w:hint="eastAsia" w:ascii="Times New Roman" w:hAnsi="Times New Roman" w:cs="Times New Roman"/>
          <w:sz w:val="24"/>
          <w:lang w:val="en-US" w:eastAsia="zh-CN"/>
        </w:rPr>
        <w:fldChar w:fldCharType="end"/>
      </w:r>
      <w:r>
        <w:rPr>
          <w:rFonts w:hint="eastAsia" w:ascii="Times New Roman" w:hAnsi="Times New Roman" w:cs="Times New Roman"/>
          <w:sz w:val="24"/>
          <w:lang w:val="en-US" w:eastAsia="zh-CN"/>
        </w:rPr>
        <w:t xml:space="preserve"> and EState fingerprints describing atomic electrotopological environments.</w:t>
      </w:r>
      <w:r>
        <w:rPr>
          <w:rFonts w:hint="eastAsia" w:ascii="Times New Roman" w:hAnsi="Times New Roman" w:cs="Times New Roman"/>
          <w:sz w:val="24"/>
          <w:lang w:val="en-US" w:eastAsia="zh-CN"/>
        </w:rPr>
        <w:fldChar w:fldCharType="begin"/>
      </w:r>
      <w:r>
        <w:rPr>
          <w:rFonts w:hint="eastAsia" w:ascii="Times New Roman" w:hAnsi="Times New Roman" w:cs="Times New Roman"/>
          <w:sz w:val="24"/>
          <w:lang w:val="en-US" w:eastAsia="zh-CN"/>
        </w:rPr>
        <w:instrText xml:space="preserve"> ADDIN EN.CITE &lt;EndNote&gt;&lt;Cite&gt;&lt;Author&gt;Cereto-Massagué&lt;/Author&gt;&lt;Year&gt;2015&lt;/Year&gt;&lt;RecNum&gt;692&lt;/RecNum&gt;&lt;DisplayText&gt;&lt;style face="superscript"&gt;3&lt;/style&gt;&lt;/DisplayText&gt;&lt;record&gt;&lt;rec-number&gt;692&lt;/rec-number&gt;&lt;foreign-keys&gt;&lt;key app="EN" db-id="59xxxwf9ndvvwjev9tjxepeax5dxa2peepp9" timestamp="1769403277"&gt;692&lt;/key&gt;&lt;/foreign-keys&gt;&lt;ref-type name="Journal Article"&gt;17&lt;/ref-type&gt;&lt;contributors&gt;&lt;authors&gt;&lt;author&gt;Cereto-Massagué, Adrià&lt;/author&gt;&lt;author&gt;Ojeda, María José&lt;/author&gt;&lt;author&gt;Valls, Cristina&lt;/author&gt;&lt;author&gt;Mulero, Miquel&lt;/author&gt;&lt;author&gt;Garcia-Vallvé, Santiago&lt;/author&gt;&lt;author&gt;Pujadas, Gerard&lt;/author&gt;&lt;/authors&gt;&lt;/contributors&gt;&lt;titles&gt;&lt;title&gt;Molecular fingerprint similarity search in virtual screening&lt;/title&gt;&lt;secondary-title&gt;Methods&lt;/secondary-title&gt;&lt;/titles&gt;&lt;periodical&gt;&lt;full-title&gt;Methods&lt;/full-title&gt;&lt;/periodical&gt;&lt;pages&gt;58-63&lt;/pages&gt;&lt;volume&gt;71&lt;/volume&gt;&lt;keywords&gt;&lt;keyword&gt;Fingerprints&lt;/keyword&gt;&lt;keyword&gt;Virtual screening&lt;/keyword&gt;&lt;keyword&gt;Similarity search&lt;/keyword&gt;&lt;keyword&gt;Data fusion&lt;/keyword&gt;&lt;keyword&gt;Comparison&lt;/keyword&gt;&lt;/keywords&gt;&lt;dates&gt;&lt;year&gt;2015&lt;/year&gt;&lt;pub-dates&gt;&lt;date&gt;2015/01/01/&lt;/date&gt;&lt;/pub-dates&gt;&lt;/dates&gt;&lt;isbn&gt;1046-2023&lt;/isbn&gt;&lt;urls&gt;&lt;related-urls&gt;&lt;url&gt;https://www.sciencedirect.com/science/article/pii/S1046202314002631&lt;/url&gt;&lt;/related-urls&gt;&lt;/urls&gt;&lt;electronic-resource-num&gt;https://doi.org/10.1016/j.ymeth.2014.08.005&lt;/electronic-resource-num&gt;&lt;/record&gt;&lt;/Cite&gt;&lt;/EndNote&gt;</w:instrText>
      </w:r>
      <w:r>
        <w:rPr>
          <w:rFonts w:hint="eastAsia" w:ascii="Times New Roman" w:hAnsi="Times New Roman" w:cs="Times New Roman"/>
          <w:sz w:val="24"/>
          <w:lang w:val="en-US" w:eastAsia="zh-CN"/>
        </w:rPr>
        <w:fldChar w:fldCharType="separate"/>
      </w:r>
      <w:r>
        <w:rPr>
          <w:rFonts w:hint="eastAsia" w:ascii="Times New Roman" w:hAnsi="Times New Roman" w:cs="Times New Roman" w:eastAsiaTheme="minorEastAsia"/>
          <w:kern w:val="2"/>
          <w:sz w:val="24"/>
          <w:szCs w:val="24"/>
          <w:vertAlign w:val="superscript"/>
          <w:lang w:val="en-US" w:eastAsia="zh-CN" w:bidi="ar-SA"/>
        </w:rPr>
        <w:t>3</w:t>
      </w:r>
      <w:r>
        <w:rPr>
          <w:rFonts w:hint="eastAsia" w:ascii="Times New Roman" w:hAnsi="Times New Roman" w:cs="Times New Roman"/>
          <w:sz w:val="24"/>
          <w:lang w:val="en-US" w:eastAsia="zh-CN"/>
        </w:rPr>
        <w:fldChar w:fldCharType="end"/>
      </w:r>
      <w:r>
        <w:rPr>
          <w:rFonts w:hint="eastAsia" w:ascii="Times New Roman" w:hAnsi="Times New Roman" w:cs="Times New Roman"/>
          <w:sz w:val="24"/>
          <w:lang w:val="en-US" w:eastAsia="zh-CN"/>
        </w:rPr>
        <w:t xml:space="preserve"> Molecular language model representations are derived from MolT5</w:t>
      </w:r>
      <w:r>
        <w:rPr>
          <w:rFonts w:hint="default" w:ascii="Times New Roman" w:hAnsi="Times New Roman" w:cs="Times New Roman"/>
          <w:b w:val="0"/>
          <w:bCs w:val="0"/>
          <w:sz w:val="24"/>
          <w:szCs w:val="28"/>
          <w:lang w:val="en-US" w:eastAsia="zh-CN"/>
        </w:rPr>
        <w:fldChar w:fldCharType="begin"/>
      </w:r>
      <w:r>
        <w:rPr>
          <w:rFonts w:hint="eastAsia" w:ascii="Times New Roman" w:hAnsi="Times New Roman" w:cs="Times New Roman"/>
          <w:b w:val="0"/>
          <w:bCs w:val="0"/>
          <w:sz w:val="24"/>
          <w:szCs w:val="28"/>
          <w:lang w:val="en-US" w:eastAsia="zh-CN"/>
        </w:rPr>
        <w:instrText xml:space="preserve"> ADDIN EN.CITE &lt;EndNote&gt;&lt;Cite&gt;&lt;Author&gt;Edwards&lt;/Author&gt;&lt;Year&gt;2022&lt;/Year&gt;&lt;RecNum&gt;645&lt;/RecNum&gt;&lt;DisplayText&gt;&lt;style face="superscript"&gt;4&lt;/style&gt;&lt;/DisplayText&gt;&lt;record&gt;&lt;rec-number&gt;645&lt;/rec-number&gt;&lt;foreign-keys&gt;&lt;key app="EN" db-id="59xxxwf9ndvvwjev9tjxepeax5dxa2peepp9" timestamp="1769396779"&gt;645&lt;/key&gt;&lt;/foreign-keys&gt;&lt;ref-type name="Conference Proceedings"&gt;10&lt;/ref-type&gt;&lt;contributors&gt;&lt;authors&gt;&lt;author&gt;Edwards, Carl&lt;/author&gt;&lt;author&gt;Lai, Tuan&lt;/author&gt;&lt;author&gt;Ros, Kevin&lt;/author&gt;&lt;author&gt;Honke, Garrett&lt;/author&gt;&lt;author&gt;Cho, Kyunghyun&lt;/author&gt;&lt;author&gt;Ji, Heng&lt;/author&gt;&lt;/authors&gt;&lt;/contributors&gt;&lt;titles&gt;&lt;title&gt;Translation between Molecules and Natural Language&lt;/title&gt;&lt;secondary-title&gt;Proceedings of the 2022 Conference on Empirical Methods in Natural Language Processing&lt;/secondary-title&gt;&lt;/titles&gt;&lt;pages&gt;375-413&lt;/pages&gt;&lt;dates&gt;&lt;year&gt;2022&lt;/year&gt;&lt;pub-dates&gt;&lt;date&gt;2022/12&lt;/date&gt;&lt;/pub-dates&gt;&lt;/dates&gt;&lt;pub-location&gt;Abu Dhabi, United Arab Emirates&lt;/pub-location&gt;&lt;publisher&gt;Association for Computational Linguistics&lt;/publisher&gt;&lt;urls&gt;&lt;related-urls&gt;&lt;url&gt;https://aclanthology.org/2022.emnlp-main.26&lt;/url&gt;&lt;/related-urls&gt;&lt;/urls&gt;&lt;/record&gt;&lt;/Cite&gt;&lt;/EndNote&gt;</w:instrText>
      </w:r>
      <w:r>
        <w:rPr>
          <w:rFonts w:hint="default" w:ascii="Times New Roman" w:hAnsi="Times New Roman" w:cs="Times New Roman"/>
          <w:b w:val="0"/>
          <w:bCs w:val="0"/>
          <w:sz w:val="24"/>
          <w:szCs w:val="28"/>
          <w:lang w:val="en-US" w:eastAsia="zh-CN"/>
        </w:rPr>
        <w:fldChar w:fldCharType="separate"/>
      </w:r>
      <w:r>
        <w:rPr>
          <w:rFonts w:hint="eastAsia" w:ascii="Times New Roman" w:hAnsi="Times New Roman" w:cs="Times New Roman" w:eastAsiaTheme="minorEastAsia"/>
          <w:b w:val="0"/>
          <w:bCs w:val="0"/>
          <w:kern w:val="2"/>
          <w:sz w:val="24"/>
          <w:szCs w:val="28"/>
          <w:vertAlign w:val="superscript"/>
          <w:lang w:val="en-US" w:eastAsia="zh-CN" w:bidi="ar-SA"/>
        </w:rPr>
        <w:t>4</w:t>
      </w:r>
      <w:r>
        <w:rPr>
          <w:rFonts w:hint="default" w:ascii="Times New Roman" w:hAnsi="Times New Roman" w:cs="Times New Roman"/>
          <w:b w:val="0"/>
          <w:bCs w:val="0"/>
          <w:sz w:val="24"/>
          <w:szCs w:val="28"/>
          <w:lang w:val="en-US" w:eastAsia="zh-CN"/>
        </w:rPr>
        <w:fldChar w:fldCharType="end"/>
      </w:r>
      <w:r>
        <w:rPr>
          <w:rFonts w:hint="eastAsia" w:ascii="Times New Roman" w:hAnsi="Times New Roman" w:cs="Times New Roman"/>
          <w:sz w:val="24"/>
          <w:lang w:val="en-US" w:eastAsia="zh-CN"/>
        </w:rPr>
        <w:t xml:space="preserve"> and BioT5,</w:t>
      </w:r>
      <w:r>
        <w:rPr>
          <w:rFonts w:hint="default" w:ascii="Times New Roman" w:hAnsi="Times New Roman" w:cs="Times New Roman"/>
          <w:b w:val="0"/>
          <w:bCs w:val="0"/>
          <w:sz w:val="24"/>
          <w:szCs w:val="28"/>
          <w:lang w:val="en-US" w:eastAsia="zh-CN"/>
        </w:rPr>
        <w:fldChar w:fldCharType="begin"/>
      </w:r>
      <w:r>
        <w:rPr>
          <w:rFonts w:hint="eastAsia" w:ascii="Times New Roman" w:hAnsi="Times New Roman" w:cs="Times New Roman"/>
          <w:b w:val="0"/>
          <w:bCs w:val="0"/>
          <w:sz w:val="24"/>
          <w:szCs w:val="28"/>
          <w:lang w:val="en-US" w:eastAsia="zh-CN"/>
        </w:rPr>
        <w:instrText xml:space="preserve"> ADDIN EN.CITE &lt;EndNote&gt;&lt;Cite&gt;&lt;Author&gt;Pei&lt;/Author&gt;&lt;Year&gt;2023&lt;/Year&gt;&lt;RecNum&gt;646&lt;/RecNum&gt;&lt;DisplayText&gt;&lt;style face="superscript"&gt;5&lt;/style&gt;&lt;/DisplayText&gt;&lt;record&gt;&lt;rec-number&gt;646&lt;/rec-number&gt;&lt;foreign-keys&gt;&lt;key app="EN" db-id="59xxxwf9ndvvwjev9tjxepeax5dxa2peepp9" timestamp="1769396779"&gt;646&lt;/key&gt;&lt;/foreign-keys&gt;&lt;ref-type name="Conference Proceedings"&gt;10&lt;/ref-type&gt;&lt;contributors&gt;&lt;authors&gt;&lt;author&gt;Pei, Qizhi&lt;/author&gt;&lt;author&gt;Zhang, Wei&lt;/author&gt;&lt;author&gt;Zhu, Jinhua&lt;/author&gt;&lt;author&gt;Wu, Kehan&lt;/author&gt;&lt;author&gt;Gao, Kaiyuan&lt;/author&gt;&lt;author&gt;Wu, Lijun&lt;/author&gt;&lt;author&gt;Xia, Yingce&lt;/author&gt;&lt;author&gt;Yan, Rui&lt;/author&gt;&lt;/authors&gt;&lt;/contributors&gt;&lt;titles&gt;&lt;title&gt;BioT5: Enriching Cross-modal Integration in Biology with Chemical Knowledge and Natural Language Associations&lt;/title&gt;&lt;secondary-title&gt;Proceedings of the 2023 Conference on Empirical Methods in Natural Language Processing&lt;/secondary-title&gt;&lt;/titles&gt;&lt;pages&gt;1102-1123&lt;/pages&gt;&lt;dates&gt;&lt;year&gt;2023&lt;/year&gt;&lt;pub-dates&gt;&lt;date&gt;2023/12&lt;/date&gt;&lt;/pub-dates&gt;&lt;/dates&gt;&lt;publisher&gt;Association for Computational Linguistics&lt;/publisher&gt;&lt;urls&gt;&lt;related-urls&gt;&lt;url&gt;https://aclanthology.org/2023.emnlp-main.70&lt;/url&gt;&lt;/related-urls&gt;&lt;/urls&gt;&lt;/record&gt;&lt;/Cite&gt;&lt;/EndNote&gt;</w:instrText>
      </w:r>
      <w:r>
        <w:rPr>
          <w:rFonts w:hint="default" w:ascii="Times New Roman" w:hAnsi="Times New Roman" w:cs="Times New Roman"/>
          <w:b w:val="0"/>
          <w:bCs w:val="0"/>
          <w:sz w:val="24"/>
          <w:szCs w:val="28"/>
          <w:lang w:val="en-US" w:eastAsia="zh-CN"/>
        </w:rPr>
        <w:fldChar w:fldCharType="separate"/>
      </w:r>
      <w:r>
        <w:rPr>
          <w:rFonts w:hint="eastAsia" w:ascii="Times New Roman" w:hAnsi="Times New Roman" w:cs="Times New Roman" w:eastAsiaTheme="minorEastAsia"/>
          <w:b w:val="0"/>
          <w:bCs w:val="0"/>
          <w:kern w:val="2"/>
          <w:sz w:val="24"/>
          <w:szCs w:val="28"/>
          <w:vertAlign w:val="superscript"/>
          <w:lang w:val="en-US" w:eastAsia="zh-CN" w:bidi="ar-SA"/>
        </w:rPr>
        <w:t>5</w:t>
      </w:r>
      <w:r>
        <w:rPr>
          <w:rFonts w:hint="default" w:ascii="Times New Roman" w:hAnsi="Times New Roman" w:cs="Times New Roman"/>
          <w:b w:val="0"/>
          <w:bCs w:val="0"/>
          <w:sz w:val="24"/>
          <w:szCs w:val="28"/>
          <w:lang w:val="en-US" w:eastAsia="zh-CN"/>
        </w:rPr>
        <w:fldChar w:fldCharType="end"/>
      </w:r>
      <w:r>
        <w:rPr>
          <w:rFonts w:hint="eastAsia" w:ascii="Times New Roman" w:hAnsi="Times New Roman" w:cs="Times New Roman"/>
          <w:sz w:val="24"/>
          <w:lang w:val="en-US" w:eastAsia="zh-CN"/>
        </w:rPr>
        <w:t xml:space="preserve"> which are transformer-based models pretrained on SMILES sequences, with BioT5 incorporating additional biochemical knowledge. The 2D graph-based representations are generated using self-supervised learning methods, including AttrMask,</w:t>
      </w:r>
      <w:r>
        <w:rPr>
          <w:rFonts w:hint="eastAsia" w:ascii="Times New Roman" w:hAnsi="Times New Roman" w:cs="Times New Roman"/>
          <w:b w:val="0"/>
          <w:bCs w:val="0"/>
          <w:sz w:val="24"/>
          <w:szCs w:val="28"/>
          <w:lang w:val="en-US" w:eastAsia="zh-CN"/>
        </w:rPr>
        <w:fldChar w:fldCharType="begin"/>
      </w:r>
      <w:r>
        <w:rPr>
          <w:rFonts w:hint="eastAsia" w:ascii="Times New Roman" w:hAnsi="Times New Roman" w:cs="Times New Roman"/>
          <w:b w:val="0"/>
          <w:bCs w:val="0"/>
          <w:sz w:val="24"/>
          <w:szCs w:val="28"/>
          <w:lang w:val="en-US" w:eastAsia="zh-CN"/>
        </w:rPr>
        <w:instrText xml:space="preserve"> ADDIN EN.CITE &lt;EndNote&gt;&lt;Cite&gt;&lt;Author&gt;Lin&lt;/Author&gt;&lt;Year&gt;2024&lt;/Year&gt;&lt;RecNum&gt;650&lt;/RecNum&gt;&lt;DisplayText&gt;&lt;style face="superscript"&gt;6&lt;/style&gt;&lt;/DisplayText&gt;&lt;record&gt;&lt;rec-number&gt;650&lt;/rec-number&gt;&lt;foreign-keys&gt;&lt;key app="EN" db-id="59xxxwf9ndvvwjev9tjxepeax5dxa2peepp9" timestamp="1769396779"&gt;650&lt;/key&gt;&lt;/foreign-keys&gt;&lt;ref-type name="Journal Article"&gt;17&lt;/ref-type&gt;&lt;contributors&gt;&lt;authors&gt;&lt;author&gt;Lin, Wei&lt;/author&gt;&lt;author&gt;Fung, Chi Chung Alan&lt;/author&gt;&lt;/authors&gt;&lt;/contributors&gt;&lt;titles&gt;&lt;title&gt;Rethinking the Masking Strategy for Pretraining Molecular Graphs from a Data-Centric View&lt;/title&gt;&lt;secondary-title&gt;ACS Omega&lt;/secondary-title&gt;&lt;/titles&gt;&lt;periodical&gt;&lt;full-title&gt;ACS Omega&lt;/full-title&gt;&lt;/periodical&gt;&lt;pages&gt;20832-20838&lt;/pages&gt;&lt;volume&gt;9&lt;/volume&gt;&lt;number&gt;19&lt;/number&gt;&lt;dates&gt;&lt;year&gt;2024&lt;/year&gt;&lt;pub-dates&gt;&lt;date&gt;2024/05/14&lt;/date&gt;&lt;/pub-dates&gt;&lt;/dates&gt;&lt;publisher&gt;American Chemical Society&lt;/publisher&gt;&lt;urls&gt;&lt;related-urls&gt;&lt;url&gt;https://doi.org/10.1021/acsomega.3c09512&lt;/url&gt;&lt;/related-urls&gt;&lt;/urls&gt;&lt;electronic-resource-num&gt;10.1021/acsomega.3c09512&lt;/electronic-resource-num&gt;&lt;/record&gt;&lt;/Cite&gt;&lt;/EndNote&gt;</w:instrText>
      </w:r>
      <w:r>
        <w:rPr>
          <w:rFonts w:hint="eastAsia" w:ascii="Times New Roman" w:hAnsi="Times New Roman" w:cs="Times New Roman"/>
          <w:b w:val="0"/>
          <w:bCs w:val="0"/>
          <w:sz w:val="24"/>
          <w:szCs w:val="28"/>
          <w:lang w:val="en-US" w:eastAsia="zh-CN"/>
        </w:rPr>
        <w:fldChar w:fldCharType="separate"/>
      </w:r>
      <w:r>
        <w:rPr>
          <w:rFonts w:hint="eastAsia" w:ascii="Times New Roman" w:hAnsi="Times New Roman" w:cs="Times New Roman" w:eastAsiaTheme="minorEastAsia"/>
          <w:b w:val="0"/>
          <w:bCs w:val="0"/>
          <w:kern w:val="2"/>
          <w:sz w:val="24"/>
          <w:szCs w:val="28"/>
          <w:vertAlign w:val="superscript"/>
          <w:lang w:val="en-US" w:eastAsia="zh-CN" w:bidi="ar-SA"/>
        </w:rPr>
        <w:t>6</w:t>
      </w:r>
      <w:r>
        <w:rPr>
          <w:rFonts w:hint="eastAsia" w:ascii="Times New Roman" w:hAnsi="Times New Roman" w:cs="Times New Roman"/>
          <w:b w:val="0"/>
          <w:bCs w:val="0"/>
          <w:sz w:val="24"/>
          <w:szCs w:val="28"/>
          <w:lang w:val="en-US" w:eastAsia="zh-CN"/>
        </w:rPr>
        <w:fldChar w:fldCharType="end"/>
      </w:r>
      <w:r>
        <w:rPr>
          <w:rFonts w:hint="eastAsia" w:ascii="Times New Roman" w:hAnsi="Times New Roman" w:cs="Times New Roman"/>
          <w:sz w:val="24"/>
          <w:lang w:val="en-US" w:eastAsia="zh-CN"/>
        </w:rPr>
        <w:t xml:space="preserve"> GPT-GNN,</w:t>
      </w:r>
      <w:r>
        <w:rPr>
          <w:rFonts w:hint="eastAsia" w:ascii="Times New Roman" w:hAnsi="Times New Roman" w:cs="Times New Roman"/>
          <w:b w:val="0"/>
          <w:bCs w:val="0"/>
          <w:sz w:val="24"/>
          <w:szCs w:val="28"/>
          <w:lang w:val="en-US" w:eastAsia="zh-CN"/>
        </w:rPr>
        <w:fldChar w:fldCharType="begin"/>
      </w:r>
      <w:r>
        <w:rPr>
          <w:rFonts w:hint="eastAsia" w:ascii="Times New Roman" w:hAnsi="Times New Roman" w:cs="Times New Roman"/>
          <w:b w:val="0"/>
          <w:bCs w:val="0"/>
          <w:sz w:val="24"/>
          <w:szCs w:val="28"/>
          <w:lang w:val="en-US" w:eastAsia="zh-CN"/>
        </w:rPr>
        <w:instrText xml:space="preserve"> ADDIN EN.CITE &lt;EndNote&gt;&lt;Cite&gt;&lt;Author&gt;Hu&lt;/Author&gt;&lt;Year&gt;2020&lt;/Year&gt;&lt;RecNum&gt;651&lt;/RecNum&gt;&lt;DisplayText&gt;&lt;style face="superscript"&gt;7&lt;/style&gt;&lt;/DisplayText&gt;&lt;record&gt;&lt;rec-number&gt;651&lt;/rec-number&gt;&lt;foreign-keys&gt;&lt;key app="EN" db-id="59xxxwf9ndvvwjev9tjxepeax5dxa2peepp9" timestamp="1769396779"&gt;651&lt;/key&gt;&lt;/foreign-keys&gt;&lt;ref-type name="Conference Proceedings"&gt;10&lt;/ref-type&gt;&lt;contributors&gt;&lt;authors&gt;&lt;author&gt;Hu, Ziniu&lt;/author&gt;&lt;author&gt;Dong, Yuxiao&lt;/author&gt;&lt;author&gt;Wang, Kuansan&lt;/author&gt;&lt;author&gt;Chang, Kai-Wei&lt;/author&gt;&lt;author&gt;Sun, Yizhou&lt;/author&gt;&lt;/authors&gt;&lt;/contributors&gt;&lt;titles&gt;&lt;title&gt;GPT-GNN: Generative Pre-Training of Graph Neural Networks&lt;/title&gt;&lt;secondary-title&gt;Proceedings of the 26th ACM SIGKDD Conference on Knowledge Discovery and Data Mining&lt;/secondary-title&gt;&lt;/titles&gt;&lt;dates&gt;&lt;year&gt;2020&lt;/year&gt;&lt;/dates&gt;&lt;urls&gt;&lt;/urls&gt;&lt;/record&gt;&lt;/Cite&gt;&lt;/EndNote&gt;</w:instrText>
      </w:r>
      <w:r>
        <w:rPr>
          <w:rFonts w:hint="eastAsia" w:ascii="Times New Roman" w:hAnsi="Times New Roman" w:cs="Times New Roman"/>
          <w:b w:val="0"/>
          <w:bCs w:val="0"/>
          <w:sz w:val="24"/>
          <w:szCs w:val="28"/>
          <w:lang w:val="en-US" w:eastAsia="zh-CN"/>
        </w:rPr>
        <w:fldChar w:fldCharType="separate"/>
      </w:r>
      <w:r>
        <w:rPr>
          <w:rFonts w:hint="eastAsia" w:ascii="Times New Roman" w:hAnsi="Times New Roman" w:cs="Times New Roman" w:eastAsiaTheme="minorEastAsia"/>
          <w:b w:val="0"/>
          <w:bCs w:val="0"/>
          <w:kern w:val="2"/>
          <w:sz w:val="24"/>
          <w:szCs w:val="28"/>
          <w:vertAlign w:val="superscript"/>
          <w:lang w:val="en-US" w:eastAsia="zh-CN" w:bidi="ar-SA"/>
        </w:rPr>
        <w:t>7</w:t>
      </w:r>
      <w:r>
        <w:rPr>
          <w:rFonts w:hint="eastAsia" w:ascii="Times New Roman" w:hAnsi="Times New Roman" w:cs="Times New Roman"/>
          <w:b w:val="0"/>
          <w:bCs w:val="0"/>
          <w:sz w:val="24"/>
          <w:szCs w:val="28"/>
          <w:lang w:val="en-US" w:eastAsia="zh-CN"/>
        </w:rPr>
        <w:fldChar w:fldCharType="end"/>
      </w:r>
      <w:r>
        <w:rPr>
          <w:rFonts w:hint="eastAsia" w:ascii="Times New Roman" w:hAnsi="Times New Roman" w:cs="Times New Roman"/>
          <w:sz w:val="24"/>
          <w:lang w:val="en-US" w:eastAsia="zh-CN"/>
        </w:rPr>
        <w:t xml:space="preserve"> GraphCL,</w:t>
      </w:r>
      <w:r>
        <w:rPr>
          <w:rFonts w:hint="eastAsia" w:ascii="Times New Roman" w:hAnsi="Times New Roman" w:cs="Times New Roman"/>
          <w:b w:val="0"/>
          <w:bCs w:val="0"/>
          <w:sz w:val="24"/>
          <w:szCs w:val="28"/>
          <w:lang w:val="en-US" w:eastAsia="zh-CN"/>
        </w:rPr>
        <w:fldChar w:fldCharType="begin"/>
      </w:r>
      <w:r>
        <w:rPr>
          <w:rFonts w:hint="eastAsia" w:ascii="Times New Roman" w:hAnsi="Times New Roman" w:cs="Times New Roman"/>
          <w:b w:val="0"/>
          <w:bCs w:val="0"/>
          <w:sz w:val="24"/>
          <w:szCs w:val="28"/>
          <w:lang w:val="en-US" w:eastAsia="zh-CN"/>
        </w:rPr>
        <w:instrText xml:space="preserve"> ADDIN EN.CITE &lt;EndNote&gt;&lt;Cite&gt;&lt;Author&gt;You&lt;/Author&gt;&lt;Year&gt;2020&lt;/Year&gt;&lt;RecNum&gt;649&lt;/RecNum&gt;&lt;DisplayText&gt;&lt;style face="superscript"&gt;8&lt;/style&gt;&lt;/DisplayText&gt;&lt;record&gt;&lt;rec-number&gt;649&lt;/rec-number&gt;&lt;foreign-keys&gt;&lt;key app="EN" db-id="59xxxwf9ndvvwjev9tjxepeax5dxa2peepp9" timestamp="1769396779"&gt;649&lt;/key&gt;&lt;/foreign-keys&gt;&lt;ref-type name="Conference Proceedings"&gt;10&lt;/ref-type&gt;&lt;contributors&gt;&lt;authors&gt;&lt;author&gt;You, Yuning&lt;/author&gt;&lt;author&gt;Chen, Tianlong&lt;/author&gt;&lt;author&gt;Sui, Yongduo&lt;/author&gt;&lt;author&gt;Chen, Ting&lt;/author&gt;&lt;author&gt;Wang, Zhangyang&lt;/author&gt;&lt;author&gt;Shen, Yang&lt;/author&gt;&lt;/authors&gt;&lt;secondary-authors&gt;&lt;author&gt;Larochelle, H.&lt;/author&gt;&lt;author&gt;Ranzato, M.&lt;/author&gt;&lt;author&gt;Hadsell, R.&lt;/author&gt;&lt;author&gt;Balcan, M. F.&lt;/author&gt;&lt;author&gt;Lin, H.&lt;/author&gt;&lt;/secondary-authors&gt;&lt;/contributors&gt;&lt;titles&gt;&lt;title&gt;Graph Contrastive Learning with Augmentations&lt;/title&gt;&lt;secondary-title&gt;Advances in Neural Information Processing Systems&lt;/secondary-title&gt;&lt;/titles&gt;&lt;periodical&gt;&lt;full-title&gt;Advances in Neural Information Processing Systems&lt;/full-title&gt;&lt;/periodical&gt;&lt;pages&gt;5812-5823&lt;/pages&gt;&lt;volume&gt;33&lt;/volume&gt;&lt;dates&gt;&lt;year&gt;2020&lt;/year&gt;&lt;/dates&gt;&lt;publisher&gt;Curran Associates, Inc.&lt;/publisher&gt;&lt;urls&gt;&lt;related-urls&gt;&lt;url&gt;https://proceedings.neurips.cc/paper/2020/file/3fe230348e9a12c13120749e3f9fa4cd-Paper.pdf&lt;/url&gt;&lt;/related-urls&gt;&lt;/urls&gt;&lt;/record&gt;&lt;/Cite&gt;&lt;/EndNote&gt;</w:instrText>
      </w:r>
      <w:r>
        <w:rPr>
          <w:rFonts w:hint="eastAsia" w:ascii="Times New Roman" w:hAnsi="Times New Roman" w:cs="Times New Roman"/>
          <w:b w:val="0"/>
          <w:bCs w:val="0"/>
          <w:sz w:val="24"/>
          <w:szCs w:val="28"/>
          <w:lang w:val="en-US" w:eastAsia="zh-CN"/>
        </w:rPr>
        <w:fldChar w:fldCharType="separate"/>
      </w:r>
      <w:r>
        <w:rPr>
          <w:rFonts w:hint="eastAsia" w:ascii="Times New Roman" w:hAnsi="Times New Roman" w:cs="Times New Roman" w:eastAsiaTheme="minorEastAsia"/>
          <w:b w:val="0"/>
          <w:bCs w:val="0"/>
          <w:kern w:val="2"/>
          <w:sz w:val="24"/>
          <w:szCs w:val="28"/>
          <w:vertAlign w:val="superscript"/>
          <w:lang w:val="en-US" w:eastAsia="zh-CN" w:bidi="ar-SA"/>
        </w:rPr>
        <w:t>8</w:t>
      </w:r>
      <w:r>
        <w:rPr>
          <w:rFonts w:hint="eastAsia" w:ascii="Times New Roman" w:hAnsi="Times New Roman" w:cs="Times New Roman"/>
          <w:b w:val="0"/>
          <w:bCs w:val="0"/>
          <w:sz w:val="24"/>
          <w:szCs w:val="28"/>
          <w:lang w:val="en-US" w:eastAsia="zh-CN"/>
        </w:rPr>
        <w:fldChar w:fldCharType="end"/>
      </w:r>
      <w:r>
        <w:rPr>
          <w:rFonts w:hint="eastAsia" w:ascii="Times New Roman" w:hAnsi="Times New Roman" w:cs="Times New Roman"/>
          <w:sz w:val="24"/>
          <w:lang w:val="en-US" w:eastAsia="zh-CN"/>
        </w:rPr>
        <w:t xml:space="preserve"> MolCLR,</w:t>
      </w:r>
      <w:r>
        <w:rPr>
          <w:rFonts w:hint="default" w:ascii="Times New Roman" w:hAnsi="Times New Roman" w:cs="Times New Roman"/>
          <w:b w:val="0"/>
          <w:bCs w:val="0"/>
          <w:sz w:val="24"/>
          <w:szCs w:val="28"/>
          <w:lang w:val="en-US" w:eastAsia="zh-CN"/>
        </w:rPr>
        <w:fldChar w:fldCharType="begin"/>
      </w:r>
      <w:r>
        <w:rPr>
          <w:rFonts w:hint="eastAsia" w:ascii="Times New Roman" w:hAnsi="Times New Roman" w:cs="Times New Roman"/>
          <w:b w:val="0"/>
          <w:bCs w:val="0"/>
          <w:sz w:val="24"/>
          <w:szCs w:val="28"/>
          <w:lang w:val="en-US" w:eastAsia="zh-CN"/>
        </w:rPr>
        <w:instrText xml:space="preserve"> ADDIN EN.CITE &lt;EndNote&gt;&lt;Cite&gt;&lt;Author&gt;Wang&lt;/Author&gt;&lt;Year&gt;2022&lt;/Year&gt;&lt;RecNum&gt;648&lt;/RecNum&gt;&lt;DisplayText&gt;&lt;style face="superscript"&gt;9&lt;/style&gt;&lt;/DisplayText&gt;&lt;record&gt;&lt;rec-number&gt;648&lt;/rec-number&gt;&lt;foreign-keys&gt;&lt;key app="EN" db-id="59xxxwf9ndvvwjev9tjxepeax5dxa2peepp9" timestamp="1769396779"&gt;648&lt;/key&gt;&lt;/foreign-keys&gt;&lt;ref-type name="Journal Article"&gt;17&lt;/ref-type&gt;&lt;contributors&gt;&lt;authors&gt;&lt;author&gt;Wang, Yuyang&lt;/author&gt;&lt;author&gt;Wang, Jianren&lt;/author&gt;&lt;author&gt;Cao, Zhonglin&lt;/author&gt;&lt;author&gt;Barati Farimani, Amir&lt;/author&gt;&lt;/authors&gt;&lt;/contributors&gt;&lt;titles&gt;&lt;title&gt;Molecular contrastive learning of representations via graph neural networks&lt;/title&gt;&lt;secondary-title&gt;Nature Machine Intelligence&lt;/secondary-title&gt;&lt;/titles&gt;&lt;periodical&gt;&lt;full-title&gt;Nature Machine Intelligence&lt;/full-title&gt;&lt;/periodical&gt;&lt;pages&gt;279-287&lt;/pages&gt;&lt;volume&gt;4&lt;/volume&gt;&lt;number&gt;3&lt;/number&gt;&lt;dates&gt;&lt;year&gt;2022&lt;/year&gt;&lt;pub-dates&gt;&lt;date&gt;2022/03/01&lt;/date&gt;&lt;/pub-dates&gt;&lt;/dates&gt;&lt;isbn&gt;2522-5839&lt;/isbn&gt;&lt;urls&gt;&lt;related-urls&gt;&lt;url&gt;https://doi.org/10.1038/s42256-022-00447-x&lt;/url&gt;&lt;/related-urls&gt;&lt;/urls&gt;&lt;electronic-resource-num&gt;10.1038/s42256-022-00447-x&lt;/electronic-resource-num&gt;&lt;/record&gt;&lt;/Cite&gt;&lt;/EndNote&gt;</w:instrText>
      </w:r>
      <w:r>
        <w:rPr>
          <w:rFonts w:hint="default" w:ascii="Times New Roman" w:hAnsi="Times New Roman" w:cs="Times New Roman"/>
          <w:b w:val="0"/>
          <w:bCs w:val="0"/>
          <w:sz w:val="24"/>
          <w:szCs w:val="28"/>
          <w:lang w:val="en-US" w:eastAsia="zh-CN"/>
        </w:rPr>
        <w:fldChar w:fldCharType="separate"/>
      </w:r>
      <w:r>
        <w:rPr>
          <w:rFonts w:hint="eastAsia" w:ascii="Times New Roman" w:hAnsi="Times New Roman" w:cs="Times New Roman" w:eastAsiaTheme="minorEastAsia"/>
          <w:b w:val="0"/>
          <w:bCs w:val="0"/>
          <w:kern w:val="2"/>
          <w:sz w:val="24"/>
          <w:szCs w:val="28"/>
          <w:vertAlign w:val="superscript"/>
          <w:lang w:val="en-US" w:eastAsia="zh-CN" w:bidi="ar-SA"/>
        </w:rPr>
        <w:t>9</w:t>
      </w:r>
      <w:r>
        <w:rPr>
          <w:rFonts w:hint="default" w:ascii="Times New Roman" w:hAnsi="Times New Roman" w:cs="Times New Roman"/>
          <w:b w:val="0"/>
          <w:bCs w:val="0"/>
          <w:sz w:val="24"/>
          <w:szCs w:val="28"/>
          <w:lang w:val="en-US" w:eastAsia="zh-CN"/>
        </w:rPr>
        <w:fldChar w:fldCharType="end"/>
      </w:r>
      <w:r>
        <w:rPr>
          <w:rFonts w:hint="eastAsia" w:ascii="Times New Roman" w:hAnsi="Times New Roman" w:cs="Times New Roman"/>
          <w:sz w:val="24"/>
          <w:lang w:val="en-US" w:eastAsia="zh-CN"/>
        </w:rPr>
        <w:t xml:space="preserve"> GraphMVP,</w:t>
      </w:r>
      <w:r>
        <w:rPr>
          <w:rFonts w:hint="default" w:ascii="Times New Roman" w:hAnsi="Times New Roman" w:cs="Times New Roman"/>
          <w:b w:val="0"/>
          <w:bCs w:val="0"/>
          <w:sz w:val="24"/>
          <w:szCs w:val="28"/>
          <w:lang w:val="en-US" w:eastAsia="zh-CN"/>
        </w:rPr>
        <w:fldChar w:fldCharType="begin"/>
      </w:r>
      <w:r>
        <w:rPr>
          <w:rFonts w:hint="eastAsia" w:ascii="Times New Roman" w:hAnsi="Times New Roman" w:cs="Times New Roman"/>
          <w:b w:val="0"/>
          <w:bCs w:val="0"/>
          <w:sz w:val="24"/>
          <w:szCs w:val="28"/>
          <w:lang w:val="en-US" w:eastAsia="zh-CN"/>
        </w:rPr>
        <w:instrText xml:space="preserve"> ADDIN EN.CITE &lt;EndNote&gt;&lt;Cite&gt;&lt;Author&gt;Liu&lt;/Author&gt;&lt;Year&gt;2022&lt;/Year&gt;&lt;RecNum&gt;647&lt;/RecNum&gt;&lt;DisplayText&gt;&lt;style face="superscript"&gt;10&lt;/style&gt;&lt;/DisplayText&gt;&lt;record&gt;&lt;rec-number&gt;647&lt;/rec-number&gt;&lt;foreign-keys&gt;&lt;key app="EN" db-id="59xxxwf9ndvvwjev9tjxepeax5dxa2peepp9" timestamp="1769396779"&gt;647&lt;/key&gt;&lt;/foreign-keys&gt;&lt;ref-type name="Conference Proceedings"&gt;10&lt;/ref-type&gt;&lt;contributors&gt;&lt;authors&gt;&lt;author&gt;Liu, Shengchao&lt;/author&gt;&lt;author&gt;Wang, Hanchen&lt;/author&gt;&lt;author&gt;Liu, Weiyang&lt;/author&gt;&lt;author&gt;Lasenby, Joan&lt;/author&gt;&lt;author&gt;Guo, Hongyu&lt;/author&gt;&lt;author&gt;Tang, Jian&lt;/author&gt;&lt;/authors&gt;&lt;/contributors&gt;&lt;titles&gt;&lt;title&gt;Pre-training Molecular Graph Representation with 3D Geometry&lt;/title&gt;&lt;secondary-title&gt;International Conference on Learning Representations&lt;/secondary-title&gt;&lt;/titles&gt;&lt;dates&gt;&lt;year&gt;2022&lt;/year&gt;&lt;pub-dates&gt;&lt;date&gt;2022&lt;/date&gt;&lt;/pub-dates&gt;&lt;/dates&gt;&lt;urls&gt;&lt;related-urls&gt;&lt;url&gt;https://openreview.net/forum?id=xQUe1pOKPam&lt;/url&gt;&lt;/related-urls&gt;&lt;/urls&gt;&lt;/record&gt;&lt;/Cite&gt;&lt;/EndNote&gt;</w:instrText>
      </w:r>
      <w:r>
        <w:rPr>
          <w:rFonts w:hint="default" w:ascii="Times New Roman" w:hAnsi="Times New Roman" w:cs="Times New Roman"/>
          <w:b w:val="0"/>
          <w:bCs w:val="0"/>
          <w:sz w:val="24"/>
          <w:szCs w:val="28"/>
          <w:lang w:val="en-US" w:eastAsia="zh-CN"/>
        </w:rPr>
        <w:fldChar w:fldCharType="separate"/>
      </w:r>
      <w:r>
        <w:rPr>
          <w:rFonts w:hint="eastAsia" w:ascii="Times New Roman" w:hAnsi="Times New Roman" w:cs="Times New Roman" w:eastAsiaTheme="minorEastAsia"/>
          <w:b w:val="0"/>
          <w:bCs w:val="0"/>
          <w:kern w:val="2"/>
          <w:sz w:val="24"/>
          <w:szCs w:val="28"/>
          <w:vertAlign w:val="superscript"/>
          <w:lang w:val="en-US" w:eastAsia="zh-CN" w:bidi="ar-SA"/>
        </w:rPr>
        <w:t>10</w:t>
      </w:r>
      <w:r>
        <w:rPr>
          <w:rFonts w:hint="default" w:ascii="Times New Roman" w:hAnsi="Times New Roman" w:cs="Times New Roman"/>
          <w:b w:val="0"/>
          <w:bCs w:val="0"/>
          <w:sz w:val="24"/>
          <w:szCs w:val="28"/>
          <w:lang w:val="en-US" w:eastAsia="zh-CN"/>
        </w:rPr>
        <w:fldChar w:fldCharType="end"/>
      </w:r>
      <w:r>
        <w:rPr>
          <w:rFonts w:hint="eastAsia" w:ascii="Times New Roman" w:hAnsi="Times New Roman" w:cs="Times New Roman"/>
          <w:sz w:val="24"/>
          <w:lang w:val="en-US" w:eastAsia="zh-CN"/>
        </w:rPr>
        <w:t xml:space="preserve"> and GROVER,</w:t>
      </w:r>
      <w:r>
        <w:rPr>
          <w:rFonts w:hint="default" w:ascii="Times New Roman" w:hAnsi="Times New Roman" w:cs="Times New Roman"/>
          <w:b w:val="0"/>
          <w:bCs w:val="0"/>
          <w:sz w:val="24"/>
          <w:szCs w:val="28"/>
          <w:lang w:val="en-US" w:eastAsia="zh-CN"/>
        </w:rPr>
        <w:fldChar w:fldCharType="begin"/>
      </w:r>
      <w:r>
        <w:rPr>
          <w:rFonts w:hint="eastAsia" w:ascii="Times New Roman" w:hAnsi="Times New Roman" w:cs="Times New Roman"/>
          <w:b w:val="0"/>
          <w:bCs w:val="0"/>
          <w:sz w:val="24"/>
          <w:szCs w:val="28"/>
          <w:lang w:val="en-US" w:eastAsia="zh-CN"/>
        </w:rPr>
        <w:instrText xml:space="preserve"> ADDIN EN.CITE &lt;EndNote&gt;&lt;Cite&gt;&lt;Author&gt;Rong&lt;/Author&gt;&lt;Year&gt;2020&lt;/Year&gt;&lt;RecNum&gt;652&lt;/RecNum&gt;&lt;DisplayText&gt;&lt;style face="superscript"&gt;11&lt;/style&gt;&lt;/DisplayText&gt;&lt;record&gt;&lt;rec-number&gt;652&lt;/rec-number&gt;&lt;foreign-keys&gt;&lt;key app="EN" db-id="59xxxwf9ndvvwjev9tjxepeax5dxa2peepp9" timestamp="1769396779"&gt;652&lt;/key&gt;&lt;/foreign-keys&gt;&lt;ref-type name="Journal Article"&gt;17&lt;/ref-type&gt;&lt;contributors&gt;&lt;authors&gt;&lt;author&gt;Rong, Yu&lt;/author&gt;&lt;author&gt;Bian, Yatao&lt;/author&gt;&lt;author&gt;Xu, Tingyang&lt;/author&gt;&lt;author&gt;Xie, Weiyang&lt;/author&gt;&lt;author&gt;Wei, Ying&lt;/author&gt;&lt;author&gt;Huang, Wenbing&lt;/author&gt;&lt;author&gt;Huang, Junzhou&lt;/author&gt;&lt;/authors&gt;&lt;/contributors&gt;&lt;titles&gt;&lt;title&gt;Self-Supervised Graph Transformer on Large-Scale Molecular Data&lt;/title&gt;&lt;secondary-title&gt;Advances in Neural Information Processing Systems&lt;/secondary-title&gt;&lt;/titles&gt;&lt;periodical&gt;&lt;full-title&gt;Advances in Neural Information Processing Systems&lt;/full-title&gt;&lt;/periodical&gt;&lt;volume&gt;33&lt;/volume&gt;&lt;dates&gt;&lt;year&gt;2020&lt;/year&gt;&lt;/dates&gt;&lt;urls&gt;&lt;/urls&gt;&lt;/record&gt;&lt;/Cite&gt;&lt;/EndNote&gt;</w:instrText>
      </w:r>
      <w:r>
        <w:rPr>
          <w:rFonts w:hint="default" w:ascii="Times New Roman" w:hAnsi="Times New Roman" w:cs="Times New Roman"/>
          <w:b w:val="0"/>
          <w:bCs w:val="0"/>
          <w:sz w:val="24"/>
          <w:szCs w:val="28"/>
          <w:lang w:val="en-US" w:eastAsia="zh-CN"/>
        </w:rPr>
        <w:fldChar w:fldCharType="separate"/>
      </w:r>
      <w:r>
        <w:rPr>
          <w:rFonts w:hint="eastAsia" w:ascii="Times New Roman" w:hAnsi="Times New Roman" w:cs="Times New Roman" w:eastAsiaTheme="minorEastAsia"/>
          <w:b w:val="0"/>
          <w:bCs w:val="0"/>
          <w:kern w:val="2"/>
          <w:sz w:val="24"/>
          <w:szCs w:val="28"/>
          <w:vertAlign w:val="superscript"/>
          <w:lang w:val="en-US" w:eastAsia="zh-CN" w:bidi="ar-SA"/>
        </w:rPr>
        <w:t>11</w:t>
      </w:r>
      <w:r>
        <w:rPr>
          <w:rFonts w:hint="default" w:ascii="Times New Roman" w:hAnsi="Times New Roman" w:cs="Times New Roman"/>
          <w:b w:val="0"/>
          <w:bCs w:val="0"/>
          <w:sz w:val="24"/>
          <w:szCs w:val="28"/>
          <w:lang w:val="en-US" w:eastAsia="zh-CN"/>
        </w:rPr>
        <w:fldChar w:fldCharType="end"/>
      </w:r>
      <w:r>
        <w:rPr>
          <w:rFonts w:hint="eastAsia" w:ascii="Times New Roman" w:hAnsi="Times New Roman" w:cs="Times New Roman"/>
          <w:sz w:val="24"/>
          <w:lang w:val="en-US" w:eastAsia="zh-CN"/>
        </w:rPr>
        <w:t xml:space="preserve"> which learn structural features through attribute masking, autoregressive modeling, contrastive learning, and 2D&amp;3D multi-view pretraining. Finally, 3D geometry-aware representations are obtained from UniMol variants that explicitly encode atomic coordinates and spatial relationships, with UniMolV2 providing enhanced model capacity and improved geometric learning.</w:t>
      </w:r>
    </w:p>
    <w:p w14:paraId="08194F4E">
      <w:pPr>
        <w:rPr>
          <w:rFonts w:hint="default" w:ascii="Times New Roman" w:hAnsi="Times New Roman" w:cs="Times New Roman"/>
          <w:b/>
          <w:bCs/>
          <w:lang w:val="en-US" w:eastAsia="zh-CN"/>
        </w:rPr>
      </w:pPr>
    </w:p>
    <w:p w14:paraId="3D6559AB">
      <w:pP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Symbolic Regression</w:t>
      </w:r>
    </w:p>
    <w:p w14:paraId="673FD7E9">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 xml:space="preserve">Symbolic regression was performed using RDKit molecular descriptors as input features to construct task-specific descriptors for comparison, as discussed in the </w:t>
      </w:r>
      <w:r>
        <w:rPr>
          <w:rFonts w:hint="eastAsia" w:ascii="Times New Roman" w:hAnsi="Times New Roman" w:cs="Times New Roman"/>
          <w:i/>
          <w:iCs/>
          <w:sz w:val="24"/>
          <w:lang w:val="en-US" w:eastAsia="zh-CN"/>
        </w:rPr>
        <w:t>Complementarity in Molecular Representation Space</w:t>
      </w:r>
      <w:r>
        <w:rPr>
          <w:rFonts w:hint="eastAsia" w:ascii="Times New Roman" w:hAnsi="Times New Roman" w:cs="Times New Roman"/>
          <w:sz w:val="24"/>
          <w:lang w:val="en-US" w:eastAsia="zh-CN"/>
        </w:rPr>
        <w:t xml:space="preserve"> section of the main text. The symbolic regression models</w:t>
      </w:r>
      <w:r>
        <w:rPr>
          <w:rFonts w:hint="eastAsia" w:ascii="Times New Roman" w:hAnsi="Times New Roman" w:cs="Times New Roman"/>
          <w:sz w:val="24"/>
          <w:lang w:val="en-US" w:eastAsia="zh-CN"/>
        </w:rPr>
        <w:fldChar w:fldCharType="begin"/>
      </w:r>
      <w:r>
        <w:rPr>
          <w:rFonts w:hint="eastAsia" w:ascii="Times New Roman" w:hAnsi="Times New Roman" w:cs="Times New Roman"/>
          <w:sz w:val="24"/>
          <w:lang w:val="en-US" w:eastAsia="zh-CN"/>
        </w:rPr>
        <w:instrText xml:space="preserve"> ADDIN EN.CITE &lt;EndNote&gt;&lt;Cite&gt;&lt;Author&gt;Raghav&lt;/Author&gt;&lt;Year&gt;2024&lt;/Year&gt;&lt;RecNum&gt;717&lt;/RecNum&gt;&lt;DisplayText&gt;&lt;style face="superscript"&gt;12&lt;/style&gt;&lt;/DisplayText&gt;&lt;record&gt;&lt;rec-number&gt;717&lt;/rec-number&gt;&lt;foreign-keys&gt;&lt;key app="EN" db-id="59xxxwf9ndvvwjev9tjxepeax5dxa2peepp9" timestamp="1769408732"&gt;717&lt;/key&gt;&lt;/foreign-keys&gt;&lt;ref-type name="Conference Paper"&gt;47&lt;/ref-type&gt;&lt;contributors&gt;&lt;authors&gt;&lt;author&gt;S. Sanjith Raghav&lt;/author&gt;&lt;author&gt;S. Tejesh Kumar&lt;/author&gt;&lt;author&gt;Rishiikesh Balaji&lt;/author&gt;&lt;author&gt;M. Sanjay&lt;/author&gt;&lt;author&gt;C. Shunmuga&lt;/author&gt;&lt;/authors&gt;&lt;/contributors&gt;&lt;titles&gt;&lt;title&gt;Interactive Symbolic Regression - A Study on Noise Sensitivity and Extrapolation Accuracy&lt;/title&gt;&lt;secondary-title&gt;Proceedings of the Genetic and Evolutionary Computation Conference Companion&lt;/secondary-title&gt;&lt;/titles&gt;&lt;pages&gt;2076–2082&lt;/pages&gt;&lt;keywords&gt;&lt;keyword&gt;interactive symbolic regression, gplearn, user-interactive search and interactive evolutionary computation&lt;/keyword&gt;&lt;/keywords&gt;&lt;dates&gt;&lt;year&gt;2024&lt;/year&gt;&lt;/dates&gt;&lt;pub-location&gt;Melbourne, VIC, Australia&lt;/pub-location&gt;&lt;publisher&gt;Association for Computing Machinery&lt;/publisher&gt;&lt;urls&gt;&lt;related-urls&gt;&lt;url&gt;https://doi.org/10.1145/3638530.3664130&lt;/url&gt;&lt;/related-urls&gt;&lt;/urls&gt;&lt;electronic-resource-num&gt;10.1145/3638530.3664130&lt;/electronic-resource-num&gt;&lt;/record&gt;&lt;/Cite&gt;&lt;/EndNote&gt;</w:instrText>
      </w:r>
      <w:r>
        <w:rPr>
          <w:rFonts w:hint="eastAsia" w:ascii="Times New Roman" w:hAnsi="Times New Roman" w:cs="Times New Roman"/>
          <w:sz w:val="24"/>
          <w:lang w:val="en-US" w:eastAsia="zh-CN"/>
        </w:rPr>
        <w:fldChar w:fldCharType="separate"/>
      </w:r>
      <w:r>
        <w:rPr>
          <w:rFonts w:hint="eastAsia" w:ascii="Times New Roman" w:hAnsi="Times New Roman" w:cs="Times New Roman" w:eastAsiaTheme="minorEastAsia"/>
          <w:kern w:val="2"/>
          <w:sz w:val="24"/>
          <w:szCs w:val="24"/>
          <w:vertAlign w:val="superscript"/>
          <w:lang w:val="en-US" w:eastAsia="zh-CN" w:bidi="ar-SA"/>
        </w:rPr>
        <w:t>12</w:t>
      </w:r>
      <w:r>
        <w:rPr>
          <w:rFonts w:hint="eastAsia" w:ascii="Times New Roman" w:hAnsi="Times New Roman" w:cs="Times New Roman"/>
          <w:sz w:val="24"/>
          <w:lang w:val="en-US" w:eastAsia="zh-CN"/>
        </w:rPr>
        <w:fldChar w:fldCharType="end"/>
      </w:r>
      <w:r>
        <w:rPr>
          <w:rFonts w:hint="eastAsia" w:ascii="Times New Roman" w:hAnsi="Times New Roman" w:cs="Times New Roman"/>
          <w:sz w:val="24"/>
          <w:lang w:val="en-US" w:eastAsia="zh-CN"/>
        </w:rPr>
        <w:t xml:space="preserve"> were implemented using the gplearn library based on genetic programming, where a SymbolicTransformer was trained to evolve analytical expressions capturing nonlinear transformations of the original descriptors. The model was trained with a population size of 100,000 over 1,000 generations, using a function set comprising basic arithmetic and nonlinear operators (e.g., add, subtract, multiply, divide, logarithmic, trigonometric, and inverse functions). To control expression complexity and improve interpretability, a parsimony coefficient of 0.0001 was applied. The task type (classification or regression) was automatically determined based on the target variable, and generated symbolic features were evaluated using AUC for classification tasks or absolute correlation for regression tasks. Duplicate symbolic expressions were removed, and symbolic features were ranked according to their evaluation scores, with the top-K symbolic features selected for downstream analysis. All symbolic regression procedures were conducted exclusively within the training set of each task to prevent information leakage.</w:t>
      </w:r>
    </w:p>
    <w:p w14:paraId="36283EEE">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cs="Times New Roman"/>
          <w:sz w:val="24"/>
          <w:lang w:val="en-US" w:eastAsia="zh-CN"/>
        </w:rPr>
      </w:pPr>
    </w:p>
    <w:p w14:paraId="096FA122">
      <w:pP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Feature Selection and Importance Ranking</w:t>
      </w:r>
    </w:p>
    <w:p w14:paraId="36ABA6DA">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Feature importance ranking and descriptor selection were performed using mutual information-based and correlation-based ranking methods as implemented in scikit-learn,</w:t>
      </w:r>
      <w:r>
        <w:rPr>
          <w:rFonts w:hint="eastAsia" w:ascii="Times New Roman" w:hAnsi="Times New Roman" w:cs="Times New Roman"/>
          <w:sz w:val="24"/>
          <w:lang w:val="en-US" w:eastAsia="zh-CN"/>
        </w:rPr>
        <w:fldChar w:fldCharType="begin"/>
      </w:r>
      <w:r>
        <w:rPr>
          <w:rFonts w:hint="eastAsia" w:ascii="Times New Roman" w:hAnsi="Times New Roman" w:cs="Times New Roman"/>
          <w:sz w:val="24"/>
          <w:lang w:val="en-US" w:eastAsia="zh-CN"/>
        </w:rPr>
        <w:instrText xml:space="preserve"> ADDIN EN.CITE &lt;EndNote&gt;&lt;Cite&gt;&lt;Author&gt;Pedregosa&lt;/Author&gt;&lt;Year&gt;2011&lt;/Year&gt;&lt;RecNum&gt;718&lt;/RecNum&gt;&lt;DisplayText&gt;&lt;style face="superscript"&gt;13&lt;/style&gt;&lt;/DisplayText&gt;&lt;record&gt;&lt;rec-number&gt;718&lt;/rec-number&gt;&lt;foreign-keys&gt;&lt;key app="EN" db-id="59xxxwf9ndvvwjev9tjxepeax5dxa2peepp9" timestamp="1769408849"&gt;718&lt;/key&gt;&lt;/foreign-keys&gt;&lt;ref-type name="Journal Article"&gt;17&lt;/ref-type&gt;&lt;contributors&gt;&lt;authors&gt;&lt;author&gt;Fabian Pedregosa&lt;/author&gt;&lt;author&gt;Gaël Varoquaux&lt;/author&gt;&lt;author&gt;Alexandre Gramfort&lt;/author&gt;&lt;author&gt;Vincent Michel&lt;/author&gt;&lt;author&gt;Bertrand Thirion&lt;/author&gt;&lt;author&gt;Olivier Grisel&lt;/author&gt;&lt;author&gt;Mathieu Blondel&lt;/author&gt;&lt;author&gt;Peter Prettenhofer&lt;/author&gt;&lt;author&gt;Ron Weiss&lt;/author&gt;&lt;author&gt;Vincent Dubourg&lt;/author&gt;&lt;author&gt;Jake Vanderplas&lt;/author&gt;&lt;author&gt;Alexandre Passos&lt;/author&gt;&lt;author&gt;David Cournapeau&lt;/author&gt;&lt;author&gt;Matthieu Brucher&lt;/author&gt;&lt;author&gt;Matthieu Perrot&lt;/author&gt;&lt;author&gt;Édouard Duchesnay&lt;/author&gt;&lt;/authors&gt;&lt;/contributors&gt;&lt;titles&gt;&lt;title&gt;Scikit-learn: Machine Learning in Python&lt;/title&gt;&lt;/titles&gt;&lt;pages&gt;2825–2830&lt;/pages&gt;&lt;volume&gt;12&lt;/volume&gt;&lt;number&gt;null %J J. Mach. Learn. Res.&lt;/number&gt;&lt;dates&gt;&lt;year&gt;2011&lt;/year&gt;&lt;/dates&gt;&lt;isbn&gt;1532-4435&lt;/isbn&gt;&lt;urls&gt;&lt;/urls&gt;&lt;/record&gt;&lt;/Cite&gt;&lt;/EndNote&gt;</w:instrText>
      </w:r>
      <w:r>
        <w:rPr>
          <w:rFonts w:hint="eastAsia" w:ascii="Times New Roman" w:hAnsi="Times New Roman" w:cs="Times New Roman"/>
          <w:sz w:val="24"/>
          <w:lang w:val="en-US" w:eastAsia="zh-CN"/>
        </w:rPr>
        <w:fldChar w:fldCharType="separate"/>
      </w:r>
      <w:r>
        <w:rPr>
          <w:rFonts w:hint="eastAsia" w:ascii="Times New Roman" w:hAnsi="Times New Roman" w:cs="Times New Roman" w:eastAsiaTheme="minorEastAsia"/>
          <w:kern w:val="2"/>
          <w:sz w:val="24"/>
          <w:szCs w:val="24"/>
          <w:vertAlign w:val="superscript"/>
          <w:lang w:val="en-US" w:eastAsia="zh-CN" w:bidi="ar-SA"/>
        </w:rPr>
        <w:t>13</w:t>
      </w:r>
      <w:r>
        <w:rPr>
          <w:rFonts w:hint="eastAsia" w:ascii="Times New Roman" w:hAnsi="Times New Roman" w:cs="Times New Roman"/>
          <w:sz w:val="24"/>
          <w:lang w:val="en-US" w:eastAsia="zh-CN"/>
        </w:rPr>
        <w:fldChar w:fldCharType="end"/>
      </w:r>
      <w:r>
        <w:rPr>
          <w:rFonts w:hint="eastAsia" w:ascii="Times New Roman" w:hAnsi="Times New Roman" w:cs="Times New Roman"/>
          <w:sz w:val="24"/>
          <w:lang w:val="en-US" w:eastAsia="zh-CN"/>
        </w:rPr>
        <w:t xml:space="preserve"> where mutual information captures both linear and nonlinear dependencies between descriptors and the target property. The top-K descriptors were selected for subsequent analysis to evaluate descriptor relevance and complementarity, as described in the </w:t>
      </w:r>
      <w:r>
        <w:rPr>
          <w:rFonts w:hint="eastAsia" w:ascii="Times New Roman" w:hAnsi="Times New Roman" w:cs="Times New Roman"/>
          <w:i/>
          <w:iCs/>
          <w:sz w:val="24"/>
          <w:lang w:val="en-US" w:eastAsia="zh-CN"/>
        </w:rPr>
        <w:t>Complementarity in Molecular Representation Space</w:t>
      </w:r>
      <w:r>
        <w:rPr>
          <w:rFonts w:hint="eastAsia" w:ascii="Times New Roman" w:hAnsi="Times New Roman" w:cs="Times New Roman"/>
          <w:sz w:val="24"/>
          <w:lang w:val="en-US" w:eastAsia="zh-CN"/>
        </w:rPr>
        <w:t xml:space="preserve"> section of the main text.</w:t>
      </w:r>
    </w:p>
    <w:p w14:paraId="2BA72671">
      <w:pPr>
        <w:rPr>
          <w:rFonts w:hint="default" w:ascii="Times New Roman" w:hAnsi="Times New Roman" w:cs="Times New Roman"/>
          <w:b/>
          <w:bCs/>
          <w:lang w:val="en-US" w:eastAsia="zh-CN"/>
        </w:rPr>
      </w:pPr>
    </w:p>
    <w:p w14:paraId="18EEB99C">
      <w:pP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Evaluation Metrics and Analysis</w:t>
      </w:r>
    </w:p>
    <w:p w14:paraId="0EC844F5">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Model performance was evaluated using the area under the receiver operating characteristic curve (AUC) for classification tasks, and the root mean square error (RMSE) and coefficient of determination (R²) for regression tasks. Beyond predictive accuracy, representation-level analyses were conducted to characterize geometric structure and semantic complementarity in the molecular representation space. Permutation invariance tests were used to assess prediction stability with respect to feature ordering. Clustering quality in latent spaces was evaluated using the silhouette coefficient</w:t>
      </w:r>
      <w:r>
        <w:rPr>
          <w:rFonts w:hint="default" w:ascii="Times New Roman" w:hAnsi="Times New Roman" w:cs="Times New Roman"/>
          <w:sz w:val="24"/>
          <w:szCs w:val="24"/>
          <w:lang w:val="en-US" w:eastAsia="zh-CN"/>
        </w:rPr>
        <w:fldChar w:fldCharType="begin"/>
      </w:r>
      <w:r>
        <w:rPr>
          <w:rFonts w:hint="eastAsia" w:ascii="Times New Roman" w:hAnsi="Times New Roman" w:cs="Times New Roman"/>
          <w:sz w:val="24"/>
          <w:szCs w:val="24"/>
          <w:lang w:val="en-US" w:eastAsia="zh-CN"/>
        </w:rPr>
        <w:instrText xml:space="preserve"> ADDIN EN.CITE &lt;EndNote&gt;&lt;Cite&gt;&lt;Author&gt;Lai&lt;/Author&gt;&lt;Year&gt;2025&lt;/Year&gt;&lt;RecNum&gt;675&lt;/RecNum&gt;&lt;DisplayText&gt;&lt;style face="superscript"&gt;14&lt;/style&gt;&lt;/DisplayText&gt;&lt;record&gt;&lt;rec-number&gt;675&lt;/rec-number&gt;&lt;foreign-keys&gt;&lt;key app="EN" db-id="59xxxwf9ndvvwjev9tjxepeax5dxa2peepp9" timestamp="1769396779"&gt;675&lt;/key&gt;&lt;/foreign-keys&gt;&lt;ref-type name="Journal Article"&gt;17&lt;/ref-type&gt;&lt;contributors&gt;&lt;authors&gt;&lt;author&gt;Lai, Huixia&lt;/author&gt;&lt;author&gt;Huang, Tao&lt;/author&gt;&lt;author&gt;Lu, BinLong&lt;/author&gt;&lt;author&gt;Zhang, Shi&lt;/author&gt;&lt;author&gt;Xiaog, Ruliang&lt;/author&gt;&lt;/authors&gt;&lt;/contributors&gt;&lt;titles&gt;&lt;title&gt;Silhouette coefficient-based weighting k-means algorithm&lt;/title&gt;&lt;secondary-title&gt;Neural Computing and Applications&lt;/secondary-title&gt;&lt;/titles&gt;&lt;periodical&gt;&lt;full-title&gt;Neural Computing and Applications&lt;/full-title&gt;&lt;/periodical&gt;&lt;pages&gt;3061-3075&lt;/pages&gt;&lt;volume&gt;37&lt;/volume&gt;&lt;number&gt;5&lt;/number&gt;&lt;dates&gt;&lt;year&gt;2025&lt;/year&gt;&lt;pub-dates&gt;&lt;date&gt;2025/02/01&lt;/date&gt;&lt;/pub-dates&gt;&lt;/dates&gt;&lt;isbn&gt;1433-3058&lt;/isbn&gt;&lt;urls&gt;&lt;related-urls&gt;&lt;url&gt;https://doi.org/10.1007/s00521-024-10706-0&lt;/url&gt;&lt;/related-urls&gt;&lt;/urls&gt;&lt;electronic-resource-num&gt;10.1007/s00521-024-10706-0&lt;/electronic-resource-num&gt;&lt;/record&gt;&lt;/Cite&gt;&lt;/EndNote&gt;</w:instrText>
      </w:r>
      <w:r>
        <w:rPr>
          <w:rFonts w:hint="default" w:ascii="Times New Roman" w:hAnsi="Times New Roman" w:cs="Times New Roman"/>
          <w:sz w:val="24"/>
          <w:szCs w:val="24"/>
          <w:lang w:val="en-US" w:eastAsia="zh-CN"/>
        </w:rPr>
        <w:fldChar w:fldCharType="separate"/>
      </w:r>
      <w:r>
        <w:rPr>
          <w:rFonts w:hint="eastAsia" w:ascii="Times New Roman" w:hAnsi="Times New Roman" w:cs="Times New Roman" w:eastAsiaTheme="minorEastAsia"/>
          <w:kern w:val="2"/>
          <w:sz w:val="24"/>
          <w:szCs w:val="24"/>
          <w:vertAlign w:val="superscript"/>
          <w:lang w:val="en-US" w:eastAsia="zh-CN" w:bidi="ar-SA"/>
        </w:rPr>
        <w:t>14</w:t>
      </w:r>
      <w:r>
        <w:rPr>
          <w:rFonts w:hint="default" w:ascii="Times New Roman" w:hAnsi="Times New Roman" w:cs="Times New Roman"/>
          <w:sz w:val="24"/>
          <w:szCs w:val="24"/>
          <w:lang w:val="en-US" w:eastAsia="zh-CN"/>
        </w:rPr>
        <w:fldChar w:fldCharType="end"/>
      </w:r>
      <w:r>
        <w:rPr>
          <w:rFonts w:hint="eastAsia" w:ascii="Times New Roman" w:hAnsi="Times New Roman" w:cs="Times New Roman"/>
          <w:sz w:val="24"/>
          <w:lang w:val="en-US" w:eastAsia="zh-CN"/>
        </w:rPr>
        <w:t xml:space="preserve"> and Davies-Bouldin index,</w:t>
      </w:r>
      <w:r>
        <w:rPr>
          <w:rFonts w:hint="default" w:ascii="Times New Roman" w:hAnsi="Times New Roman" w:cs="Times New Roman"/>
          <w:sz w:val="24"/>
          <w:szCs w:val="24"/>
          <w:lang w:val="en-US" w:eastAsia="zh-CN"/>
        </w:rPr>
        <w:fldChar w:fldCharType="begin"/>
      </w:r>
      <w:r>
        <w:rPr>
          <w:rFonts w:hint="eastAsia" w:ascii="Times New Roman" w:hAnsi="Times New Roman" w:cs="Times New Roman"/>
          <w:sz w:val="24"/>
          <w:szCs w:val="24"/>
          <w:lang w:val="en-US" w:eastAsia="zh-CN"/>
        </w:rPr>
        <w:instrText xml:space="preserve"> ADDIN EN.CITE &lt;EndNote&gt;&lt;Cite&gt;&lt;Author&gt;Xiao&lt;/Author&gt;&lt;Year&gt;2017&lt;/Year&gt;&lt;RecNum&gt;676&lt;/RecNum&gt;&lt;DisplayText&gt;&lt;style face="superscript"&gt;15&lt;/style&gt;&lt;/DisplayText&gt;&lt;record&gt;&lt;rec-number&gt;676&lt;/rec-number&gt;&lt;foreign-keys&gt;&lt;key app="EN" db-id="59xxxwf9ndvvwjev9tjxepeax5dxa2peepp9" timestamp="1769396779"&gt;676&lt;/key&gt;&lt;/foreign-keys&gt;&lt;ref-type name="Journal Article"&gt;17&lt;/ref-type&gt;&lt;contributors&gt;&lt;authors&gt;&lt;author&gt;Xiao,  Junwei&lt;/author&gt;&lt;author&gt;Lu,  Jianfeng&lt;/author&gt;&lt;author&gt;Li,  Xiangyu&lt;/author&gt;&lt;/authors&gt;&lt;/contributors&gt;&lt;titles&gt;&lt;title&gt;Davies Bouldin Index based hierarchical initialization K-means&lt;/title&gt;&lt;secondary-title&gt;Intelligent Data Analysis&lt;/secondary-title&gt;&lt;/titles&gt;&lt;periodical&gt;&lt;full-title&gt;Intelligent Data Analysis&lt;/full-title&gt;&lt;/periodical&gt;&lt;pages&gt;1327-1338&lt;/pages&gt;&lt;volume&gt;21&lt;/volume&gt;&lt;number&gt;6&lt;/number&gt;&lt;dates&gt;&lt;year&gt;2017&lt;/year&gt;&lt;pub-dates&gt;&lt;date&gt;2017/11/01&lt;/date&gt;&lt;/pub-dates&gt;&lt;/dates&gt;&lt;publisher&gt;SAGE Publications&lt;/publisher&gt;&lt;isbn&gt;1088-467X&lt;/isbn&gt;&lt;urls&gt;&lt;related-urls&gt;&lt;url&gt;https://journals.sagepub.com/action/showAbstract&lt;/url&gt;&lt;/related-urls&gt;&lt;/urls&gt;&lt;electronic-resource-num&gt;10.3233/IDA-163129&lt;/electronic-resource-num&gt;&lt;access-date&gt;2026/01/25&lt;/access-date&gt;&lt;/record&gt;&lt;/Cite&gt;&lt;/EndNote&gt;</w:instrText>
      </w:r>
      <w:r>
        <w:rPr>
          <w:rFonts w:hint="default" w:ascii="Times New Roman" w:hAnsi="Times New Roman" w:cs="Times New Roman"/>
          <w:sz w:val="24"/>
          <w:szCs w:val="24"/>
          <w:lang w:val="en-US" w:eastAsia="zh-CN"/>
        </w:rPr>
        <w:fldChar w:fldCharType="separate"/>
      </w:r>
      <w:r>
        <w:rPr>
          <w:rFonts w:hint="eastAsia" w:ascii="Times New Roman" w:hAnsi="Times New Roman" w:cs="Times New Roman" w:eastAsiaTheme="minorEastAsia"/>
          <w:kern w:val="2"/>
          <w:sz w:val="24"/>
          <w:szCs w:val="24"/>
          <w:vertAlign w:val="superscript"/>
          <w:lang w:val="en-US" w:eastAsia="zh-CN" w:bidi="ar-SA"/>
        </w:rPr>
        <w:t>15</w:t>
      </w:r>
      <w:r>
        <w:rPr>
          <w:rFonts w:hint="default" w:ascii="Times New Roman" w:hAnsi="Times New Roman" w:cs="Times New Roman"/>
          <w:sz w:val="24"/>
          <w:szCs w:val="24"/>
          <w:lang w:val="en-US" w:eastAsia="zh-CN"/>
        </w:rPr>
        <w:fldChar w:fldCharType="end"/>
      </w:r>
      <w:r>
        <w:rPr>
          <w:rFonts w:hint="eastAsia" w:ascii="Times New Roman" w:hAnsi="Times New Roman" w:cs="Times New Roman"/>
          <w:sz w:val="24"/>
          <w:lang w:val="en-US" w:eastAsia="zh-CN"/>
        </w:rPr>
        <w:t xml:space="preserve"> measuring cluster compactness and separation, respectively. Complementarity analysis was performed to quantify synergistic effects between different molecular representations across tasks, and centered kernel alignment (CKA)</w:t>
      </w:r>
      <w:r>
        <w:rPr>
          <w:rFonts w:hint="eastAsia" w:ascii="Times New Roman" w:hAnsi="Times New Roman" w:eastAsia="等线" w:cs="Times New Roman"/>
          <w:color w:val="000000"/>
          <w:sz w:val="24"/>
          <w:szCs w:val="24"/>
          <w:lang w:val="en-US" w:eastAsia="zh-CN"/>
        </w:rPr>
        <w:fldChar w:fldCharType="begin"/>
      </w:r>
      <w:r>
        <w:rPr>
          <w:rFonts w:hint="eastAsia" w:ascii="Times New Roman" w:hAnsi="Times New Roman" w:eastAsia="等线" w:cs="Times New Roman"/>
          <w:color w:val="000000"/>
          <w:sz w:val="24"/>
          <w:szCs w:val="24"/>
          <w:lang w:val="en-US" w:eastAsia="zh-CN"/>
        </w:rPr>
        <w:instrText xml:space="preserve"> ADDIN EN.CITE &lt;EndNote&gt;&lt;Cite&gt;&lt;Author&gt;Wang&lt;/Author&gt;&lt;Year&gt;2015&lt;/Year&gt;&lt;RecNum&gt;695&lt;/RecNum&gt;&lt;DisplayText&gt;&lt;style face="superscript"&gt;16&lt;/style&gt;&lt;/DisplayText&gt;&lt;record&gt;&lt;rec-number&gt;695&lt;/rec-number&gt;&lt;foreign-keys&gt;&lt;key app="EN" db-id="59xxxwf9ndvvwjev9tjxepeax5dxa2peepp9" timestamp="1769403704"&gt;695&lt;/key&gt;&lt;/foreign-keys&gt;&lt;ref-type name="Journal Article"&gt;17&lt;/ref-type&gt;&lt;contributors&gt;&lt;authors&gt;&lt;author&gt;Wang, Tinghua&lt;/author&gt;&lt;author&gt;Zhao, Dongyan&lt;/author&gt;&lt;author&gt;Tian, Shengfeng&lt;/author&gt;&lt;/authors&gt;&lt;/contributors&gt;&lt;titles&gt;&lt;title&gt;An overview of kernel alignment and its applications&lt;/title&gt;&lt;secondary-title&gt;Artificial Intelligence Review&lt;/secondary-title&gt;&lt;/titles&gt;&lt;periodical&gt;&lt;full-title&gt;Artificial Intelligence Review&lt;/full-title&gt;&lt;/periodical&gt;&lt;pages&gt;179-192&lt;/pages&gt;&lt;volume&gt;43&lt;/volume&gt;&lt;number&gt;2&lt;/number&gt;&lt;dates&gt;&lt;year&gt;2015&lt;/year&gt;&lt;pub-dates&gt;&lt;date&gt;2015/02/01&lt;/date&gt;&lt;/pub-dates&gt;&lt;/dates&gt;&lt;isbn&gt;1573-7462&lt;/isbn&gt;&lt;urls&gt;&lt;related-urls&gt;&lt;url&gt;https://doi.org/10.1007/s10462-012-9369-4&lt;/url&gt;&lt;/related-urls&gt;&lt;/urls&gt;&lt;electronic-resource-num&gt;10.1007/s10462-012-9369-4&lt;/electronic-resource-num&gt;&lt;/record&gt;&lt;/Cite&gt;&lt;/EndNote&gt;</w:instrText>
      </w:r>
      <w:r>
        <w:rPr>
          <w:rFonts w:hint="eastAsia" w:ascii="Times New Roman" w:hAnsi="Times New Roman" w:eastAsia="等线" w:cs="Times New Roman"/>
          <w:color w:val="000000"/>
          <w:sz w:val="24"/>
          <w:szCs w:val="24"/>
          <w:lang w:val="en-US" w:eastAsia="zh-CN"/>
        </w:rPr>
        <w:fldChar w:fldCharType="separate"/>
      </w:r>
      <w:r>
        <w:rPr>
          <w:rFonts w:hint="eastAsia" w:ascii="Times New Roman" w:hAnsi="Times New Roman" w:eastAsia="等线" w:cs="Times New Roman"/>
          <w:color w:val="000000"/>
          <w:kern w:val="2"/>
          <w:sz w:val="24"/>
          <w:szCs w:val="24"/>
          <w:vertAlign w:val="superscript"/>
          <w:lang w:val="en-US" w:eastAsia="zh-CN" w:bidi="ar-SA"/>
        </w:rPr>
        <w:t>16</w:t>
      </w:r>
      <w:r>
        <w:rPr>
          <w:rFonts w:hint="eastAsia" w:ascii="Times New Roman" w:hAnsi="Times New Roman" w:eastAsia="等线" w:cs="Times New Roman"/>
          <w:color w:val="000000"/>
          <w:sz w:val="24"/>
          <w:szCs w:val="24"/>
          <w:lang w:val="en-US" w:eastAsia="zh-CN"/>
        </w:rPr>
        <w:fldChar w:fldCharType="end"/>
      </w:r>
      <w:r>
        <w:rPr>
          <w:rFonts w:hint="eastAsia" w:ascii="Times New Roman" w:hAnsi="Times New Roman" w:eastAsia="等线" w:cs="Times New Roman"/>
          <w:color w:val="000000"/>
          <w:sz w:val="24"/>
          <w:szCs w:val="24"/>
          <w:lang w:val="en-US" w:eastAsia="zh-CN"/>
        </w:rPr>
        <w:t xml:space="preserve"> </w:t>
      </w:r>
      <w:r>
        <w:rPr>
          <w:rFonts w:hint="eastAsia" w:ascii="Times New Roman" w:hAnsi="Times New Roman" w:cs="Times New Roman"/>
          <w:sz w:val="24"/>
          <w:lang w:val="en-US" w:eastAsia="zh-CN"/>
        </w:rPr>
        <w:t>was employed to assess pairwise semantic similarity and orthogonality between representation spaces.</w:t>
      </w:r>
    </w:p>
    <w:p w14:paraId="40CC8244">
      <w:pPr>
        <w:rPr>
          <w:rFonts w:hint="default" w:ascii="Times New Roman" w:hAnsi="Times New Roman" w:cs="Times New Roman"/>
          <w:b/>
          <w:bCs/>
          <w:lang w:val="en-US" w:eastAsia="zh-CN"/>
        </w:rPr>
      </w:pPr>
    </w:p>
    <w:p w14:paraId="59BB3307">
      <w:pP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Compound Library for Virtual Screening</w:t>
      </w:r>
    </w:p>
    <w:p w14:paraId="2DD4EF95">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 xml:space="preserve">The virtual screening was performed using the MCE Bioactive Compound Library (MedChemExpress), which comprises structurally diverse small molecules with experimentally validated biological activities and annotated biological targets. The library is designed for drug discovery and virtual screening applications and has been widely used in both academic and industrial studies. </w:t>
      </w:r>
    </w:p>
    <w:p w14:paraId="5433D905">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imes New Roman" w:hAnsi="Times New Roman" w:cs="Times New Roman"/>
          <w:sz w:val="24"/>
          <w:lang w:val="en-US" w:eastAsia="zh-CN"/>
        </w:rPr>
      </w:pPr>
    </w:p>
    <w:p w14:paraId="5E7EEDBE">
      <w:pP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Virtual Screening Setup and Biochemical Assays</w:t>
      </w:r>
    </w:p>
    <w:p w14:paraId="440C826E">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 xml:space="preserve">Similarity-based virtual screening was performed using ArcMol latent representations, with pexidartinib and ponatinib used as reference anchor compounds. </w:t>
      </w:r>
      <w:r>
        <w:rPr>
          <w:rFonts w:hint="eastAsia" w:ascii="Times New Roman" w:hAnsi="Times New Roman" w:cs="Times New Roman"/>
          <w:sz w:val="24"/>
          <w:lang w:val="en-US" w:eastAsia="zh-CN"/>
        </w:rPr>
        <w:t>M</w:t>
      </w:r>
      <w:r>
        <w:rPr>
          <w:rFonts w:hint="default" w:ascii="Times New Roman" w:hAnsi="Times New Roman" w:cs="Times New Roman"/>
          <w:sz w:val="24"/>
          <w:lang w:val="en-US" w:eastAsia="zh-CN"/>
        </w:rPr>
        <w:t>olecular similarity was quantified using cosine similarity in the ArcMol latent space</w:t>
      </w:r>
      <w:r>
        <w:rPr>
          <w:rFonts w:hint="eastAsia" w:ascii="Times New Roman" w:hAnsi="Times New Roman" w:cs="Times New Roman"/>
          <w:sz w:val="24"/>
          <w:lang w:val="en-US" w:eastAsia="zh-CN"/>
        </w:rPr>
        <w:t xml:space="preserve"> of IRAK4 task</w:t>
      </w:r>
      <w:r>
        <w:rPr>
          <w:rFonts w:hint="default" w:ascii="Times New Roman" w:hAnsi="Times New Roman" w:cs="Times New Roman"/>
          <w:sz w:val="24"/>
          <w:lang w:val="en-US" w:eastAsia="zh-CN"/>
        </w:rPr>
        <w:t>, and retrieved the 1000 most similar molecules from the MCE bioactive compound library, resulting in a comprehensive set of candidates.</w:t>
      </w:r>
      <w:r>
        <w:rPr>
          <w:rFonts w:hint="eastAsia" w:ascii="Times New Roman" w:hAnsi="Times New Roman" w:cs="Times New Roman"/>
          <w:sz w:val="24"/>
          <w:lang w:val="en-US" w:eastAsia="zh-CN"/>
        </w:rPr>
        <w:t xml:space="preserve"> </w:t>
      </w:r>
      <w:r>
        <w:rPr>
          <w:rFonts w:hint="default" w:ascii="Times New Roman" w:hAnsi="Times New Roman" w:cs="Times New Roman"/>
          <w:sz w:val="24"/>
          <w:lang w:val="en-US" w:eastAsia="zh-CN"/>
        </w:rPr>
        <w:t>Subsequently, molecular docking was performed between the candidate compounds and the inactive IRAK4 conformation using AutoDock Vina software. The search thoroughness was increased during molecular docking by setting the exhaustiveness parameter to 64, generating a maximum of 9 binding conformations per ligand (num_modes = 9), and using an energy range of 5 kcal/mol.</w:t>
      </w:r>
      <w:r>
        <w:rPr>
          <w:rFonts w:hint="eastAsia" w:ascii="Times New Roman" w:hAnsi="Times New Roman" w:cs="Times New Roman"/>
          <w:sz w:val="24"/>
          <w:lang w:val="en-US" w:eastAsia="zh-CN"/>
        </w:rPr>
        <w:t xml:space="preserve"> </w:t>
      </w:r>
      <w:r>
        <w:rPr>
          <w:rFonts w:hint="default" w:ascii="Times New Roman" w:hAnsi="Times New Roman" w:cs="Times New Roman"/>
          <w:sz w:val="24"/>
          <w:lang w:val="en-US" w:eastAsia="zh-CN"/>
        </w:rPr>
        <w:t xml:space="preserve">Compounds </w:t>
      </w:r>
      <w:r>
        <w:rPr>
          <w:rFonts w:hint="eastAsia" w:ascii="Times New Roman" w:hAnsi="Times New Roman" w:cs="Times New Roman"/>
          <w:sz w:val="24"/>
          <w:lang w:val="en-US" w:eastAsia="zh-CN"/>
        </w:rPr>
        <w:t xml:space="preserve">with </w:t>
      </w:r>
      <w:r>
        <w:rPr>
          <w:rFonts w:hint="default" w:ascii="Times New Roman" w:hAnsi="Times New Roman" w:cs="Times New Roman"/>
          <w:sz w:val="24"/>
          <w:lang w:val="en-US" w:eastAsia="zh-CN"/>
        </w:rPr>
        <w:t>docking scores higher than that of ponatinib were retained, yielding a total of 284 candidate compounds.. Predicted binding poses were further analyzed</w:t>
      </w:r>
      <w:r>
        <w:rPr>
          <w:rFonts w:hint="eastAsia" w:ascii="Times New Roman" w:hAnsi="Times New Roman" w:cs="Times New Roman"/>
          <w:sz w:val="24"/>
          <w:lang w:val="en-US" w:eastAsia="zh-CN"/>
        </w:rPr>
        <w:t xml:space="preserve"> </w:t>
      </w:r>
      <w:r>
        <w:rPr>
          <w:rFonts w:hint="default" w:ascii="Times New Roman" w:hAnsi="Times New Roman" w:cs="Times New Roman"/>
          <w:sz w:val="24"/>
          <w:lang w:val="en-US" w:eastAsia="zh-CN"/>
        </w:rPr>
        <w:t>by manual inspection to assess compatibility with a type II binding mode, including key interactions and overall pose geometry.</w:t>
      </w:r>
    </w:p>
    <w:p w14:paraId="013B97FE">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Based on molecular docking performance and binding mode consistency, 15 compounds were identified as candidates for experimental evaluation, and their chemical structures are shown in Fig. S</w:t>
      </w:r>
      <w:r>
        <w:rPr>
          <w:rFonts w:hint="eastAsia" w:ascii="Times New Roman" w:hAnsi="Times New Roman" w:cs="Times New Roman"/>
          <w:sz w:val="24"/>
          <w:lang w:val="en-US" w:eastAsia="zh-CN"/>
        </w:rPr>
        <w:t>10</w:t>
      </w:r>
      <w:r>
        <w:rPr>
          <w:rFonts w:hint="default" w:ascii="Times New Roman" w:hAnsi="Times New Roman" w:cs="Times New Roman"/>
          <w:sz w:val="24"/>
          <w:lang w:val="en-US" w:eastAsia="zh-CN"/>
        </w:rPr>
        <w:t>. Taking into account chemical diversity and commercial availability, six candidates were further selected for full dose–response biochemical analysis to determine their IC</w:t>
      </w:r>
      <w:r>
        <w:rPr>
          <w:rFonts w:hint="default" w:ascii="Times New Roman" w:hAnsi="Times New Roman" w:cs="Times New Roman"/>
          <w:sz w:val="24"/>
          <w:vertAlign w:val="subscript"/>
          <w:lang w:val="en-US" w:eastAsia="zh-CN"/>
        </w:rPr>
        <w:t>50</w:t>
      </w:r>
      <w:r>
        <w:rPr>
          <w:rFonts w:hint="default" w:ascii="Times New Roman" w:hAnsi="Times New Roman" w:cs="Times New Roman"/>
          <w:sz w:val="24"/>
          <w:lang w:val="en-US" w:eastAsia="zh-CN"/>
        </w:rPr>
        <w:t xml:space="preserve"> values.</w:t>
      </w:r>
    </w:p>
    <w:p w14:paraId="014BCCA8">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sz w:val="24"/>
          <w:lang w:val="en-US" w:eastAsia="zh-CN"/>
        </w:rPr>
      </w:pPr>
    </w:p>
    <w:p w14:paraId="32BB64BC">
      <w:pPr>
        <w:widowControl/>
        <w:spacing w:line="360" w:lineRule="auto"/>
        <w:jc w:val="both"/>
        <w:rPr>
          <w:rFonts w:ascii="Times New Roman" w:hAnsi="Times New Roman" w:cs="Times New Roman" w:eastAsiaTheme="minorEastAsia"/>
          <w:b/>
          <w:bCs w:val="0"/>
          <w:i w:val="0"/>
          <w:iCs/>
          <w:sz w:val="24"/>
          <w:szCs w:val="24"/>
        </w:rPr>
      </w:pPr>
      <w:r>
        <w:rPr>
          <w:rFonts w:ascii="Times New Roman" w:hAnsi="Times New Roman" w:cs="Times New Roman" w:eastAsiaTheme="minorEastAsia"/>
          <w:b/>
          <w:bCs w:val="0"/>
          <w:i w:val="0"/>
          <w:iCs/>
          <w:sz w:val="24"/>
          <w:szCs w:val="24"/>
        </w:rPr>
        <w:t>Biological Assay Methods</w:t>
      </w:r>
      <w:r>
        <w:rPr>
          <w:rFonts w:hint="eastAsia" w:ascii="Times New Roman" w:hAnsi="Times New Roman" w:cs="Times New Roman" w:eastAsiaTheme="minorEastAsia"/>
          <w:b/>
          <w:bCs w:val="0"/>
          <w:i w:val="0"/>
          <w:iCs/>
          <w:sz w:val="24"/>
          <w:szCs w:val="24"/>
          <w:lang w:val="en-US" w:eastAsia="zh-CN"/>
        </w:rPr>
        <w:t xml:space="preserve"> </w:t>
      </w:r>
    </w:p>
    <w:p w14:paraId="380C53F3">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cs="Times New Roman"/>
          <w:sz w:val="24"/>
          <w:szCs w:val="28"/>
          <w:lang w:val="en-US" w:eastAsia="zh-CN"/>
        </w:rPr>
      </w:pPr>
      <w:r>
        <w:rPr>
          <w:rFonts w:hint="default" w:ascii="Times New Roman" w:hAnsi="Times New Roman" w:cs="Times New Roman"/>
          <w:b/>
          <w:bCs/>
          <w:sz w:val="24"/>
          <w:szCs w:val="28"/>
          <w:lang w:val="en-US" w:eastAsia="zh-CN"/>
        </w:rPr>
        <w:t>IRAK4 Kinase Inhibition Assay</w:t>
      </w:r>
      <w:r>
        <w:rPr>
          <w:rFonts w:hint="eastAsia" w:ascii="Times New Roman" w:hAnsi="Times New Roman" w:cs="Times New Roman"/>
          <w:b/>
          <w:bCs/>
          <w:sz w:val="24"/>
          <w:szCs w:val="28"/>
          <w:lang w:val="en-US" w:eastAsia="zh-CN"/>
        </w:rPr>
        <w:t>:</w:t>
      </w:r>
      <w:r>
        <w:rPr>
          <w:rFonts w:hint="eastAsia" w:ascii="Times New Roman" w:hAnsi="Times New Roman" w:cs="Times New Roman"/>
          <w:sz w:val="24"/>
          <w:szCs w:val="28"/>
          <w:lang w:val="en-US" w:eastAsia="zh-CN"/>
        </w:rPr>
        <w:t xml:space="preserve"> </w:t>
      </w:r>
      <w:r>
        <w:rPr>
          <w:rFonts w:hint="default" w:ascii="Times New Roman" w:hAnsi="Times New Roman" w:cs="Times New Roman"/>
          <w:sz w:val="24"/>
          <w:szCs w:val="28"/>
          <w:lang w:val="en-US" w:eastAsia="zh-CN"/>
        </w:rPr>
        <w:t>IRAK4 inhibitory activity was evaluated using a time-resolved fluorescence resonance energy transfer (TR-FRET)–based LANCE Ultra kinase assay. Recombinant human IRAK4 kinase was obtained from a commercial source (Carna Biosciences). The assay was conducted in 384-well plates under ATP concentrations corresponding to the Michaelis constant (K</w:t>
      </w:r>
      <w:r>
        <w:rPr>
          <w:rFonts w:hint="eastAsia" w:ascii="Times New Roman" w:hAnsi="Times New Roman" w:cs="Times New Roman"/>
          <w:sz w:val="24"/>
          <w:szCs w:val="28"/>
          <w:vertAlign w:val="subscript"/>
          <w:lang w:val="en-US" w:eastAsia="zh-CN"/>
        </w:rPr>
        <w:t>M</w:t>
      </w:r>
      <w:r>
        <w:rPr>
          <w:rFonts w:hint="default" w:ascii="Times New Roman" w:hAnsi="Times New Roman" w:cs="Times New Roman"/>
          <w:sz w:val="24"/>
          <w:szCs w:val="28"/>
          <w:lang w:val="en-US" w:eastAsia="zh-CN"/>
        </w:rPr>
        <w:t>) of the enzyme.</w:t>
      </w:r>
      <w:r>
        <w:rPr>
          <w:rFonts w:hint="eastAsia" w:ascii="Times New Roman" w:hAnsi="Times New Roman" w:cs="Times New Roman"/>
          <w:sz w:val="24"/>
          <w:szCs w:val="28"/>
          <w:lang w:val="en-US" w:eastAsia="zh-CN"/>
        </w:rPr>
        <w:t xml:space="preserve"> The kinase reaction was carried out in assay buffer containing 50 mM HEPES (pH 7.5), 10 mM MgCl2, 0.01% Triton X-100, 0.01% BSA, and 2 mM DTT. Test compounds were initially prepared as 1000 </w:t>
      </w:r>
      <m:oMath>
        <m:r>
          <m:rPr/>
          <w:rPr>
            <w:rFonts w:ascii="Cambria Math" w:hAnsi="Cambria Math" w:cs="Times New Roman"/>
            <w:sz w:val="24"/>
            <w:szCs w:val="28"/>
            <w:lang w:val="en-US"/>
          </w:rPr>
          <m:t>μ</m:t>
        </m:r>
      </m:oMath>
      <w:r>
        <w:rPr>
          <w:rFonts w:hint="eastAsia" w:ascii="Times New Roman" w:hAnsi="Times New Roman" w:cs="Times New Roman"/>
          <w:sz w:val="24"/>
          <w:szCs w:val="28"/>
          <w:lang w:val="en-US" w:eastAsia="zh-CN"/>
        </w:rPr>
        <w:t xml:space="preserve">M stock solutions in DMSO and transferred into assay plates using an Echo 650 acoustic liquid handler to achieve a final screening concentration of 10 </w:t>
      </w:r>
      <m:oMath>
        <m:r>
          <m:rPr/>
          <w:rPr>
            <w:rFonts w:ascii="Cambria Math" w:hAnsi="Cambria Math" w:cs="Times New Roman"/>
            <w:sz w:val="24"/>
            <w:szCs w:val="28"/>
            <w:lang w:val="en-US"/>
          </w:rPr>
          <m:t>μ</m:t>
        </m:r>
      </m:oMath>
      <w:r>
        <w:rPr>
          <w:rFonts w:hint="eastAsia" w:ascii="Times New Roman" w:hAnsi="Times New Roman" w:cs="Times New Roman"/>
          <w:sz w:val="24"/>
          <w:szCs w:val="28"/>
          <w:lang w:val="en-US" w:eastAsia="zh-CN"/>
        </w:rPr>
        <w:t>M, unless otherwise specified. Staurosporine was included as a positive control inhibitor. For the kinase reaction, IRAK4 enzyme solution was dispensed into assay wells and pre-incubated with test compounds at room temperature for 10 min. The reaction was initiated by the addition of substrate and ATP mixture and allowed to proceed for 60 min at room temperature. Reactions were terminated by the addition of a 2×stop solution containing europium-labeled anti-phospho-p70 S6K (Thr389) antibody and ULight-labeled peptide substrate, followed by incubation at room temperature for 60 min to allow signal development.</w:t>
      </w:r>
    </w:p>
    <w:p w14:paraId="146514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szCs w:val="28"/>
          <w:lang w:val="en-US" w:eastAsia="zh-CN"/>
        </w:rPr>
      </w:pPr>
      <w:r>
        <w:rPr>
          <w:rFonts w:hint="eastAsia" w:ascii="Times New Roman" w:hAnsi="Times New Roman" w:cs="Times New Roman"/>
          <w:sz w:val="24"/>
          <w:szCs w:val="28"/>
          <w:lang w:val="en-US" w:eastAsia="zh-CN"/>
        </w:rPr>
        <w:t>Time-resolved fluorescence signals were measured using an EnVision 2104 multilabel plate reader, and the LANCE signal ratio (665 nm / 615 nm) was calculated for each well. Percent inhibition was calculated according to Equation (1):</w:t>
      </w:r>
    </w:p>
    <w:p w14:paraId="117620D1">
      <w:pPr>
        <w:widowControl/>
        <w:spacing w:line="360" w:lineRule="auto"/>
        <w:jc w:val="both"/>
        <w:rPr>
          <w:rFonts w:ascii="Times New Roman" w:hAnsi="Times New Roman" w:cs="Times New Roman"/>
          <w:sz w:val="24"/>
          <w:szCs w:val="28"/>
        </w:rPr>
      </w:pPr>
      <w:r>
        <w:rPr>
          <w:rFonts w:ascii="Times New Roman" w:hAnsi="Times New Roman" w:cs="Times New Roman"/>
          <w:sz w:val="24"/>
          <w:szCs w:val="28"/>
        </w:rPr>
        <w:t>Equation (1): inh %=( Max-Signal)/ (Max-Min)*100</w:t>
      </w:r>
    </w:p>
    <w:p w14:paraId="3AF546A5">
      <w:pPr>
        <w:widowControl/>
        <w:spacing w:line="360" w:lineRule="auto"/>
        <w:jc w:val="both"/>
        <w:rPr>
          <w:rFonts w:hint="eastAsia" w:ascii="Times New Roman" w:hAnsi="Times New Roman" w:cs="Times New Roman"/>
          <w:sz w:val="24"/>
          <w:szCs w:val="28"/>
        </w:rPr>
      </w:pPr>
      <w:r>
        <w:rPr>
          <w:rFonts w:hint="eastAsia" w:ascii="Times New Roman" w:hAnsi="Times New Roman" w:cs="Times New Roman"/>
          <w:sz w:val="24"/>
          <w:szCs w:val="28"/>
        </w:rPr>
        <w:t>where Max represents the signal from DMSO-treated control wells and Min represents the signal from enzyme-free control wells.</w:t>
      </w:r>
      <w:r>
        <w:rPr>
          <w:rFonts w:hint="eastAsia" w:ascii="Times New Roman" w:hAnsi="Times New Roman" w:cs="Times New Roman"/>
          <w:sz w:val="24"/>
          <w:szCs w:val="28"/>
          <w:lang w:val="en-US" w:eastAsia="zh-CN"/>
        </w:rPr>
        <w:t xml:space="preserve"> </w:t>
      </w:r>
      <w:r>
        <w:rPr>
          <w:rFonts w:hint="eastAsia" w:ascii="Times New Roman" w:hAnsi="Times New Roman" w:cs="Times New Roman"/>
          <w:sz w:val="24"/>
          <w:szCs w:val="28"/>
        </w:rPr>
        <w:t>Dose–response curves were generated by nonlinear regression using a four-parameter logistic model, and IC</w:t>
      </w:r>
      <w:r>
        <w:rPr>
          <w:rFonts w:hint="eastAsia" w:ascii="Times New Roman" w:hAnsi="Times New Roman" w:cs="Times New Roman"/>
          <w:sz w:val="24"/>
          <w:szCs w:val="28"/>
          <w:vertAlign w:val="subscript"/>
          <w:lang w:val="en-US" w:eastAsia="zh-CN"/>
        </w:rPr>
        <w:t xml:space="preserve">50 </w:t>
      </w:r>
      <w:r>
        <w:rPr>
          <w:rFonts w:hint="eastAsia" w:ascii="Times New Roman" w:hAnsi="Times New Roman" w:cs="Times New Roman"/>
          <w:sz w:val="24"/>
          <w:szCs w:val="28"/>
        </w:rPr>
        <w:t>values were determined according to Equation (2):</w:t>
      </w:r>
    </w:p>
    <w:p w14:paraId="515A8F20">
      <w:pPr>
        <w:widowControl/>
        <w:spacing w:line="360" w:lineRule="auto"/>
        <w:jc w:val="both"/>
        <w:rPr>
          <w:rFonts w:ascii="Times New Roman" w:hAnsi="Times New Roman" w:cs="Times New Roman"/>
          <w:sz w:val="24"/>
          <w:szCs w:val="28"/>
        </w:rPr>
      </w:pPr>
      <w:r>
        <w:rPr>
          <w:rFonts w:ascii="Times New Roman" w:hAnsi="Times New Roman" w:cs="Times New Roman"/>
          <w:sz w:val="24"/>
          <w:szCs w:val="28"/>
        </w:rPr>
        <w:t>Equation (2): Y=Bottom + (Top-Bottom)/(1+(IC50/X)*HillSlope)</w:t>
      </w:r>
    </w:p>
    <w:p w14:paraId="3CFFFF46">
      <w:pPr>
        <w:widowControl/>
        <w:spacing w:line="360" w:lineRule="auto"/>
        <w:jc w:val="both"/>
        <w:rPr>
          <w:rFonts w:hint="default" w:ascii="Times New Roman" w:hAnsi="Times New Roman" w:cs="Times New Roman"/>
          <w:sz w:val="24"/>
          <w:szCs w:val="28"/>
          <w:lang w:val="en-US" w:eastAsia="zh-CN"/>
        </w:rPr>
      </w:pPr>
      <w:r>
        <w:rPr>
          <w:rFonts w:hint="default" w:ascii="Times New Roman" w:hAnsi="Times New Roman" w:cs="Times New Roman"/>
          <w:sz w:val="24"/>
          <w:szCs w:val="28"/>
          <w:lang w:val="en-US" w:eastAsia="zh-CN"/>
        </w:rPr>
        <w:t>where Y is the percent inhibition and X is the compound concentration. Curve fitting and IC</w:t>
      </w:r>
      <w:r>
        <w:rPr>
          <w:rFonts w:hint="eastAsia" w:ascii="Times New Roman" w:hAnsi="Times New Roman" w:cs="Times New Roman"/>
          <w:sz w:val="24"/>
          <w:szCs w:val="28"/>
          <w:vertAlign w:val="subscript"/>
          <w:lang w:val="en-US" w:eastAsia="zh-CN"/>
        </w:rPr>
        <w:t>50</w:t>
      </w:r>
      <w:r>
        <w:rPr>
          <w:rFonts w:hint="eastAsia" w:ascii="Times New Roman" w:hAnsi="Times New Roman" w:cs="Times New Roman"/>
          <w:sz w:val="24"/>
          <w:szCs w:val="28"/>
          <w:lang w:val="en-US" w:eastAsia="zh-CN"/>
        </w:rPr>
        <w:t xml:space="preserve"> </w:t>
      </w:r>
      <w:r>
        <w:rPr>
          <w:rFonts w:hint="default" w:ascii="Times New Roman" w:hAnsi="Times New Roman" w:cs="Times New Roman"/>
          <w:sz w:val="24"/>
          <w:szCs w:val="28"/>
          <w:lang w:val="en-US" w:eastAsia="zh-CN"/>
        </w:rPr>
        <w:t>calculations were performed using XLFit (IDBS) software. All biochemical assays were conducted as a non-GLP study by Shanghai ChemPartner Co., Ltd.</w:t>
      </w:r>
    </w:p>
    <w:p w14:paraId="744FFD3E">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sz w:val="24"/>
          <w:lang w:val="en-US" w:eastAsia="zh-CN"/>
        </w:rPr>
      </w:pPr>
    </w:p>
    <w:p w14:paraId="53E8315E">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sz w:val="24"/>
          <w:lang w:val="en-US" w:eastAsia="zh-CN"/>
        </w:rPr>
      </w:pPr>
    </w:p>
    <w:p w14:paraId="3E6FDE79">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sz w:val="24"/>
          <w:lang w:val="en-US" w:eastAsia="zh-CN"/>
        </w:rPr>
      </w:pPr>
    </w:p>
    <w:p w14:paraId="00290571">
      <w:pPr>
        <w:rPr>
          <w:rFonts w:hint="default" w:ascii="Times New Roman" w:hAnsi="Times New Roman" w:cs="Times New Roman"/>
          <w:b/>
          <w:bCs/>
          <w:lang w:val="en-US" w:eastAsia="zh-CN"/>
        </w:rPr>
      </w:pPr>
      <w:r>
        <w:rPr>
          <w:rFonts w:hint="default" w:ascii="Times New Roman" w:hAnsi="Times New Roman" w:cs="Times New Roman"/>
          <w:sz w:val="24"/>
          <w:lang w:val="en-US" w:eastAsia="zh-CN"/>
        </w:rPr>
        <w:br w:type="page"/>
      </w:r>
    </w:p>
    <w:p w14:paraId="14F95BCF">
      <w:pPr>
        <w:rPr>
          <w:rFonts w:hint="eastAsia" w:ascii="Times New Roman" w:hAnsi="Times New Roman" w:cs="Times New Roman"/>
          <w:b/>
          <w:bCs/>
          <w:lang w:val="en-US" w:eastAsia="zh-CN"/>
        </w:rPr>
      </w:pPr>
      <w:r>
        <w:rPr>
          <w:rFonts w:hint="eastAsia" w:ascii="Times New Roman" w:hAnsi="Times New Roman" w:cs="Times New Roman"/>
          <w:b/>
          <w:bCs/>
          <w:lang w:val="en-US" w:eastAsia="zh-CN"/>
        </w:rPr>
        <w:t>Supplementary Figures</w:t>
      </w:r>
    </w:p>
    <w:p w14:paraId="576212D2">
      <w:pPr>
        <w:rPr>
          <w:rFonts w:hint="default" w:ascii="Times New Roman" w:hAnsi="Times New Roman" w:cs="Times New Roman"/>
          <w:b/>
          <w:bCs/>
          <w:lang w:val="en-US" w:eastAsia="zh-CN"/>
        </w:rPr>
      </w:pPr>
    </w:p>
    <w:p w14:paraId="01587E89">
      <w:pPr>
        <w:rPr>
          <w:rFonts w:hint="eastAsia" w:ascii="Times New Roman" w:hAnsi="Times New Roman" w:cs="Times New Roman"/>
          <w:b/>
          <w:bCs/>
          <w:lang w:val="en-US" w:eastAsia="zh-CN"/>
        </w:rPr>
      </w:pPr>
      <w:r>
        <w:rPr>
          <w:rFonts w:hint="eastAsia" w:ascii="Times New Roman" w:hAnsi="Times New Roman" w:cs="Times New Roman"/>
          <w:b/>
          <w:bCs/>
          <w:lang w:val="en-US" w:eastAsia="zh-CN"/>
        </w:rPr>
        <w:drawing>
          <wp:inline distT="0" distB="0" distL="114300" distR="114300">
            <wp:extent cx="5264150" cy="1827530"/>
            <wp:effectExtent l="0" t="0" r="8890" b="1270"/>
            <wp:docPr id="5" name="图片 5" descr="detailed_comparison_v1_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etailed_comparison_v1_colors"/>
                    <pic:cNvPicPr>
                      <a:picLocks noChangeAspect="1"/>
                    </pic:cNvPicPr>
                  </pic:nvPicPr>
                  <pic:blipFill>
                    <a:blip r:embed="rId4"/>
                    <a:stretch>
                      <a:fillRect/>
                    </a:stretch>
                  </pic:blipFill>
                  <pic:spPr>
                    <a:xfrm>
                      <a:off x="0" y="0"/>
                      <a:ext cx="5264150" cy="1827530"/>
                    </a:xfrm>
                    <a:prstGeom prst="rect">
                      <a:avLst/>
                    </a:prstGeom>
                  </pic:spPr>
                </pic:pic>
              </a:graphicData>
            </a:graphic>
          </wp:inline>
        </w:drawing>
      </w:r>
    </w:p>
    <w:p w14:paraId="47D85290">
      <w:pPr>
        <w:rPr>
          <w:rFonts w:hint="default" w:ascii="Times New Roman" w:hAnsi="Times New Roman" w:cs="Times New Roman"/>
          <w:lang w:val="en-US" w:eastAsia="zh-CN"/>
        </w:rPr>
      </w:pPr>
      <w:r>
        <w:rPr>
          <w:rFonts w:hint="default" w:ascii="Times New Roman" w:hAnsi="Times New Roman" w:cs="Times New Roman"/>
          <w:b/>
          <w:bCs/>
          <w:lang w:val="en-US" w:eastAsia="zh-CN"/>
        </w:rPr>
        <w:t xml:space="preserve">Figure </w:t>
      </w:r>
      <w:r>
        <w:rPr>
          <w:rFonts w:hint="eastAsia" w:ascii="Times New Roman" w:hAnsi="Times New Roman" w:cs="Times New Roman"/>
          <w:b/>
          <w:bCs/>
          <w:lang w:val="en-US" w:eastAsia="zh-CN"/>
        </w:rPr>
        <w:t xml:space="preserve">S1. Details of permutation invariance and feature ordering analysis. </w:t>
      </w:r>
      <w:r>
        <w:rPr>
          <w:rFonts w:hint="eastAsia" w:ascii="Times New Roman" w:hAnsi="Times New Roman" w:cs="Times New Roman"/>
          <w:b w:val="0"/>
          <w:bCs w:val="0"/>
          <w:lang w:val="en-US" w:eastAsia="zh-CN"/>
        </w:rPr>
        <w:t>This panel evaluates the model's prediction stability across different feature input sequences. The performance is compared across nine molecular property prediction tasks, divided into classification (left, metric: ROC-AUC) and regression (right, metric: RMSE). The evaluation contrasts the Benchmark method (gray) against sequences ordered by Mutual Information (Info, green shades) and Correlation (Corr, purple shades). For each ordering metric, three permutation strategies are tested: descending order (Pos), ascending order (Neg), and randomized order (Rand) to rigorously assess the model's sensitivity to feature permutation. The height of each bar represents the mean performance across independent runs, with error bars indicating the standard deviation.</w:t>
      </w:r>
    </w:p>
    <w:p w14:paraId="089C3ACC">
      <w:pPr>
        <w:rPr>
          <w:rFonts w:hint="default" w:ascii="Times New Roman" w:hAnsi="Times New Roman" w:cs="Times New Roman"/>
          <w:b/>
          <w:bCs/>
          <w:lang w:val="en-US" w:eastAsia="zh-CN"/>
        </w:rPr>
      </w:pPr>
    </w:p>
    <w:p w14:paraId="7ECF4E74">
      <w:pPr>
        <w:rPr>
          <w:rFonts w:hint="eastAsia" w:ascii="Times New Roman" w:hAnsi="Times New Roman" w:cs="Times New Roman"/>
          <w:b/>
          <w:bCs/>
          <w:lang w:val="en-US" w:eastAsia="zh-CN"/>
        </w:rPr>
      </w:pPr>
      <w:r>
        <w:rPr>
          <w:rFonts w:hint="default" w:ascii="Times New Roman" w:hAnsi="Times New Roman" w:cs="Times New Roman"/>
          <w:b/>
          <w:bCs/>
          <w:lang w:val="en-US" w:eastAsia="zh-CN"/>
        </w:rPr>
        <w:br w:type="page"/>
      </w:r>
    </w:p>
    <w:p w14:paraId="5B32BBFE">
      <w:pPr>
        <w:rPr>
          <w:rFonts w:hint="default"/>
          <w:lang w:val="en-US" w:eastAsia="zh-CN"/>
        </w:rPr>
      </w:pPr>
      <w:r>
        <w:rPr>
          <w:rFonts w:hint="default"/>
          <w:lang w:val="en-US" w:eastAsia="zh-CN"/>
        </w:rPr>
        <w:drawing>
          <wp:inline distT="0" distB="0" distL="114300" distR="114300">
            <wp:extent cx="5268595" cy="2276475"/>
            <wp:effectExtent l="0" t="0" r="4445" b="9525"/>
            <wp:docPr id="2" name="图片 2" descr="embedding_metrics_with_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mbedding_metrics_with_values"/>
                    <pic:cNvPicPr>
                      <a:picLocks noChangeAspect="1"/>
                    </pic:cNvPicPr>
                  </pic:nvPicPr>
                  <pic:blipFill>
                    <a:blip r:embed="rId5"/>
                    <a:stretch>
                      <a:fillRect/>
                    </a:stretch>
                  </pic:blipFill>
                  <pic:spPr>
                    <a:xfrm>
                      <a:off x="0" y="0"/>
                      <a:ext cx="5268595" cy="2276475"/>
                    </a:xfrm>
                    <a:prstGeom prst="rect">
                      <a:avLst/>
                    </a:prstGeom>
                  </pic:spPr>
                </pic:pic>
              </a:graphicData>
            </a:graphic>
          </wp:inline>
        </w:drawing>
      </w:r>
    </w:p>
    <w:p w14:paraId="5384AF7C">
      <w:pPr>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Figure </w:t>
      </w:r>
      <w:r>
        <w:rPr>
          <w:rFonts w:hint="eastAsia" w:ascii="Times New Roman" w:hAnsi="Times New Roman" w:cs="Times New Roman"/>
          <w:b/>
          <w:bCs/>
          <w:lang w:val="en-US" w:eastAsia="zh-CN"/>
        </w:rPr>
        <w:t xml:space="preserve">S2. </w:t>
      </w:r>
      <w:r>
        <w:rPr>
          <w:rFonts w:hint="default" w:ascii="Times New Roman" w:hAnsi="Times New Roman" w:cs="Times New Roman"/>
          <w:b/>
          <w:bCs/>
          <w:lang w:val="en-US" w:eastAsia="zh-CN"/>
        </w:rPr>
        <w:t>Quantitative evaluation of clustering quality in the latent representation space.</w:t>
      </w:r>
    </w:p>
    <w:p w14:paraId="02884BE8">
      <w:pPr>
        <w:rPr>
          <w:rFonts w:hint="default" w:ascii="Times New Roman" w:hAnsi="Times New Roman" w:cs="Times New Roman"/>
          <w:lang w:val="en-US" w:eastAsia="zh-CN"/>
        </w:rPr>
      </w:pPr>
      <w:r>
        <w:rPr>
          <w:rFonts w:hint="default" w:ascii="Times New Roman" w:hAnsi="Times New Roman" w:cs="Times New Roman"/>
          <w:lang w:val="en-US" w:eastAsia="zh-CN"/>
        </w:rPr>
        <w:t>Silhouette score (left) and Davies–Bouldin index (right) computed on t-SNE projections of the learned latent representations after training, comparing ArcMol, Uni-Mol, RDKFingerprint, and MolCLR.</w:t>
      </w:r>
    </w:p>
    <w:p w14:paraId="5FA46FCE">
      <w:pPr>
        <w:rPr>
          <w:rFonts w:hint="default" w:ascii="Times New Roman" w:hAnsi="Times New Roman" w:cs="Times New Roman"/>
          <w:lang w:val="en-US" w:eastAsia="zh-CN"/>
        </w:rPr>
      </w:pPr>
    </w:p>
    <w:p w14:paraId="63E82916">
      <w:pPr>
        <w:rPr>
          <w:rFonts w:hint="default" w:ascii="Times New Roman" w:hAnsi="Times New Roman" w:cs="Times New Roman"/>
          <w:lang w:val="en-US" w:eastAsia="zh-CN"/>
        </w:rPr>
      </w:pPr>
    </w:p>
    <w:p w14:paraId="59FF89BF">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56FE1210">
      <w:pPr>
        <w:jc w:val="center"/>
        <w:rPr>
          <w:rStyle w:val="8"/>
          <w:rFonts w:hint="default" w:ascii="Times New Roman" w:hAnsi="Times New Roman" w:eastAsia="黑体" w:cs="Times New Roman"/>
          <w:sz w:val="24"/>
          <w:szCs w:val="24"/>
          <w:lang w:val="en-US" w:eastAsia="zh-CN"/>
        </w:rPr>
      </w:pPr>
      <w:r>
        <w:rPr>
          <w:rStyle w:val="8"/>
          <w:rFonts w:hint="default" w:ascii="Times New Roman" w:hAnsi="Times New Roman" w:eastAsia="黑体" w:cs="Times New Roman"/>
          <w:sz w:val="24"/>
          <w:szCs w:val="24"/>
          <w:lang w:val="en-US" w:eastAsia="zh-CN"/>
        </w:rPr>
        <w:drawing>
          <wp:inline distT="0" distB="0" distL="114300" distR="114300">
            <wp:extent cx="4108450" cy="3195320"/>
            <wp:effectExtent l="0" t="0" r="6350" b="5080"/>
            <wp:docPr id="4" name="图片 4" descr="geometric_determinism_sigm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eometric_determinism_sigmoid"/>
                    <pic:cNvPicPr>
                      <a:picLocks noChangeAspect="1"/>
                    </pic:cNvPicPr>
                  </pic:nvPicPr>
                  <pic:blipFill>
                    <a:blip r:embed="rId6"/>
                    <a:stretch>
                      <a:fillRect/>
                    </a:stretch>
                  </pic:blipFill>
                  <pic:spPr>
                    <a:xfrm>
                      <a:off x="0" y="0"/>
                      <a:ext cx="4108450" cy="3195320"/>
                    </a:xfrm>
                    <a:prstGeom prst="rect">
                      <a:avLst/>
                    </a:prstGeom>
                  </pic:spPr>
                </pic:pic>
              </a:graphicData>
            </a:graphic>
          </wp:inline>
        </w:drawing>
      </w:r>
    </w:p>
    <w:p w14:paraId="37270F33">
      <w:pPr>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Figure </w:t>
      </w:r>
      <w:r>
        <w:rPr>
          <w:rFonts w:hint="eastAsia" w:ascii="Times New Roman" w:hAnsi="Times New Roman" w:cs="Times New Roman"/>
          <w:b/>
          <w:bCs/>
          <w:lang w:val="en-US" w:eastAsia="zh-CN"/>
        </w:rPr>
        <w:t xml:space="preserve">S3. </w:t>
      </w:r>
      <w:r>
        <w:rPr>
          <w:rFonts w:hint="default" w:ascii="Times New Roman" w:hAnsi="Times New Roman" w:cs="Times New Roman"/>
          <w:b/>
          <w:bCs/>
          <w:lang w:val="en-US" w:eastAsia="zh-CN"/>
        </w:rPr>
        <w:t>Quantitative evaluation of clustering quality in the latent representation space.</w:t>
      </w:r>
      <w:r>
        <w:rPr>
          <w:rFonts w:hint="eastAsia" w:ascii="Times New Roman" w:hAnsi="Times New Roman" w:cs="Times New Roman"/>
          <w:b/>
          <w:bCs/>
          <w:lang w:val="en-US" w:eastAsia="zh-CN"/>
        </w:rPr>
        <w:t xml:space="preserve"> </w:t>
      </w:r>
      <w:r>
        <w:rPr>
          <w:rFonts w:hint="eastAsia" w:ascii="Times New Roman" w:hAnsi="Times New Roman" w:cs="Times New Roman"/>
          <w:b w:val="0"/>
          <w:bCs w:val="0"/>
          <w:lang w:val="en-US" w:eastAsia="zh-CN"/>
        </w:rPr>
        <w:t xml:space="preserve">Illustration of the mapping between the geometric discriminant score </w:t>
      </w:r>
      <m:oMath>
        <m:r>
          <m:rPr/>
          <w:rPr>
            <w:rFonts w:hint="eastAsia" w:ascii="Times New Roman" w:hAnsi="Times New Roman" w:cs="Times New Roman"/>
            <w:lang w:val="en-US" w:eastAsia="zh-CN"/>
          </w:rPr>
          <m:t>sigmoid</m:t>
        </m:r>
        <m:r>
          <m:rPr>
            <m:sty m:val="p"/>
          </m:rPr>
          <w:rPr>
            <w:rFonts w:hint="eastAsia" w:ascii="Times New Roman" w:hAnsi="Times New Roman" w:cs="Times New Roman"/>
            <w:lang w:val="en-US" w:eastAsia="zh-CN"/>
          </w:rPr>
          <m:t>·</m:t>
        </m:r>
        <m:r>
          <m:rPr>
            <m:sty m:val="p"/>
          </m:rPr>
          <w:rPr>
            <w:rFonts w:hint="default" w:ascii="Times New Roman" w:hAnsi="Times New Roman" w:cs="Times New Roman"/>
            <w:lang w:val="en-US" w:eastAsia="zh-CN"/>
          </w:rPr>
          <m:t>(</m:t>
        </m:r>
        <m:func>
          <m:funcPr>
            <m:ctrlPr>
              <w:rPr>
                <w:rFonts w:hint="default" w:ascii="Cambria Math" w:hAnsi="Cambria Math" w:cs="Times New Roman"/>
                <w:b w:val="0"/>
                <w:bCs w:val="0"/>
                <w:lang w:val="en-US" w:eastAsia="zh-CN"/>
              </w:rPr>
            </m:ctrlPr>
          </m:funcPr>
          <m:fName>
            <m:r>
              <m:rPr>
                <m:sty m:val="p"/>
              </m:rPr>
              <w:rPr>
                <w:rFonts w:hint="default" w:ascii="Cambria Math" w:hAnsi="Cambria Math" w:cs="Times New Roman"/>
                <w:lang w:val="en-US"/>
              </w:rPr>
              <m:t>cos</m:t>
            </m:r>
            <m:ctrlPr>
              <w:rPr>
                <w:rFonts w:hint="default" w:ascii="Cambria Math" w:hAnsi="Cambria Math" w:cs="Times New Roman"/>
                <w:b w:val="0"/>
                <w:bCs w:val="0"/>
                <w:lang w:val="en-US" w:eastAsia="zh-CN"/>
              </w:rPr>
            </m:ctrlPr>
          </m:fName>
          <m:e>
            <m:sSub>
              <m:sSubPr>
                <m:ctrlPr>
                  <w:rPr>
                    <w:rFonts w:hint="default" w:ascii="Cambria Math" w:hAnsi="Cambria Math" w:cs="Times New Roman"/>
                    <w:b w:val="0"/>
                    <w:bCs w:val="0"/>
                    <w:i w:val="0"/>
                    <w:lang w:val="en-US" w:eastAsia="zh-CN"/>
                  </w:rPr>
                </m:ctrlPr>
              </m:sSubPr>
              <m:e>
                <m:r>
                  <m:rPr>
                    <m:sty m:val="p"/>
                  </m:rPr>
                  <w:rPr>
                    <w:rFonts w:hint="default" w:ascii="Cambria Math" w:hAnsi="Cambria Math" w:cs="Times New Roman"/>
                    <w:lang w:val="en-US"/>
                  </w:rPr>
                  <m:t>θ</m:t>
                </m:r>
                <m:ctrlPr>
                  <w:rPr>
                    <w:rFonts w:hint="default" w:ascii="Cambria Math" w:hAnsi="Cambria Math" w:cs="Times New Roman"/>
                    <w:b w:val="0"/>
                    <w:bCs w:val="0"/>
                    <w:i w:val="0"/>
                    <w:lang w:val="en-US" w:eastAsia="zh-CN"/>
                  </w:rPr>
                </m:ctrlPr>
              </m:e>
              <m:sub>
                <m:r>
                  <m:rPr>
                    <m:sty m:val="p"/>
                  </m:rPr>
                  <w:rPr>
                    <w:rFonts w:hint="default" w:ascii="Cambria Math" w:hAnsi="Cambria Math" w:cs="Times New Roman"/>
                    <w:lang w:val="en-US" w:eastAsia="zh-CN"/>
                  </w:rPr>
                  <m:t>pos</m:t>
                </m:r>
                <m:ctrlPr>
                  <w:rPr>
                    <w:rFonts w:hint="default" w:ascii="Cambria Math" w:hAnsi="Cambria Math" w:cs="Times New Roman"/>
                    <w:b w:val="0"/>
                    <w:bCs w:val="0"/>
                    <w:i w:val="0"/>
                    <w:lang w:val="en-US" w:eastAsia="zh-CN"/>
                  </w:rPr>
                </m:ctrlPr>
              </m:sub>
            </m:sSub>
            <m:ctrlPr>
              <w:rPr>
                <w:rFonts w:hint="default" w:ascii="Cambria Math" w:hAnsi="Cambria Math" w:cs="Times New Roman"/>
                <w:b w:val="0"/>
                <w:bCs w:val="0"/>
                <w:i w:val="0"/>
                <w:lang w:val="en-US" w:eastAsia="zh-CN"/>
              </w:rPr>
            </m:ctrlPr>
          </m:e>
        </m:func>
        <m:r>
          <m:rPr>
            <m:sty m:val="p"/>
          </m:rPr>
          <w:rPr>
            <w:rFonts w:hint="default" w:ascii="Times New Roman" w:hAnsi="Times New Roman" w:cs="Times New Roman"/>
            <w:lang w:val="en-US" w:eastAsia="zh-CN"/>
          </w:rPr>
          <m:t>−</m:t>
        </m:r>
        <m:func>
          <m:funcPr>
            <m:ctrlPr>
              <w:rPr>
                <w:rFonts w:hint="default" w:ascii="Cambria Math" w:hAnsi="Cambria Math" w:cs="Times New Roman"/>
                <w:b w:val="0"/>
                <w:bCs w:val="0"/>
                <w:lang w:val="en-US" w:eastAsia="zh-CN"/>
              </w:rPr>
            </m:ctrlPr>
          </m:funcPr>
          <m:fName>
            <m:r>
              <m:rPr>
                <m:sty m:val="p"/>
              </m:rPr>
              <w:rPr>
                <w:rFonts w:hint="default" w:ascii="Cambria Math" w:hAnsi="Cambria Math" w:cs="Times New Roman"/>
                <w:lang w:val="en-US"/>
              </w:rPr>
              <m:t>cos</m:t>
            </m:r>
            <m:ctrlPr>
              <w:rPr>
                <w:rFonts w:hint="default" w:ascii="Cambria Math" w:hAnsi="Cambria Math" w:cs="Times New Roman"/>
                <w:b w:val="0"/>
                <w:bCs w:val="0"/>
                <w:lang w:val="en-US" w:eastAsia="zh-CN"/>
              </w:rPr>
            </m:ctrlPr>
          </m:fName>
          <m:e>
            <m:sSub>
              <m:sSubPr>
                <m:ctrlPr>
                  <w:rPr>
                    <w:rFonts w:hint="default" w:ascii="Cambria Math" w:hAnsi="Cambria Math" w:cs="Times New Roman"/>
                    <w:b w:val="0"/>
                    <w:bCs w:val="0"/>
                    <w:i w:val="0"/>
                    <w:lang w:val="en-US" w:eastAsia="zh-CN"/>
                  </w:rPr>
                </m:ctrlPr>
              </m:sSubPr>
              <m:e>
                <m:r>
                  <m:rPr>
                    <m:sty m:val="p"/>
                  </m:rPr>
                  <w:rPr>
                    <w:rFonts w:hint="default" w:ascii="Cambria Math" w:hAnsi="Cambria Math" w:cs="Times New Roman"/>
                    <w:lang w:val="en-US"/>
                  </w:rPr>
                  <m:t>θ</m:t>
                </m:r>
                <m:ctrlPr>
                  <w:rPr>
                    <w:rFonts w:hint="default" w:ascii="Cambria Math" w:hAnsi="Cambria Math" w:cs="Times New Roman"/>
                    <w:b w:val="0"/>
                    <w:bCs w:val="0"/>
                    <w:i w:val="0"/>
                    <w:lang w:val="en-US" w:eastAsia="zh-CN"/>
                  </w:rPr>
                </m:ctrlPr>
              </m:e>
              <m:sub>
                <m:r>
                  <m:rPr>
                    <m:sty m:val="p"/>
                  </m:rPr>
                  <w:rPr>
                    <w:rFonts w:hint="default" w:ascii="Cambria Math" w:hAnsi="Cambria Math" w:cs="Times New Roman"/>
                    <w:lang w:val="en-US" w:eastAsia="zh-CN"/>
                  </w:rPr>
                  <m:t>neg</m:t>
                </m:r>
                <m:ctrlPr>
                  <w:rPr>
                    <w:rFonts w:hint="default" w:ascii="Cambria Math" w:hAnsi="Cambria Math" w:cs="Times New Roman"/>
                    <w:b w:val="0"/>
                    <w:bCs w:val="0"/>
                    <w:i w:val="0"/>
                    <w:lang w:val="en-US" w:eastAsia="zh-CN"/>
                  </w:rPr>
                </m:ctrlPr>
              </m:sub>
            </m:sSub>
            <m:ctrlPr>
              <w:rPr>
                <w:rFonts w:hint="default" w:ascii="Cambria Math" w:hAnsi="Cambria Math" w:cs="Times New Roman"/>
                <w:b w:val="0"/>
                <w:bCs w:val="0"/>
                <w:i w:val="0"/>
                <w:lang w:val="en-US" w:eastAsia="zh-CN"/>
              </w:rPr>
            </m:ctrlPr>
          </m:e>
        </m:func>
        <m:r>
          <m:rPr>
            <m:sty m:val="p"/>
          </m:rPr>
          <w:rPr>
            <w:rFonts w:hint="default" w:ascii="Times New Roman" w:hAnsi="Times New Roman" w:cs="Times New Roman"/>
            <w:lang w:val="en-US" w:eastAsia="zh-CN"/>
          </w:rPr>
          <m:t>)</m:t>
        </m:r>
      </m:oMath>
      <w:r>
        <w:rPr>
          <w:rFonts w:hint="eastAsia" w:hAnsi="Times New Roman" w:cs="Times New Roman"/>
          <w:b w:val="0"/>
          <w:bCs w:val="0"/>
          <w:i w:val="0"/>
          <w:lang w:val="en-US" w:eastAsia="zh-CN"/>
        </w:rPr>
        <w:t xml:space="preserve"> </w:t>
      </w:r>
      <w:r>
        <w:rPr>
          <w:rFonts w:hint="eastAsia" w:ascii="Times New Roman" w:hAnsi="Times New Roman" w:cs="Times New Roman"/>
          <w:b w:val="0"/>
          <w:bCs w:val="0"/>
          <w:lang w:val="en-US" w:eastAsia="zh-CN"/>
        </w:rPr>
        <w:t>and the predicted probability of activity in ArcMol. The dashed curve denotes the theoretical sigmoid function, while the scatter points correspond to predictions on the test set. Teal points indicate inactive molecules and pink points indicate active molecules. The close alignment of all samples with the theoretical curve indicates that predicted probabilities are determined by angular distances of latent representations on the hypersphere.</w:t>
      </w:r>
    </w:p>
    <w:p w14:paraId="06811C39">
      <w:pPr>
        <w:rPr>
          <w:rFonts w:hint="default" w:ascii="Times New Roman" w:hAnsi="Times New Roman" w:cs="Times New Roman"/>
          <w:lang w:val="en-US" w:eastAsia="zh-CN"/>
        </w:rPr>
      </w:pPr>
    </w:p>
    <w:p w14:paraId="5925A202">
      <w:pPr>
        <w:rPr>
          <w:rFonts w:hint="default" w:ascii="Times New Roman" w:hAnsi="Times New Roman" w:cs="Times New Roman"/>
          <w:lang w:val="en-US" w:eastAsia="zh-CN"/>
        </w:rPr>
      </w:pPr>
    </w:p>
    <w:p w14:paraId="1B80CBCD">
      <w:pPr>
        <w:rPr>
          <w:rFonts w:hint="default" w:ascii="Times New Roman" w:hAnsi="Times New Roman" w:cs="Times New Roman"/>
          <w:lang w:val="en-US" w:eastAsia="zh-CN"/>
        </w:rPr>
      </w:pPr>
    </w:p>
    <w:p w14:paraId="0CD465AD">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42E68605">
      <w:pPr>
        <w:jc w:val="center"/>
        <w:rPr>
          <w:rStyle w:val="8"/>
          <w:rFonts w:hint="default" w:ascii="Times New Roman" w:hAnsi="Times New Roman" w:eastAsia="黑体" w:cs="Times New Roman"/>
          <w:sz w:val="24"/>
          <w:szCs w:val="24"/>
          <w:lang w:val="en-US" w:eastAsia="zh-CN"/>
        </w:rPr>
      </w:pPr>
      <w:r>
        <w:rPr>
          <w:rStyle w:val="8"/>
          <w:rFonts w:hint="default" w:ascii="Times New Roman" w:hAnsi="Times New Roman" w:eastAsia="黑体" w:cs="Times New Roman"/>
          <w:sz w:val="24"/>
          <w:szCs w:val="24"/>
          <w:lang w:val="en-US" w:eastAsia="zh-CN"/>
        </w:rPr>
        <w:drawing>
          <wp:inline distT="0" distB="0" distL="114300" distR="114300">
            <wp:extent cx="4109720" cy="3196590"/>
            <wp:effectExtent l="0" t="0" r="5080" b="3810"/>
            <wp:docPr id="8" name="图片 8" descr="CHEMBL2147_Ki_geometric_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HEMBL2147_Ki_geometric_order"/>
                    <pic:cNvPicPr>
                      <a:picLocks noChangeAspect="1"/>
                    </pic:cNvPicPr>
                  </pic:nvPicPr>
                  <pic:blipFill>
                    <a:blip r:embed="rId7"/>
                    <a:stretch>
                      <a:fillRect/>
                    </a:stretch>
                  </pic:blipFill>
                  <pic:spPr>
                    <a:xfrm>
                      <a:off x="0" y="0"/>
                      <a:ext cx="4109720" cy="3196590"/>
                    </a:xfrm>
                    <a:prstGeom prst="rect">
                      <a:avLst/>
                    </a:prstGeom>
                  </pic:spPr>
                </pic:pic>
              </a:graphicData>
            </a:graphic>
          </wp:inline>
        </w:drawing>
      </w:r>
    </w:p>
    <w:p w14:paraId="2DEE0453">
      <w:pPr>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Figure </w:t>
      </w:r>
      <w:r>
        <w:rPr>
          <w:rFonts w:hint="eastAsia" w:ascii="Times New Roman" w:hAnsi="Times New Roman" w:cs="Times New Roman"/>
          <w:b/>
          <w:bCs/>
          <w:lang w:val="en-US" w:eastAsia="zh-CN"/>
        </w:rPr>
        <w:t xml:space="preserve">S4. </w:t>
      </w:r>
      <w:r>
        <w:rPr>
          <w:rFonts w:hint="default" w:ascii="Times New Roman" w:hAnsi="Times New Roman" w:cs="Times New Roman"/>
          <w:b/>
          <w:bCs/>
          <w:lang w:val="en-US" w:eastAsia="zh-CN"/>
        </w:rPr>
        <w:t>Geometric ordering of continuous properties in the latent space.</w:t>
      </w:r>
      <w:r>
        <w:rPr>
          <w:rFonts w:hint="eastAsia" w:ascii="Times New Roman" w:hAnsi="Times New Roman" w:cs="Times New Roman"/>
          <w:b/>
          <w:bCs/>
          <w:lang w:val="en-US" w:eastAsia="zh-CN"/>
        </w:rPr>
        <w:t xml:space="preserve"> </w:t>
      </w:r>
      <w:r>
        <w:rPr>
          <w:rFonts w:hint="eastAsia" w:ascii="Times New Roman" w:hAnsi="Times New Roman" w:cs="Times New Roman"/>
          <w:b w:val="0"/>
          <w:bCs w:val="0"/>
          <w:lang w:val="en-US" w:eastAsia="zh-CN"/>
        </w:rPr>
        <w:t>Correlation between ground-truth activity and cosine similarity to the highest-activity proxy(P</w:t>
      </w:r>
      <w:r>
        <w:rPr>
          <w:rFonts w:hint="eastAsia" w:ascii="Times New Roman" w:hAnsi="Times New Roman" w:cs="Times New Roman"/>
          <w:b w:val="0"/>
          <w:bCs w:val="0"/>
          <w:vertAlign w:val="subscript"/>
          <w:lang w:val="en-US" w:eastAsia="zh-CN"/>
        </w:rPr>
        <w:t>max</w:t>
      </w:r>
      <w:r>
        <w:rPr>
          <w:rFonts w:hint="eastAsia" w:ascii="Times New Roman" w:hAnsi="Times New Roman" w:cs="Times New Roman"/>
          <w:b w:val="0"/>
          <w:bCs w:val="0"/>
          <w:lang w:val="en-US" w:eastAsia="zh-CN"/>
        </w:rPr>
        <w:t>). Each point represents a molecule, and the dashed line indicates the fitted trend.</w:t>
      </w:r>
    </w:p>
    <w:p w14:paraId="55F8C471">
      <w:pPr>
        <w:rPr>
          <w:rFonts w:hint="default" w:ascii="Times New Roman" w:hAnsi="Times New Roman" w:cs="Times New Roman"/>
          <w:lang w:val="en-US" w:eastAsia="zh-CN"/>
        </w:rPr>
      </w:pPr>
    </w:p>
    <w:p w14:paraId="31D3FF50">
      <w:pPr>
        <w:rPr>
          <w:rFonts w:hint="default" w:ascii="Times New Roman" w:hAnsi="Times New Roman" w:cs="Times New Roman"/>
          <w:lang w:val="en-US" w:eastAsia="zh-CN"/>
        </w:rPr>
      </w:pPr>
    </w:p>
    <w:p w14:paraId="6C990CAF">
      <w:pPr>
        <w:rPr>
          <w:rFonts w:hint="default" w:ascii="Times New Roman" w:hAnsi="Times New Roman" w:cs="Times New Roman"/>
          <w:lang w:val="en-US" w:eastAsia="zh-CN"/>
        </w:rPr>
      </w:pPr>
    </w:p>
    <w:p w14:paraId="4C776679">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0E092FF0">
      <w:pPr>
        <w:jc w:val="center"/>
        <w:rPr>
          <w:rStyle w:val="8"/>
          <w:rFonts w:hint="default" w:ascii="Times New Roman" w:hAnsi="Times New Roman" w:eastAsia="黑体" w:cs="Times New Roman"/>
          <w:sz w:val="24"/>
          <w:szCs w:val="24"/>
          <w:lang w:val="en-US" w:eastAsia="zh-CN"/>
        </w:rPr>
      </w:pPr>
      <w:r>
        <w:rPr>
          <w:rStyle w:val="8"/>
          <w:rFonts w:hint="default" w:ascii="Times New Roman" w:hAnsi="Times New Roman" w:eastAsia="黑体" w:cs="Times New Roman"/>
          <w:sz w:val="24"/>
          <w:szCs w:val="24"/>
          <w:lang w:val="en-US" w:eastAsia="zh-CN"/>
        </w:rPr>
        <w:drawing>
          <wp:inline distT="0" distB="0" distL="114300" distR="114300">
            <wp:extent cx="3596005" cy="3196590"/>
            <wp:effectExtent l="0" t="0" r="635" b="3810"/>
            <wp:docPr id="9" name="图片 9" descr="proxy_similarity_heatmap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roxy_similarity_heatmap_v2"/>
                    <pic:cNvPicPr>
                      <a:picLocks noChangeAspect="1"/>
                    </pic:cNvPicPr>
                  </pic:nvPicPr>
                  <pic:blipFill>
                    <a:blip r:embed="rId8"/>
                    <a:stretch>
                      <a:fillRect/>
                    </a:stretch>
                  </pic:blipFill>
                  <pic:spPr>
                    <a:xfrm>
                      <a:off x="0" y="0"/>
                      <a:ext cx="3596005" cy="3196590"/>
                    </a:xfrm>
                    <a:prstGeom prst="rect">
                      <a:avLst/>
                    </a:prstGeom>
                  </pic:spPr>
                </pic:pic>
              </a:graphicData>
            </a:graphic>
          </wp:inline>
        </w:drawing>
      </w:r>
    </w:p>
    <w:p w14:paraId="3B0AC09F">
      <w:pPr>
        <w:rPr>
          <w:rFonts w:hint="default" w:ascii="Times New Roman" w:hAnsi="Times New Roman" w:cs="Times New Roman"/>
          <w:b w:val="0"/>
          <w:bCs w:val="0"/>
          <w:lang w:val="en-US" w:eastAsia="zh-CN"/>
        </w:rPr>
      </w:pPr>
      <w:r>
        <w:rPr>
          <w:rFonts w:hint="default" w:ascii="Times New Roman" w:hAnsi="Times New Roman" w:cs="Times New Roman"/>
          <w:b/>
          <w:bCs/>
          <w:lang w:val="en-US" w:eastAsia="zh-CN"/>
        </w:rPr>
        <w:t xml:space="preserve">Figure </w:t>
      </w:r>
      <w:r>
        <w:rPr>
          <w:rFonts w:hint="eastAsia" w:ascii="Times New Roman" w:hAnsi="Times New Roman" w:cs="Times New Roman"/>
          <w:b/>
          <w:bCs/>
          <w:lang w:val="en-US" w:eastAsia="zh-CN"/>
        </w:rPr>
        <w:t>S5.</w:t>
      </w:r>
      <w:r>
        <w:rPr>
          <w:rFonts w:hint="default" w:ascii="Times New Roman" w:hAnsi="Times New Roman" w:cs="Times New Roman"/>
          <w:b/>
          <w:bCs/>
          <w:lang w:val="en-US" w:eastAsia="zh-CN"/>
        </w:rPr>
        <w:t xml:space="preserve"> Cosine similarity heatmap of proxy anchors in the latent space.</w:t>
      </w:r>
      <w:r>
        <w:rPr>
          <w:rFonts w:hint="eastAsia" w:ascii="Times New Roman" w:hAnsi="Times New Roman" w:cs="Times New Roman"/>
          <w:b/>
          <w:bCs/>
          <w:lang w:val="en-US" w:eastAsia="zh-CN"/>
        </w:rPr>
        <w:t xml:space="preserve"> </w:t>
      </w:r>
      <w:r>
        <w:rPr>
          <w:rFonts w:hint="default" w:ascii="Times New Roman" w:hAnsi="Times New Roman" w:cs="Times New Roman"/>
          <w:b w:val="0"/>
          <w:bCs w:val="0"/>
          <w:lang w:val="en-US" w:eastAsia="zh-CN"/>
        </w:rPr>
        <w:t>Heatmap showing pairwise cosine similarities between proxy anchors in the regression task. Each proxy corresponds to a bin of biological activity. Proxies associated with similar activity levels exhibit higher similarity, whereas proxies corresponding to more distant activity levels show lower similarity, indicating an ordered arrangement of proxies along the activity scale.</w:t>
      </w:r>
    </w:p>
    <w:p w14:paraId="4D1833BA">
      <w:pPr>
        <w:rPr>
          <w:rFonts w:hint="default" w:ascii="Times New Roman" w:hAnsi="Times New Roman" w:cs="Times New Roman"/>
          <w:lang w:val="en-US" w:eastAsia="zh-CN"/>
        </w:rPr>
      </w:pPr>
    </w:p>
    <w:p w14:paraId="4115151C">
      <w:pPr>
        <w:rPr>
          <w:rFonts w:hint="default" w:ascii="Times New Roman" w:hAnsi="Times New Roman" w:cs="Times New Roman"/>
          <w:lang w:val="en-US" w:eastAsia="zh-CN"/>
        </w:rPr>
      </w:pPr>
    </w:p>
    <w:p w14:paraId="1F10BB76">
      <w:pPr>
        <w:rPr>
          <w:rFonts w:hint="default" w:ascii="Times New Roman" w:hAnsi="Times New Roman" w:cs="Times New Roman"/>
          <w:lang w:val="en-US" w:eastAsia="zh-CN"/>
        </w:rPr>
      </w:pPr>
    </w:p>
    <w:p w14:paraId="0F030D16">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4B503409">
      <w:pPr>
        <w:jc w:val="center"/>
        <w:rPr>
          <w:rStyle w:val="8"/>
          <w:rFonts w:hint="default" w:ascii="Times New Roman" w:hAnsi="Times New Roman" w:eastAsia="黑体" w:cs="Times New Roman"/>
          <w:sz w:val="24"/>
          <w:szCs w:val="24"/>
          <w:lang w:val="en-US" w:eastAsia="zh-CN"/>
        </w:rPr>
      </w:pPr>
      <w:r>
        <w:rPr>
          <w:rStyle w:val="8"/>
          <w:rFonts w:hint="default" w:ascii="Times New Roman" w:hAnsi="Times New Roman" w:eastAsia="黑体" w:cs="Times New Roman"/>
          <w:sz w:val="24"/>
          <w:szCs w:val="24"/>
          <w:lang w:val="en-US" w:eastAsia="zh-CN"/>
        </w:rPr>
        <w:drawing>
          <wp:inline distT="0" distB="0" distL="114300" distR="114300">
            <wp:extent cx="3943985" cy="2581910"/>
            <wp:effectExtent l="0" t="0" r="3175" b="8890"/>
            <wp:docPr id="3" name="图片 3" descr="FigSI_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SI_smi"/>
                    <pic:cNvPicPr>
                      <a:picLocks noChangeAspect="1"/>
                    </pic:cNvPicPr>
                  </pic:nvPicPr>
                  <pic:blipFill>
                    <a:blip r:embed="rId9"/>
                    <a:stretch>
                      <a:fillRect/>
                    </a:stretch>
                  </pic:blipFill>
                  <pic:spPr>
                    <a:xfrm>
                      <a:off x="0" y="0"/>
                      <a:ext cx="3943985" cy="2581910"/>
                    </a:xfrm>
                    <a:prstGeom prst="rect">
                      <a:avLst/>
                    </a:prstGeom>
                  </pic:spPr>
                </pic:pic>
              </a:graphicData>
            </a:graphic>
          </wp:inline>
        </w:drawing>
      </w:r>
    </w:p>
    <w:p w14:paraId="793C7A5D">
      <w:pPr>
        <w:rPr>
          <w:rFonts w:hint="default" w:ascii="Times New Roman" w:hAnsi="Times New Roman" w:cs="Times New Roman"/>
          <w:lang w:val="en-US" w:eastAsia="zh-CN"/>
        </w:rPr>
      </w:pPr>
      <w:r>
        <w:rPr>
          <w:rFonts w:hint="default" w:ascii="Times New Roman" w:hAnsi="Times New Roman" w:cs="Times New Roman"/>
          <w:b/>
          <w:bCs/>
          <w:lang w:val="en-US" w:eastAsia="zh-CN"/>
        </w:rPr>
        <w:t xml:space="preserve">Figure </w:t>
      </w:r>
      <w:r>
        <w:rPr>
          <w:rFonts w:hint="eastAsia" w:ascii="Times New Roman" w:hAnsi="Times New Roman" w:cs="Times New Roman"/>
          <w:b/>
          <w:bCs/>
          <w:lang w:val="en-US" w:eastAsia="zh-CN"/>
        </w:rPr>
        <w:t xml:space="preserve">S6. Representation similarity across property cliffs. </w:t>
      </w:r>
      <w:r>
        <w:rPr>
          <w:rFonts w:hint="eastAsia" w:ascii="Times New Roman" w:hAnsi="Times New Roman" w:cs="Times New Roman"/>
          <w:b w:val="0"/>
          <w:bCs w:val="0"/>
          <w:lang w:val="en-US" w:eastAsia="zh-CN"/>
        </w:rPr>
        <w:t>Comparison of molecular similarity computed using conventional fingerprints (ECFP4, RDKit, and MACCS) and ArcMol latent representations for structurally similar molecules exhibiting divergent properties.</w:t>
      </w:r>
    </w:p>
    <w:p w14:paraId="6AA8CE23">
      <w:pPr>
        <w:rPr>
          <w:rFonts w:hint="default" w:ascii="Times New Roman" w:hAnsi="Times New Roman" w:cs="Times New Roman"/>
          <w:lang w:val="en-US" w:eastAsia="zh-CN"/>
        </w:rPr>
      </w:pPr>
    </w:p>
    <w:p w14:paraId="14492270">
      <w:pPr>
        <w:rPr>
          <w:rFonts w:hint="default" w:ascii="Times New Roman" w:hAnsi="Times New Roman" w:cs="Times New Roman"/>
          <w:lang w:val="en-US" w:eastAsia="zh-CN"/>
        </w:rPr>
      </w:pPr>
    </w:p>
    <w:p w14:paraId="6408A4D4">
      <w:pPr>
        <w:rPr>
          <w:rFonts w:hint="default" w:ascii="Times New Roman" w:hAnsi="Times New Roman" w:cs="Times New Roman"/>
          <w:lang w:val="en-US" w:eastAsia="zh-CN"/>
        </w:rPr>
      </w:pPr>
    </w:p>
    <w:p w14:paraId="0BC4C5E4">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43297048">
      <w:pPr>
        <w:jc w:val="center"/>
        <w:rPr>
          <w:rStyle w:val="8"/>
          <w:rFonts w:hint="default" w:ascii="Times New Roman" w:hAnsi="Times New Roman" w:eastAsia="黑体" w:cs="Times New Roman"/>
          <w:sz w:val="24"/>
          <w:szCs w:val="24"/>
          <w:lang w:val="en-US" w:eastAsia="zh-CN"/>
        </w:rPr>
      </w:pPr>
      <w:r>
        <w:rPr>
          <w:rStyle w:val="8"/>
          <w:rFonts w:hint="default" w:ascii="Times New Roman" w:hAnsi="Times New Roman" w:eastAsia="黑体" w:cs="Times New Roman"/>
          <w:sz w:val="24"/>
          <w:szCs w:val="24"/>
          <w:lang w:val="en-US" w:eastAsia="zh-CN"/>
        </w:rPr>
        <w:drawing>
          <wp:inline distT="0" distB="0" distL="114300" distR="114300">
            <wp:extent cx="5045075" cy="2977515"/>
            <wp:effectExtent l="0" t="0" r="14605" b="9525"/>
            <wp:docPr id="10" name="图片 10" descr="trajectory_final_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trajectory_final_v5"/>
                    <pic:cNvPicPr>
                      <a:picLocks noChangeAspect="1"/>
                    </pic:cNvPicPr>
                  </pic:nvPicPr>
                  <pic:blipFill>
                    <a:blip r:embed="rId10"/>
                    <a:stretch>
                      <a:fillRect/>
                    </a:stretch>
                  </pic:blipFill>
                  <pic:spPr>
                    <a:xfrm>
                      <a:off x="0" y="0"/>
                      <a:ext cx="5045075" cy="2977515"/>
                    </a:xfrm>
                    <a:prstGeom prst="rect">
                      <a:avLst/>
                    </a:prstGeom>
                  </pic:spPr>
                </pic:pic>
              </a:graphicData>
            </a:graphic>
          </wp:inline>
        </w:drawing>
      </w:r>
    </w:p>
    <w:p w14:paraId="0721AE29">
      <w:pPr>
        <w:rPr>
          <w:rFonts w:hint="default" w:ascii="Times New Roman" w:hAnsi="Times New Roman" w:cs="Times New Roman"/>
          <w:b w:val="0"/>
          <w:bCs w:val="0"/>
          <w:lang w:val="en-US" w:eastAsia="zh-CN"/>
        </w:rPr>
      </w:pPr>
      <w:r>
        <w:rPr>
          <w:rFonts w:hint="default" w:ascii="Times New Roman" w:hAnsi="Times New Roman" w:cs="Times New Roman"/>
          <w:b/>
          <w:bCs/>
          <w:lang w:val="en-US" w:eastAsia="zh-CN"/>
        </w:rPr>
        <w:t xml:space="preserve">Figure </w:t>
      </w:r>
      <w:r>
        <w:rPr>
          <w:rFonts w:hint="eastAsia" w:ascii="Times New Roman" w:hAnsi="Times New Roman" w:cs="Times New Roman"/>
          <w:b/>
          <w:bCs/>
          <w:lang w:val="en-US" w:eastAsia="zh-CN"/>
        </w:rPr>
        <w:t xml:space="preserve">S7. Latent-space trajectories during lead optimization. </w:t>
      </w:r>
      <w:r>
        <w:rPr>
          <w:rFonts w:hint="eastAsia" w:ascii="Times New Roman" w:hAnsi="Times New Roman" w:cs="Times New Roman"/>
          <w:b w:val="0"/>
          <w:bCs w:val="0"/>
          <w:lang w:val="en-US" w:eastAsia="zh-CN"/>
        </w:rPr>
        <w:t>Visualization of a lead optimization sequence (R1 → R8) in the hyperspherical latent space. Red arrows denote the gradient direction toward the highest-activity proxy anchor (P</w:t>
      </w:r>
      <w:r>
        <w:rPr>
          <w:rFonts w:hint="eastAsia" w:ascii="Times New Roman" w:hAnsi="Times New Roman" w:cs="Times New Roman"/>
          <w:b w:val="0"/>
          <w:bCs w:val="0"/>
          <w:vertAlign w:val="subscript"/>
          <w:lang w:val="en-US" w:eastAsia="zh-CN"/>
        </w:rPr>
        <w:t>max</w:t>
      </w:r>
      <w:r>
        <w:rPr>
          <w:rFonts w:hint="eastAsia" w:ascii="Times New Roman" w:hAnsi="Times New Roman" w:cs="Times New Roman"/>
          <w:b w:val="0"/>
          <w:bCs w:val="0"/>
          <w:lang w:val="en-US" w:eastAsia="zh-CN"/>
        </w:rPr>
        <w:t>) , and blue arrows show the observed optimization trajectory.</w:t>
      </w:r>
    </w:p>
    <w:p w14:paraId="166D590C">
      <w:pPr>
        <w:rPr>
          <w:rFonts w:hint="default" w:ascii="Times New Roman" w:hAnsi="Times New Roman" w:cs="Times New Roman"/>
          <w:lang w:val="en-US" w:eastAsia="zh-CN"/>
        </w:rPr>
      </w:pPr>
    </w:p>
    <w:p w14:paraId="4CA5D31E">
      <w:pPr>
        <w:rPr>
          <w:rFonts w:hint="default" w:ascii="Times New Roman" w:hAnsi="Times New Roman" w:cs="Times New Roman"/>
          <w:lang w:val="en-US" w:eastAsia="zh-CN"/>
        </w:rPr>
      </w:pPr>
    </w:p>
    <w:p w14:paraId="0EC35592">
      <w:pPr>
        <w:rPr>
          <w:rFonts w:hint="default" w:ascii="Times New Roman" w:hAnsi="Times New Roman" w:cs="Times New Roman"/>
          <w:lang w:val="en-US" w:eastAsia="zh-CN"/>
        </w:rPr>
      </w:pPr>
    </w:p>
    <w:p w14:paraId="16E41A71">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4ACD6879">
      <w:pPr>
        <w:jc w:val="center"/>
        <w:rPr>
          <w:rStyle w:val="8"/>
          <w:rFonts w:hint="default" w:ascii="Times New Roman" w:hAnsi="Times New Roman" w:eastAsia="黑体" w:cs="Times New Roman"/>
          <w:sz w:val="24"/>
          <w:szCs w:val="24"/>
          <w:lang w:val="en-US" w:eastAsia="zh-CN"/>
        </w:rPr>
      </w:pPr>
      <w:r>
        <w:rPr>
          <w:rStyle w:val="8"/>
          <w:rFonts w:hint="default" w:ascii="Times New Roman" w:hAnsi="Times New Roman" w:eastAsia="黑体" w:cs="Times New Roman"/>
          <w:sz w:val="24"/>
          <w:szCs w:val="24"/>
          <w:lang w:val="en-US" w:eastAsia="zh-CN"/>
        </w:rPr>
        <w:drawing>
          <wp:inline distT="0" distB="0" distL="114300" distR="114300">
            <wp:extent cx="5266690" cy="3160395"/>
            <wp:effectExtent l="0" t="0" r="6350" b="9525"/>
            <wp:docPr id="11" name="图片 11" descr="comparison_X_vs_Z_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omparison_X_vs_Z_smoothness"/>
                    <pic:cNvPicPr>
                      <a:picLocks noChangeAspect="1"/>
                    </pic:cNvPicPr>
                  </pic:nvPicPr>
                  <pic:blipFill>
                    <a:blip r:embed="rId11"/>
                    <a:stretch>
                      <a:fillRect/>
                    </a:stretch>
                  </pic:blipFill>
                  <pic:spPr>
                    <a:xfrm>
                      <a:off x="0" y="0"/>
                      <a:ext cx="5266690" cy="3160395"/>
                    </a:xfrm>
                    <a:prstGeom prst="rect">
                      <a:avLst/>
                    </a:prstGeom>
                  </pic:spPr>
                </pic:pic>
              </a:graphicData>
            </a:graphic>
          </wp:inline>
        </w:drawing>
      </w:r>
    </w:p>
    <w:p w14:paraId="5E3F5064">
      <w:pPr>
        <w:rPr>
          <w:rFonts w:hint="default" w:ascii="Times New Roman" w:hAnsi="Times New Roman" w:cs="Times New Roman"/>
          <w:b w:val="0"/>
          <w:bCs w:val="0"/>
          <w:lang w:val="en-US" w:eastAsia="zh-CN"/>
        </w:rPr>
      </w:pPr>
      <w:r>
        <w:rPr>
          <w:rFonts w:hint="default" w:ascii="Times New Roman" w:hAnsi="Times New Roman" w:cs="Times New Roman"/>
          <w:b/>
          <w:bCs/>
          <w:lang w:val="en-US" w:eastAsia="zh-CN"/>
        </w:rPr>
        <w:t>Figure</w:t>
      </w:r>
      <w:r>
        <w:rPr>
          <w:rFonts w:hint="eastAsia" w:ascii="Times New Roman" w:hAnsi="Times New Roman" w:cs="Times New Roman"/>
          <w:b/>
          <w:bCs/>
          <w:lang w:val="en-US" w:eastAsia="zh-CN"/>
        </w:rPr>
        <w:t xml:space="preserve"> S8. Interpolation in latent and raw feature spaces. </w:t>
      </w:r>
      <w:r>
        <w:rPr>
          <w:rFonts w:hint="eastAsia" w:ascii="Times New Roman" w:hAnsi="Times New Roman" w:cs="Times New Roman"/>
          <w:b w:val="0"/>
          <w:bCs w:val="0"/>
          <w:lang w:val="en-US" w:eastAsia="zh-CN"/>
        </w:rPr>
        <w:t>Predicted bioactivity along spherical interpolation (Slerp) in the latent space Z and linear interpolation (Lerp) in the raw feature space X between R1 and R8.</w:t>
      </w:r>
    </w:p>
    <w:p w14:paraId="2974135F">
      <w:pPr>
        <w:rPr>
          <w:rFonts w:hint="eastAsia" w:ascii="Times New Roman" w:hAnsi="Times New Roman" w:cs="Times New Roman"/>
          <w:b/>
          <w:bCs/>
          <w:lang w:val="en-US" w:eastAsia="zh-CN"/>
        </w:rPr>
      </w:pPr>
    </w:p>
    <w:p w14:paraId="703DE751">
      <w:pPr>
        <w:rPr>
          <w:rFonts w:hint="default" w:ascii="Times New Roman" w:hAnsi="Times New Roman" w:cs="Times New Roman"/>
          <w:b/>
          <w:bCs/>
          <w:lang w:val="en-US" w:eastAsia="zh-CN"/>
        </w:rPr>
      </w:pPr>
      <w:r>
        <w:rPr>
          <w:rFonts w:hint="default" w:ascii="Times New Roman" w:hAnsi="Times New Roman" w:cs="Times New Roman"/>
          <w:b/>
          <w:bCs/>
          <w:lang w:val="en-US" w:eastAsia="zh-CN"/>
        </w:rPr>
        <w:br w:type="page"/>
      </w:r>
    </w:p>
    <w:p w14:paraId="075215B3">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drawing>
          <wp:inline distT="0" distB="0" distL="114300" distR="114300">
            <wp:extent cx="3577590" cy="3577590"/>
            <wp:effectExtent l="0" t="0" r="3810" b="3810"/>
            <wp:docPr id="6" name="图片 6"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overview"/>
                    <pic:cNvPicPr>
                      <a:picLocks noChangeAspect="1"/>
                    </pic:cNvPicPr>
                  </pic:nvPicPr>
                  <pic:blipFill>
                    <a:blip r:embed="rId12"/>
                    <a:stretch>
                      <a:fillRect/>
                    </a:stretch>
                  </pic:blipFill>
                  <pic:spPr>
                    <a:xfrm>
                      <a:off x="0" y="0"/>
                      <a:ext cx="3577590" cy="3577590"/>
                    </a:xfrm>
                    <a:prstGeom prst="rect">
                      <a:avLst/>
                    </a:prstGeom>
                  </pic:spPr>
                </pic:pic>
              </a:graphicData>
            </a:graphic>
          </wp:inline>
        </w:drawing>
      </w:r>
    </w:p>
    <w:p w14:paraId="0A94E60C">
      <w:pPr>
        <w:rPr>
          <w:rFonts w:hint="default" w:ascii="Times New Roman" w:hAnsi="Times New Roman" w:cs="Times New Roman"/>
          <w:b w:val="0"/>
          <w:bCs w:val="0"/>
          <w:lang w:val="en-US" w:eastAsia="zh-CN"/>
        </w:rPr>
      </w:pPr>
      <w:r>
        <w:rPr>
          <w:rFonts w:hint="eastAsia" w:ascii="Times New Roman" w:hAnsi="Times New Roman" w:cs="Times New Roman"/>
          <w:b/>
          <w:bCs/>
          <w:lang w:val="en-US" w:eastAsia="zh-CN"/>
        </w:rPr>
        <w:t xml:space="preserve">Figure S9. </w:t>
      </w:r>
      <w:r>
        <w:rPr>
          <w:rFonts w:hint="default" w:ascii="Times New Roman" w:hAnsi="Times New Roman" w:cs="Times New Roman"/>
          <w:b/>
          <w:bCs/>
          <w:lang w:val="en-US" w:eastAsia="zh-CN"/>
        </w:rPr>
        <w:t>Structural basis of type II binding of ponatinib to inactive IRAK4.</w:t>
      </w:r>
      <w:r>
        <w:rPr>
          <w:rFonts w:hint="default" w:ascii="Times New Roman" w:hAnsi="Times New Roman" w:cs="Times New Roman"/>
          <w:b w:val="0"/>
          <w:bCs w:val="0"/>
          <w:lang w:val="en-US" w:eastAsia="zh-CN"/>
        </w:rPr>
        <w:t xml:space="preserve"> The crystal structure of IRAK4 in the DFG-out inactive conformation (PDB ID: 6EG9) is shown. Ponatinib binds to the ATP-binding cleft and extends into the hydrophobic back pocket exposed upon DFG motif rearrangement. The terminal substituent of ponatinib occupies the solvent-accessible cavity adjacent to the ATP-binding site, a defining structural feature of type II kinase inhibitors, thereby stabilizing the inactive conformation of IRAK4.</w:t>
      </w:r>
    </w:p>
    <w:p w14:paraId="67D5C705">
      <w:pPr>
        <w:rPr>
          <w:rFonts w:hint="eastAsia" w:ascii="Times New Roman" w:hAnsi="Times New Roman" w:cs="Times New Roman"/>
          <w:b/>
          <w:bCs/>
          <w:lang w:val="en-US" w:eastAsia="zh-CN"/>
        </w:rPr>
      </w:pPr>
    </w:p>
    <w:p w14:paraId="42840B9A">
      <w:pPr>
        <w:rPr>
          <w:rFonts w:hint="eastAsia" w:ascii="Times New Roman" w:hAnsi="Times New Roman" w:cs="Times New Roman"/>
          <w:b/>
          <w:bCs/>
          <w:lang w:val="en-US" w:eastAsia="zh-CN"/>
        </w:rPr>
      </w:pPr>
      <w:r>
        <w:rPr>
          <w:rFonts w:hint="eastAsia" w:ascii="Times New Roman" w:hAnsi="Times New Roman" w:cs="Times New Roman"/>
          <w:b/>
          <w:bCs/>
          <w:lang w:val="en-US" w:eastAsia="zh-CN"/>
        </w:rPr>
        <w:br w:type="page"/>
      </w:r>
    </w:p>
    <w:p w14:paraId="322F39F2">
      <w:pPr>
        <w:rPr>
          <w:rFonts w:hint="eastAsia" w:ascii="Times New Roman" w:hAnsi="Times New Roman" w:cs="Times New Roman"/>
          <w:b/>
          <w:bCs/>
          <w:lang w:val="en-US" w:eastAsia="zh-CN"/>
        </w:rPr>
      </w:pPr>
      <w:r>
        <w:drawing>
          <wp:inline distT="0" distB="0" distL="114300" distR="114300">
            <wp:extent cx="5273040" cy="2827020"/>
            <wp:effectExtent l="0" t="0" r="0" b="7620"/>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13"/>
                    <a:stretch>
                      <a:fillRect/>
                    </a:stretch>
                  </pic:blipFill>
                  <pic:spPr>
                    <a:xfrm>
                      <a:off x="0" y="0"/>
                      <a:ext cx="5273040" cy="2827020"/>
                    </a:xfrm>
                    <a:prstGeom prst="rect">
                      <a:avLst/>
                    </a:prstGeom>
                    <a:noFill/>
                    <a:ln>
                      <a:noFill/>
                    </a:ln>
                  </pic:spPr>
                </pic:pic>
              </a:graphicData>
            </a:graphic>
          </wp:inline>
        </w:drawing>
      </w:r>
    </w:p>
    <w:p w14:paraId="36F32805">
      <w:pPr>
        <w:rPr>
          <w:rFonts w:hint="default" w:ascii="Times New Roman" w:hAnsi="Times New Roman" w:cs="Times New Roman"/>
          <w:b/>
          <w:bCs/>
          <w:lang w:val="en-US" w:eastAsia="zh-CN"/>
        </w:rPr>
      </w:pPr>
      <w:r>
        <w:rPr>
          <w:rFonts w:hint="eastAsia" w:ascii="Times New Roman" w:hAnsi="Times New Roman" w:cs="Times New Roman"/>
          <w:b/>
          <w:bCs/>
          <w:lang w:val="en-US" w:eastAsia="zh-CN"/>
        </w:rPr>
        <w:t xml:space="preserve">Figure S10. Chemical structures of the selected IRAK4 inhibitor candidates. </w:t>
      </w:r>
      <w:r>
        <w:rPr>
          <w:rFonts w:hint="eastAsia" w:ascii="Times New Roman" w:hAnsi="Times New Roman" w:cs="Times New Roman"/>
          <w:b w:val="0"/>
          <w:bCs w:val="0"/>
          <w:lang w:val="en-US" w:eastAsia="zh-CN"/>
        </w:rPr>
        <w:t>The six compounds selected for biochemical assays are highlighted in pink.</w:t>
      </w:r>
    </w:p>
    <w:p w14:paraId="6F43470A">
      <w:pPr>
        <w:rPr>
          <w:rFonts w:hint="default" w:ascii="Times New Roman" w:hAnsi="Times New Roman" w:cs="Times New Roman"/>
          <w:b/>
          <w:bCs/>
          <w:lang w:val="en-US" w:eastAsia="zh-CN"/>
        </w:rPr>
      </w:pPr>
    </w:p>
    <w:p w14:paraId="6ED78B4F">
      <w:pPr>
        <w:rPr>
          <w:rFonts w:hint="default" w:ascii="Times New Roman" w:hAnsi="Times New Roman" w:cs="Times New Roman"/>
          <w:b/>
          <w:bCs/>
          <w:lang w:val="en-US" w:eastAsia="zh-CN"/>
        </w:rPr>
      </w:pPr>
      <w:r>
        <w:rPr>
          <w:rFonts w:hint="default" w:ascii="Times New Roman" w:hAnsi="Times New Roman" w:cs="Times New Roman"/>
          <w:b/>
          <w:bCs/>
          <w:lang w:val="en-US" w:eastAsia="zh-CN"/>
        </w:rPr>
        <w:br w:type="page"/>
      </w:r>
    </w:p>
    <w:p w14:paraId="54EA068E">
      <w:pPr>
        <w:rPr>
          <w:rFonts w:hint="eastAsia" w:ascii="Times New Roman" w:hAnsi="Times New Roman" w:cs="Times New Roman"/>
          <w:b/>
          <w:bCs/>
          <w:lang w:val="en-US" w:eastAsia="zh-CN"/>
        </w:rPr>
      </w:pPr>
      <w:r>
        <w:rPr>
          <w:rFonts w:hint="eastAsia" w:ascii="Times New Roman" w:hAnsi="Times New Roman" w:cs="Times New Roman"/>
          <w:b/>
          <w:bCs/>
          <w:lang w:val="en-US" w:eastAsia="zh-CN"/>
        </w:rPr>
        <w:t>Supplementary Tables</w:t>
      </w:r>
    </w:p>
    <w:p w14:paraId="379425FD">
      <w:pPr>
        <w:rPr>
          <w:rFonts w:hint="default" w:ascii="Times New Roman" w:hAnsi="Times New Roman" w:cs="Times New Roman"/>
          <w:b/>
          <w:bCs/>
          <w:lang w:val="en-US" w:eastAsia="zh-CN"/>
        </w:rPr>
      </w:pPr>
    </w:p>
    <w:p w14:paraId="6AC2A7FF">
      <w:pPr>
        <w:rPr>
          <w:rFonts w:hint="eastAsia" w:ascii="Times New Roman" w:hAnsi="Times New Roman" w:cs="Times New Roman"/>
          <w:b/>
          <w:bCs/>
          <w:lang w:val="en-US" w:eastAsia="zh-CN"/>
        </w:rPr>
      </w:pPr>
      <w:r>
        <w:rPr>
          <w:rFonts w:hint="default" w:ascii="Times New Roman" w:hAnsi="Times New Roman" w:cs="Times New Roman"/>
          <w:b/>
          <w:bCs/>
          <w:lang w:val="en-US" w:eastAsia="zh-CN"/>
        </w:rPr>
        <w:t xml:space="preserve">Supplementary Table </w:t>
      </w:r>
      <w:r>
        <w:rPr>
          <w:rFonts w:hint="eastAsia" w:ascii="Times New Roman" w:hAnsi="Times New Roman" w:cs="Times New Roman"/>
          <w:b/>
          <w:bCs/>
          <w:lang w:val="en-US" w:eastAsia="zh-CN"/>
        </w:rPr>
        <w:t>1. FDA-approved and reported IRAK4 inhibitors excluded from drug repurposing analysis.</w:t>
      </w: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15"/>
        <w:gridCol w:w="1383"/>
        <w:gridCol w:w="4038"/>
        <w:gridCol w:w="1292"/>
      </w:tblGrid>
      <w:tr w14:paraId="3032D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615" w:type="dxa"/>
            <w:tcBorders>
              <w:top w:val="nil"/>
              <w:left w:val="nil"/>
              <w:bottom w:val="nil"/>
              <w:right w:val="nil"/>
            </w:tcBorders>
            <w:shd w:val="clear" w:color="auto" w:fill="auto"/>
            <w:noWrap/>
            <w:vAlign w:val="center"/>
          </w:tcPr>
          <w:p w14:paraId="4DF834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Name</w:t>
            </w:r>
          </w:p>
        </w:tc>
        <w:tc>
          <w:tcPr>
            <w:tcW w:w="1383" w:type="dxa"/>
            <w:tcBorders>
              <w:top w:val="nil"/>
              <w:left w:val="nil"/>
              <w:bottom w:val="nil"/>
              <w:right w:val="nil"/>
            </w:tcBorders>
            <w:shd w:val="clear" w:color="auto" w:fill="auto"/>
            <w:noWrap/>
            <w:vAlign w:val="center"/>
          </w:tcPr>
          <w:p w14:paraId="2D6D39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CAS Number</w:t>
            </w:r>
          </w:p>
        </w:tc>
        <w:tc>
          <w:tcPr>
            <w:tcW w:w="4038" w:type="dxa"/>
            <w:tcBorders>
              <w:top w:val="nil"/>
              <w:left w:val="nil"/>
              <w:bottom w:val="nil"/>
              <w:right w:val="nil"/>
            </w:tcBorders>
            <w:shd w:val="clear" w:color="auto" w:fill="auto"/>
            <w:noWrap/>
            <w:vAlign w:val="center"/>
          </w:tcPr>
          <w:p w14:paraId="7F39DC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SMILES</w:t>
            </w:r>
          </w:p>
        </w:tc>
        <w:tc>
          <w:tcPr>
            <w:tcW w:w="1292" w:type="dxa"/>
            <w:tcBorders>
              <w:top w:val="nil"/>
              <w:left w:val="nil"/>
              <w:bottom w:val="nil"/>
              <w:right w:val="nil"/>
            </w:tcBorders>
            <w:shd w:val="clear" w:color="auto" w:fill="auto"/>
            <w:noWrap/>
            <w:vAlign w:val="center"/>
          </w:tcPr>
          <w:p w14:paraId="6F6DA3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rPr>
            </w:pPr>
            <w:r>
              <w:rPr>
                <w:rFonts w:hint="eastAsia" w:ascii="Times New Roman" w:hAnsi="Times New Roman" w:eastAsia="宋体" w:cs="Times New Roman"/>
                <w:i w:val="0"/>
                <w:iCs w:val="0"/>
                <w:color w:val="000000"/>
                <w:kern w:val="0"/>
                <w:sz w:val="20"/>
                <w:szCs w:val="20"/>
                <w:u w:val="none"/>
                <w:lang w:val="en-US" w:eastAsia="zh-CN" w:bidi="ar"/>
              </w:rPr>
              <w:t>pIC</w:t>
            </w:r>
            <w:r>
              <w:rPr>
                <w:rFonts w:hint="eastAsia" w:ascii="Times New Roman" w:hAnsi="Times New Roman" w:eastAsia="宋体" w:cs="Times New Roman"/>
                <w:i w:val="0"/>
                <w:iCs w:val="0"/>
                <w:color w:val="000000"/>
                <w:kern w:val="0"/>
                <w:sz w:val="20"/>
                <w:szCs w:val="20"/>
                <w:u w:val="none"/>
                <w:vertAlign w:val="subscript"/>
                <w:lang w:val="en-US" w:eastAsia="zh-CN" w:bidi="ar"/>
              </w:rPr>
              <w:t>50</w:t>
            </w:r>
            <w:r>
              <w:rPr>
                <w:rFonts w:hint="eastAsia" w:ascii="Times New Roman" w:hAnsi="Times New Roman" w:eastAsia="宋体" w:cs="Times New Roman"/>
                <w:i w:val="0"/>
                <w:iCs w:val="0"/>
                <w:color w:val="000000"/>
                <w:kern w:val="0"/>
                <w:sz w:val="20"/>
                <w:szCs w:val="20"/>
                <w:u w:val="none"/>
                <w:vertAlign w:val="baseline"/>
                <w:lang w:val="en-US" w:eastAsia="zh-CN" w:bidi="ar"/>
              </w:rPr>
              <w:t>(</w:t>
            </w:r>
            <w:r>
              <w:rPr>
                <w:rFonts w:hint="default" w:ascii="Times New Roman" w:hAnsi="Times New Roman" w:eastAsia="宋体" w:cs="Times New Roman"/>
                <w:i w:val="0"/>
                <w:iCs w:val="0"/>
                <w:color w:val="000000"/>
                <w:kern w:val="0"/>
                <w:sz w:val="20"/>
                <w:szCs w:val="20"/>
                <w:u w:val="none"/>
                <w:vertAlign w:val="baseline"/>
                <w:lang w:val="en-US" w:eastAsia="zh-CN" w:bidi="ar"/>
              </w:rPr>
              <w:t>Ref</w:t>
            </w:r>
            <w:r>
              <w:rPr>
                <w:rFonts w:hint="eastAsia" w:ascii="Times New Roman" w:hAnsi="Times New Roman" w:eastAsia="宋体" w:cs="Times New Roman"/>
                <w:i w:val="0"/>
                <w:iCs w:val="0"/>
                <w:color w:val="000000"/>
                <w:kern w:val="0"/>
                <w:sz w:val="20"/>
                <w:szCs w:val="20"/>
                <w:u w:val="none"/>
                <w:vertAlign w:val="baseline"/>
                <w:lang w:val="en-US" w:eastAsia="zh-CN" w:bidi="ar"/>
              </w:rPr>
              <w:t>)</w:t>
            </w:r>
          </w:p>
        </w:tc>
      </w:tr>
      <w:tr w14:paraId="45B9E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615" w:type="dxa"/>
            <w:tcBorders>
              <w:top w:val="nil"/>
              <w:left w:val="nil"/>
              <w:bottom w:val="nil"/>
              <w:right w:val="nil"/>
            </w:tcBorders>
            <w:shd w:val="clear" w:color="auto" w:fill="auto"/>
            <w:noWrap/>
            <w:vAlign w:val="center"/>
          </w:tcPr>
          <w:p w14:paraId="2BD0D6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Staurosporine (AM-2282)</w:t>
            </w:r>
          </w:p>
        </w:tc>
        <w:tc>
          <w:tcPr>
            <w:tcW w:w="1383" w:type="dxa"/>
            <w:tcBorders>
              <w:top w:val="nil"/>
              <w:left w:val="nil"/>
              <w:bottom w:val="nil"/>
              <w:right w:val="nil"/>
            </w:tcBorders>
            <w:shd w:val="clear" w:color="auto" w:fill="auto"/>
            <w:noWrap/>
            <w:vAlign w:val="center"/>
          </w:tcPr>
          <w:p w14:paraId="6B63B0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62996-74-1</w:t>
            </w:r>
          </w:p>
        </w:tc>
        <w:tc>
          <w:tcPr>
            <w:tcW w:w="4038" w:type="dxa"/>
            <w:tcBorders>
              <w:top w:val="nil"/>
              <w:left w:val="nil"/>
              <w:bottom w:val="nil"/>
              <w:right w:val="nil"/>
            </w:tcBorders>
            <w:shd w:val="clear" w:color="auto" w:fill="auto"/>
            <w:noWrap/>
            <w:vAlign w:val="center"/>
          </w:tcPr>
          <w:p w14:paraId="2701CD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CNC1CC2OC(C)(C1OC)n1c3ccccc3c3c4c(c5c6ccccc6n2c5c31)C(=O)NC4</w:t>
            </w:r>
          </w:p>
        </w:tc>
        <w:tc>
          <w:tcPr>
            <w:tcW w:w="1292" w:type="dxa"/>
            <w:tcBorders>
              <w:top w:val="nil"/>
              <w:left w:val="nil"/>
              <w:bottom w:val="nil"/>
              <w:right w:val="nil"/>
            </w:tcBorders>
            <w:shd w:val="clear" w:color="auto" w:fill="auto"/>
            <w:noWrap/>
            <w:vAlign w:val="center"/>
          </w:tcPr>
          <w:p w14:paraId="01E3A9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8.155</w:t>
            </w:r>
          </w:p>
        </w:tc>
      </w:tr>
      <w:tr w14:paraId="4B70A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615" w:type="dxa"/>
            <w:tcBorders>
              <w:top w:val="nil"/>
              <w:left w:val="nil"/>
              <w:bottom w:val="nil"/>
              <w:right w:val="nil"/>
            </w:tcBorders>
            <w:shd w:val="clear" w:color="auto" w:fill="auto"/>
            <w:noWrap/>
            <w:vAlign w:val="center"/>
          </w:tcPr>
          <w:p w14:paraId="1E202C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Ponatinib (AP24534)</w:t>
            </w:r>
          </w:p>
        </w:tc>
        <w:tc>
          <w:tcPr>
            <w:tcW w:w="1383" w:type="dxa"/>
            <w:tcBorders>
              <w:top w:val="nil"/>
              <w:left w:val="nil"/>
              <w:bottom w:val="nil"/>
              <w:right w:val="nil"/>
            </w:tcBorders>
            <w:shd w:val="clear" w:color="auto" w:fill="auto"/>
            <w:noWrap/>
            <w:vAlign w:val="center"/>
          </w:tcPr>
          <w:p w14:paraId="2577085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943319-70-8</w:t>
            </w:r>
          </w:p>
        </w:tc>
        <w:tc>
          <w:tcPr>
            <w:tcW w:w="4038" w:type="dxa"/>
            <w:tcBorders>
              <w:top w:val="nil"/>
              <w:left w:val="nil"/>
              <w:bottom w:val="nil"/>
              <w:right w:val="nil"/>
            </w:tcBorders>
            <w:shd w:val="clear" w:color="auto" w:fill="auto"/>
            <w:noWrap/>
            <w:vAlign w:val="center"/>
          </w:tcPr>
          <w:p w14:paraId="76AF68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Cc1ccc(C(=O)Nc2ccc(CN3CCN(C)CC3)c(C(F)(F)F)c2)cc1C#Cc1cnc2cccnn12</w:t>
            </w:r>
          </w:p>
        </w:tc>
        <w:tc>
          <w:tcPr>
            <w:tcW w:w="1292" w:type="dxa"/>
            <w:tcBorders>
              <w:top w:val="nil"/>
              <w:left w:val="nil"/>
              <w:bottom w:val="nil"/>
              <w:right w:val="nil"/>
            </w:tcBorders>
            <w:shd w:val="clear" w:color="auto" w:fill="auto"/>
            <w:noWrap/>
            <w:vAlign w:val="center"/>
          </w:tcPr>
          <w:p w14:paraId="779A1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7.17</w:t>
            </w:r>
          </w:p>
        </w:tc>
      </w:tr>
      <w:tr w14:paraId="4863B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615" w:type="dxa"/>
            <w:tcBorders>
              <w:top w:val="nil"/>
              <w:left w:val="nil"/>
              <w:bottom w:val="nil"/>
              <w:right w:val="nil"/>
            </w:tcBorders>
            <w:shd w:val="clear" w:color="auto" w:fill="auto"/>
            <w:noWrap/>
            <w:vAlign w:val="center"/>
          </w:tcPr>
          <w:p w14:paraId="40FB49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Quizartinib (AC220)</w:t>
            </w:r>
          </w:p>
        </w:tc>
        <w:tc>
          <w:tcPr>
            <w:tcW w:w="1383" w:type="dxa"/>
            <w:tcBorders>
              <w:top w:val="nil"/>
              <w:left w:val="nil"/>
              <w:bottom w:val="nil"/>
              <w:right w:val="nil"/>
            </w:tcBorders>
            <w:shd w:val="clear" w:color="auto" w:fill="auto"/>
            <w:noWrap/>
            <w:vAlign w:val="center"/>
          </w:tcPr>
          <w:p w14:paraId="6366E7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950769-58-1</w:t>
            </w:r>
          </w:p>
        </w:tc>
        <w:tc>
          <w:tcPr>
            <w:tcW w:w="4038" w:type="dxa"/>
            <w:tcBorders>
              <w:top w:val="nil"/>
              <w:left w:val="nil"/>
              <w:bottom w:val="nil"/>
              <w:right w:val="nil"/>
            </w:tcBorders>
            <w:shd w:val="clear" w:color="auto" w:fill="auto"/>
            <w:noWrap/>
            <w:vAlign w:val="center"/>
          </w:tcPr>
          <w:p w14:paraId="25419E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CC(C)(C)c1cc(NC(=O)Nc2ccc(-c3cn4c(n3)sc3cc(OCCN5CCOCC5)ccc34)cc2)no1</w:t>
            </w:r>
          </w:p>
        </w:tc>
        <w:tc>
          <w:tcPr>
            <w:tcW w:w="1292" w:type="dxa"/>
            <w:tcBorders>
              <w:top w:val="nil"/>
              <w:left w:val="nil"/>
              <w:bottom w:val="nil"/>
              <w:right w:val="nil"/>
            </w:tcBorders>
            <w:shd w:val="clear" w:color="auto" w:fill="auto"/>
            <w:noWrap/>
            <w:vAlign w:val="center"/>
          </w:tcPr>
          <w:p w14:paraId="2BD822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8.69</w:t>
            </w:r>
          </w:p>
        </w:tc>
      </w:tr>
      <w:tr w14:paraId="7591B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615" w:type="dxa"/>
            <w:tcBorders>
              <w:top w:val="nil"/>
              <w:left w:val="nil"/>
              <w:bottom w:val="nil"/>
              <w:right w:val="nil"/>
            </w:tcBorders>
            <w:shd w:val="clear" w:color="auto" w:fill="auto"/>
            <w:noWrap/>
            <w:vAlign w:val="center"/>
          </w:tcPr>
          <w:p w14:paraId="437614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Bosutinib (SKI-606)</w:t>
            </w:r>
          </w:p>
        </w:tc>
        <w:tc>
          <w:tcPr>
            <w:tcW w:w="1383" w:type="dxa"/>
            <w:tcBorders>
              <w:top w:val="nil"/>
              <w:left w:val="nil"/>
              <w:bottom w:val="nil"/>
              <w:right w:val="nil"/>
            </w:tcBorders>
            <w:shd w:val="clear" w:color="auto" w:fill="auto"/>
            <w:noWrap/>
            <w:vAlign w:val="center"/>
          </w:tcPr>
          <w:p w14:paraId="3B7458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380843-75-4</w:t>
            </w:r>
          </w:p>
        </w:tc>
        <w:tc>
          <w:tcPr>
            <w:tcW w:w="4038" w:type="dxa"/>
            <w:tcBorders>
              <w:top w:val="nil"/>
              <w:left w:val="nil"/>
              <w:bottom w:val="nil"/>
              <w:right w:val="nil"/>
            </w:tcBorders>
            <w:shd w:val="clear" w:color="auto" w:fill="auto"/>
            <w:noWrap/>
            <w:vAlign w:val="center"/>
          </w:tcPr>
          <w:p w14:paraId="1AE182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COc1cc(Nc2c(C#N)cnc3cc(OCCCN4CCN(C)CC4)c(OC)cc23)c(Cl)cc1Cl</w:t>
            </w:r>
          </w:p>
        </w:tc>
        <w:tc>
          <w:tcPr>
            <w:tcW w:w="1292" w:type="dxa"/>
            <w:tcBorders>
              <w:top w:val="nil"/>
              <w:left w:val="nil"/>
              <w:bottom w:val="nil"/>
              <w:right w:val="nil"/>
            </w:tcBorders>
            <w:shd w:val="clear" w:color="auto" w:fill="auto"/>
            <w:noWrap/>
            <w:vAlign w:val="center"/>
          </w:tcPr>
          <w:p w14:paraId="2C33C5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6.24</w:t>
            </w:r>
          </w:p>
        </w:tc>
      </w:tr>
    </w:tbl>
    <w:p w14:paraId="6C33E005">
      <w:pPr>
        <w:rPr>
          <w:rFonts w:hint="default" w:ascii="Times New Roman" w:hAnsi="Times New Roman" w:cs="Times New Roman"/>
          <w:b/>
          <w:bCs/>
          <w:lang w:val="en-US" w:eastAsia="zh-CN"/>
        </w:rPr>
      </w:pPr>
    </w:p>
    <w:p w14:paraId="27E0F5F7">
      <w:pPr>
        <w:rPr>
          <w:rFonts w:hint="default" w:ascii="Times New Roman" w:hAnsi="Times New Roman" w:cs="Times New Roman"/>
          <w:b/>
          <w:bCs/>
          <w:lang w:val="en-US" w:eastAsia="zh-CN"/>
        </w:rPr>
      </w:pPr>
      <w:r>
        <w:rPr>
          <w:rFonts w:hint="default" w:ascii="Times New Roman" w:hAnsi="Times New Roman" w:cs="Times New Roman"/>
          <w:b/>
          <w:bCs/>
          <w:lang w:val="en-US" w:eastAsia="zh-CN"/>
        </w:rPr>
        <w:br w:type="page"/>
      </w:r>
    </w:p>
    <w:p w14:paraId="5DD5E7C9">
      <w:pPr>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Supplementary Table </w:t>
      </w:r>
      <w:r>
        <w:rPr>
          <w:rFonts w:hint="eastAsia" w:ascii="Times New Roman" w:hAnsi="Times New Roman" w:cs="Times New Roman"/>
          <w:b/>
          <w:bCs/>
          <w:lang w:val="en-US" w:eastAsia="zh-CN"/>
        </w:rPr>
        <w:t xml:space="preserve">2. </w:t>
      </w:r>
      <w:r>
        <w:rPr>
          <w:rFonts w:hint="default" w:ascii="Times New Roman" w:hAnsi="Times New Roman" w:cs="Times New Roman"/>
          <w:b/>
          <w:bCs/>
          <w:lang w:val="en-US" w:eastAsia="zh-CN"/>
        </w:rPr>
        <w:t>Top 20 drug repositioning candidates predicted by ArcMol</w:t>
      </w:r>
    </w:p>
    <w:tbl>
      <w:tblPr>
        <w:tblStyle w:val="5"/>
        <w:tblW w:w="3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24"/>
        <w:gridCol w:w="3428"/>
        <w:gridCol w:w="1660"/>
      </w:tblGrid>
      <w:tr w14:paraId="6660D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jc w:val="center"/>
        </w:trPr>
        <w:tc>
          <w:tcPr>
            <w:tcW w:w="1265" w:type="pct"/>
            <w:tcBorders>
              <w:top w:val="nil"/>
              <w:left w:val="nil"/>
              <w:bottom w:val="nil"/>
              <w:right w:val="nil"/>
            </w:tcBorders>
            <w:shd w:val="clear" w:color="auto" w:fill="auto"/>
            <w:noWrap/>
            <w:vAlign w:val="center"/>
          </w:tcPr>
          <w:p w14:paraId="3FF8968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CAS Number</w:t>
            </w:r>
          </w:p>
        </w:tc>
        <w:tc>
          <w:tcPr>
            <w:tcW w:w="2516" w:type="pct"/>
            <w:tcBorders>
              <w:top w:val="nil"/>
              <w:left w:val="nil"/>
              <w:bottom w:val="nil"/>
              <w:right w:val="nil"/>
            </w:tcBorders>
            <w:shd w:val="clear" w:color="auto" w:fill="auto"/>
            <w:noWrap/>
            <w:vAlign w:val="center"/>
          </w:tcPr>
          <w:p w14:paraId="6BD3D1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Name</w:t>
            </w:r>
          </w:p>
        </w:tc>
        <w:tc>
          <w:tcPr>
            <w:tcW w:w="1218" w:type="pct"/>
            <w:tcBorders>
              <w:top w:val="nil"/>
              <w:left w:val="nil"/>
              <w:bottom w:val="nil"/>
              <w:right w:val="nil"/>
            </w:tcBorders>
            <w:shd w:val="clear" w:color="auto" w:fill="auto"/>
            <w:noWrap/>
            <w:vAlign w:val="center"/>
          </w:tcPr>
          <w:p w14:paraId="5E32A8F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Prediction</w:t>
            </w:r>
          </w:p>
        </w:tc>
      </w:tr>
      <w:tr w14:paraId="23DF5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jc w:val="center"/>
        </w:trPr>
        <w:tc>
          <w:tcPr>
            <w:tcW w:w="1265" w:type="pct"/>
            <w:tcBorders>
              <w:top w:val="nil"/>
              <w:left w:val="nil"/>
              <w:bottom w:val="nil"/>
              <w:right w:val="nil"/>
            </w:tcBorders>
            <w:shd w:val="clear" w:color="auto" w:fill="auto"/>
            <w:noWrap/>
            <w:vAlign w:val="center"/>
          </w:tcPr>
          <w:p w14:paraId="22A50E6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1211441-98-3</w:t>
            </w:r>
          </w:p>
        </w:tc>
        <w:tc>
          <w:tcPr>
            <w:tcW w:w="2516" w:type="pct"/>
            <w:tcBorders>
              <w:top w:val="nil"/>
              <w:left w:val="nil"/>
              <w:bottom w:val="nil"/>
              <w:right w:val="nil"/>
            </w:tcBorders>
            <w:shd w:val="clear" w:color="auto" w:fill="auto"/>
            <w:noWrap/>
            <w:vAlign w:val="center"/>
          </w:tcPr>
          <w:p w14:paraId="316404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Ribociclib (LEE011)</w:t>
            </w:r>
          </w:p>
        </w:tc>
        <w:tc>
          <w:tcPr>
            <w:tcW w:w="1218" w:type="pct"/>
            <w:tcBorders>
              <w:top w:val="nil"/>
              <w:left w:val="nil"/>
              <w:bottom w:val="nil"/>
              <w:right w:val="nil"/>
            </w:tcBorders>
            <w:shd w:val="clear" w:color="auto" w:fill="auto"/>
            <w:noWrap/>
            <w:vAlign w:val="center"/>
          </w:tcPr>
          <w:p w14:paraId="32C4766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8.610</w:t>
            </w:r>
          </w:p>
        </w:tc>
      </w:tr>
      <w:tr w14:paraId="2BDA4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1265" w:type="pct"/>
            <w:tcBorders>
              <w:top w:val="nil"/>
              <w:left w:val="nil"/>
              <w:bottom w:val="nil"/>
              <w:right w:val="nil"/>
            </w:tcBorders>
            <w:shd w:val="clear" w:color="auto" w:fill="auto"/>
            <w:noWrap/>
            <w:vAlign w:val="center"/>
          </w:tcPr>
          <w:p w14:paraId="0798786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557795-19-4</w:t>
            </w:r>
          </w:p>
        </w:tc>
        <w:tc>
          <w:tcPr>
            <w:tcW w:w="2516" w:type="pct"/>
            <w:tcBorders>
              <w:top w:val="nil"/>
              <w:left w:val="nil"/>
              <w:bottom w:val="nil"/>
              <w:right w:val="nil"/>
            </w:tcBorders>
            <w:shd w:val="clear" w:color="auto" w:fill="auto"/>
            <w:noWrap/>
            <w:vAlign w:val="center"/>
          </w:tcPr>
          <w:p w14:paraId="22BD21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Sunitinib (SU11248)</w:t>
            </w:r>
          </w:p>
        </w:tc>
        <w:tc>
          <w:tcPr>
            <w:tcW w:w="1218" w:type="pct"/>
            <w:tcBorders>
              <w:top w:val="nil"/>
              <w:left w:val="nil"/>
              <w:bottom w:val="nil"/>
              <w:right w:val="nil"/>
            </w:tcBorders>
            <w:shd w:val="clear" w:color="auto" w:fill="auto"/>
            <w:noWrap/>
            <w:vAlign w:val="center"/>
          </w:tcPr>
          <w:p w14:paraId="551E068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8.404</w:t>
            </w:r>
          </w:p>
        </w:tc>
      </w:tr>
      <w:tr w14:paraId="7BCE9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1265" w:type="pct"/>
            <w:tcBorders>
              <w:top w:val="nil"/>
              <w:left w:val="nil"/>
              <w:bottom w:val="nil"/>
              <w:right w:val="nil"/>
            </w:tcBorders>
            <w:shd w:val="clear" w:color="auto" w:fill="auto"/>
            <w:noWrap/>
            <w:vAlign w:val="center"/>
          </w:tcPr>
          <w:p w14:paraId="2513769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1029044-16-3</w:t>
            </w:r>
          </w:p>
        </w:tc>
        <w:tc>
          <w:tcPr>
            <w:tcW w:w="2516" w:type="pct"/>
            <w:tcBorders>
              <w:top w:val="nil"/>
              <w:left w:val="nil"/>
              <w:bottom w:val="nil"/>
              <w:right w:val="nil"/>
            </w:tcBorders>
            <w:shd w:val="clear" w:color="auto" w:fill="auto"/>
            <w:noWrap/>
            <w:vAlign w:val="center"/>
          </w:tcPr>
          <w:p w14:paraId="70E035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Pexidartinib (PLX3397)</w:t>
            </w:r>
          </w:p>
        </w:tc>
        <w:tc>
          <w:tcPr>
            <w:tcW w:w="1218" w:type="pct"/>
            <w:tcBorders>
              <w:top w:val="nil"/>
              <w:left w:val="nil"/>
              <w:bottom w:val="nil"/>
              <w:right w:val="nil"/>
            </w:tcBorders>
            <w:shd w:val="clear" w:color="auto" w:fill="auto"/>
            <w:noWrap/>
            <w:vAlign w:val="center"/>
          </w:tcPr>
          <w:p w14:paraId="069965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8.393</w:t>
            </w:r>
          </w:p>
        </w:tc>
      </w:tr>
      <w:tr w14:paraId="094BC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1265" w:type="pct"/>
            <w:tcBorders>
              <w:top w:val="nil"/>
              <w:left w:val="nil"/>
              <w:bottom w:val="nil"/>
              <w:right w:val="nil"/>
            </w:tcBorders>
            <w:shd w:val="clear" w:color="auto" w:fill="auto"/>
            <w:noWrap/>
            <w:vAlign w:val="center"/>
          </w:tcPr>
          <w:p w14:paraId="1BDE585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877399-52-5</w:t>
            </w:r>
          </w:p>
        </w:tc>
        <w:tc>
          <w:tcPr>
            <w:tcW w:w="2516" w:type="pct"/>
            <w:tcBorders>
              <w:top w:val="nil"/>
              <w:left w:val="nil"/>
              <w:bottom w:val="nil"/>
              <w:right w:val="nil"/>
            </w:tcBorders>
            <w:shd w:val="clear" w:color="auto" w:fill="auto"/>
            <w:noWrap/>
            <w:vAlign w:val="center"/>
          </w:tcPr>
          <w:p w14:paraId="4B87F6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Crizotinib (PF-02341066)</w:t>
            </w:r>
          </w:p>
        </w:tc>
        <w:tc>
          <w:tcPr>
            <w:tcW w:w="1218" w:type="pct"/>
            <w:tcBorders>
              <w:top w:val="nil"/>
              <w:left w:val="nil"/>
              <w:bottom w:val="nil"/>
              <w:right w:val="nil"/>
            </w:tcBorders>
            <w:shd w:val="clear" w:color="auto" w:fill="auto"/>
            <w:noWrap/>
            <w:vAlign w:val="center"/>
          </w:tcPr>
          <w:p w14:paraId="01DD300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8.301</w:t>
            </w:r>
          </w:p>
        </w:tc>
      </w:tr>
      <w:tr w14:paraId="33A58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1265" w:type="pct"/>
            <w:tcBorders>
              <w:top w:val="nil"/>
              <w:left w:val="nil"/>
              <w:bottom w:val="nil"/>
              <w:right w:val="nil"/>
            </w:tcBorders>
            <w:shd w:val="clear" w:color="auto" w:fill="auto"/>
            <w:noWrap/>
            <w:vAlign w:val="center"/>
          </w:tcPr>
          <w:p w14:paraId="4EBC738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937272-79-2</w:t>
            </w:r>
          </w:p>
        </w:tc>
        <w:tc>
          <w:tcPr>
            <w:tcW w:w="2516" w:type="pct"/>
            <w:tcBorders>
              <w:top w:val="nil"/>
              <w:left w:val="nil"/>
              <w:bottom w:val="nil"/>
              <w:right w:val="nil"/>
            </w:tcBorders>
            <w:shd w:val="clear" w:color="auto" w:fill="auto"/>
            <w:noWrap/>
            <w:vAlign w:val="center"/>
          </w:tcPr>
          <w:p w14:paraId="519696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Pacritinib (SB1518)</w:t>
            </w:r>
          </w:p>
        </w:tc>
        <w:tc>
          <w:tcPr>
            <w:tcW w:w="1218" w:type="pct"/>
            <w:tcBorders>
              <w:top w:val="nil"/>
              <w:left w:val="nil"/>
              <w:bottom w:val="nil"/>
              <w:right w:val="nil"/>
            </w:tcBorders>
            <w:shd w:val="clear" w:color="auto" w:fill="auto"/>
            <w:noWrap/>
            <w:vAlign w:val="center"/>
          </w:tcPr>
          <w:p w14:paraId="3FFD34A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8.189</w:t>
            </w:r>
          </w:p>
        </w:tc>
      </w:tr>
      <w:tr w14:paraId="6E66C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1265" w:type="pct"/>
            <w:tcBorders>
              <w:top w:val="nil"/>
              <w:left w:val="nil"/>
              <w:bottom w:val="nil"/>
              <w:right w:val="nil"/>
            </w:tcBorders>
            <w:shd w:val="clear" w:color="auto" w:fill="auto"/>
            <w:noWrap/>
            <w:vAlign w:val="center"/>
          </w:tcPr>
          <w:p w14:paraId="7C4AF64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87760-53-0</w:t>
            </w:r>
          </w:p>
        </w:tc>
        <w:tc>
          <w:tcPr>
            <w:tcW w:w="2516" w:type="pct"/>
            <w:tcBorders>
              <w:top w:val="nil"/>
              <w:left w:val="nil"/>
              <w:bottom w:val="nil"/>
              <w:right w:val="nil"/>
            </w:tcBorders>
            <w:shd w:val="clear" w:color="auto" w:fill="auto"/>
            <w:noWrap/>
            <w:vAlign w:val="center"/>
          </w:tcPr>
          <w:p w14:paraId="3755B5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Tandospirone</w:t>
            </w:r>
          </w:p>
        </w:tc>
        <w:tc>
          <w:tcPr>
            <w:tcW w:w="1218" w:type="pct"/>
            <w:tcBorders>
              <w:top w:val="nil"/>
              <w:left w:val="nil"/>
              <w:bottom w:val="nil"/>
              <w:right w:val="nil"/>
            </w:tcBorders>
            <w:shd w:val="clear" w:color="auto" w:fill="auto"/>
            <w:noWrap/>
            <w:vAlign w:val="center"/>
          </w:tcPr>
          <w:p w14:paraId="754FCB9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8.054</w:t>
            </w:r>
          </w:p>
        </w:tc>
      </w:tr>
      <w:tr w14:paraId="32390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1265" w:type="pct"/>
            <w:tcBorders>
              <w:top w:val="nil"/>
              <w:left w:val="nil"/>
              <w:bottom w:val="nil"/>
              <w:right w:val="nil"/>
            </w:tcBorders>
            <w:shd w:val="clear" w:color="auto" w:fill="auto"/>
            <w:noWrap/>
            <w:vAlign w:val="center"/>
          </w:tcPr>
          <w:p w14:paraId="0A550C5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443913-73-3</w:t>
            </w:r>
          </w:p>
        </w:tc>
        <w:tc>
          <w:tcPr>
            <w:tcW w:w="2516" w:type="pct"/>
            <w:tcBorders>
              <w:top w:val="nil"/>
              <w:left w:val="nil"/>
              <w:bottom w:val="nil"/>
              <w:right w:val="nil"/>
            </w:tcBorders>
            <w:shd w:val="clear" w:color="auto" w:fill="auto"/>
            <w:noWrap/>
            <w:vAlign w:val="center"/>
          </w:tcPr>
          <w:p w14:paraId="5DE4E6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Vandetanib (ZD6474)</w:t>
            </w:r>
          </w:p>
        </w:tc>
        <w:tc>
          <w:tcPr>
            <w:tcW w:w="1218" w:type="pct"/>
            <w:tcBorders>
              <w:top w:val="nil"/>
              <w:left w:val="nil"/>
              <w:bottom w:val="nil"/>
              <w:right w:val="nil"/>
            </w:tcBorders>
            <w:shd w:val="clear" w:color="auto" w:fill="auto"/>
            <w:noWrap/>
            <w:vAlign w:val="center"/>
          </w:tcPr>
          <w:p w14:paraId="67C9B6F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8.047</w:t>
            </w:r>
          </w:p>
        </w:tc>
      </w:tr>
      <w:tr w14:paraId="3A8F5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1265" w:type="pct"/>
            <w:tcBorders>
              <w:top w:val="nil"/>
              <w:left w:val="nil"/>
              <w:bottom w:val="nil"/>
              <w:right w:val="nil"/>
            </w:tcBorders>
            <w:shd w:val="clear" w:color="auto" w:fill="auto"/>
            <w:noWrap/>
            <w:vAlign w:val="center"/>
          </w:tcPr>
          <w:p w14:paraId="5B89A89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75975-70-1</w:t>
            </w:r>
          </w:p>
        </w:tc>
        <w:tc>
          <w:tcPr>
            <w:tcW w:w="2516" w:type="pct"/>
            <w:tcBorders>
              <w:top w:val="nil"/>
              <w:left w:val="nil"/>
              <w:bottom w:val="nil"/>
              <w:right w:val="nil"/>
            </w:tcBorders>
            <w:shd w:val="clear" w:color="auto" w:fill="auto"/>
            <w:noWrap/>
            <w:vAlign w:val="center"/>
          </w:tcPr>
          <w:p w14:paraId="64A7AE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Cephradine monohydrate</w:t>
            </w:r>
          </w:p>
        </w:tc>
        <w:tc>
          <w:tcPr>
            <w:tcW w:w="1218" w:type="pct"/>
            <w:tcBorders>
              <w:top w:val="nil"/>
              <w:left w:val="nil"/>
              <w:bottom w:val="nil"/>
              <w:right w:val="nil"/>
            </w:tcBorders>
            <w:shd w:val="clear" w:color="auto" w:fill="auto"/>
            <w:noWrap/>
            <w:vAlign w:val="center"/>
          </w:tcPr>
          <w:p w14:paraId="13FA475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7.938</w:t>
            </w:r>
          </w:p>
        </w:tc>
      </w:tr>
      <w:tr w14:paraId="01EAC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1265" w:type="pct"/>
            <w:tcBorders>
              <w:top w:val="nil"/>
              <w:left w:val="nil"/>
              <w:bottom w:val="nil"/>
              <w:right w:val="nil"/>
            </w:tcBorders>
            <w:shd w:val="clear" w:color="auto" w:fill="auto"/>
            <w:noWrap/>
            <w:vAlign w:val="center"/>
          </w:tcPr>
          <w:p w14:paraId="535A534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120685-11-2</w:t>
            </w:r>
          </w:p>
        </w:tc>
        <w:tc>
          <w:tcPr>
            <w:tcW w:w="2516" w:type="pct"/>
            <w:tcBorders>
              <w:top w:val="nil"/>
              <w:left w:val="nil"/>
              <w:bottom w:val="nil"/>
              <w:right w:val="nil"/>
            </w:tcBorders>
            <w:shd w:val="clear" w:color="auto" w:fill="auto"/>
            <w:noWrap/>
            <w:vAlign w:val="center"/>
          </w:tcPr>
          <w:p w14:paraId="0C6148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Midostaurin (PKC412)</w:t>
            </w:r>
          </w:p>
        </w:tc>
        <w:tc>
          <w:tcPr>
            <w:tcW w:w="1218" w:type="pct"/>
            <w:tcBorders>
              <w:top w:val="nil"/>
              <w:left w:val="nil"/>
              <w:bottom w:val="nil"/>
              <w:right w:val="nil"/>
            </w:tcBorders>
            <w:shd w:val="clear" w:color="auto" w:fill="auto"/>
            <w:noWrap/>
            <w:vAlign w:val="center"/>
          </w:tcPr>
          <w:p w14:paraId="49E1C03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7.896</w:t>
            </w:r>
          </w:p>
        </w:tc>
      </w:tr>
      <w:tr w14:paraId="2CE6B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1265" w:type="pct"/>
            <w:tcBorders>
              <w:top w:val="nil"/>
              <w:left w:val="nil"/>
              <w:bottom w:val="nil"/>
              <w:right w:val="nil"/>
            </w:tcBorders>
            <w:shd w:val="clear" w:color="auto" w:fill="auto"/>
            <w:noWrap/>
            <w:vAlign w:val="center"/>
          </w:tcPr>
          <w:p w14:paraId="2A229C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1446321-46-5</w:t>
            </w:r>
          </w:p>
        </w:tc>
        <w:tc>
          <w:tcPr>
            <w:tcW w:w="2516" w:type="pct"/>
            <w:tcBorders>
              <w:top w:val="nil"/>
              <w:left w:val="nil"/>
              <w:bottom w:val="nil"/>
              <w:right w:val="nil"/>
            </w:tcBorders>
            <w:shd w:val="clear" w:color="auto" w:fill="auto"/>
            <w:noWrap/>
            <w:vAlign w:val="center"/>
          </w:tcPr>
          <w:p w14:paraId="6D52B2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Voxelotor (GBT440)</w:t>
            </w:r>
          </w:p>
        </w:tc>
        <w:tc>
          <w:tcPr>
            <w:tcW w:w="1218" w:type="pct"/>
            <w:tcBorders>
              <w:top w:val="nil"/>
              <w:left w:val="nil"/>
              <w:bottom w:val="nil"/>
              <w:right w:val="nil"/>
            </w:tcBorders>
            <w:shd w:val="clear" w:color="auto" w:fill="auto"/>
            <w:noWrap/>
            <w:vAlign w:val="center"/>
          </w:tcPr>
          <w:p w14:paraId="7C1059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7.88</w:t>
            </w:r>
          </w:p>
        </w:tc>
      </w:tr>
      <w:tr w14:paraId="18C10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1265" w:type="pct"/>
            <w:tcBorders>
              <w:top w:val="nil"/>
              <w:left w:val="nil"/>
              <w:bottom w:val="nil"/>
              <w:right w:val="nil"/>
            </w:tcBorders>
            <w:shd w:val="clear" w:color="auto" w:fill="auto"/>
            <w:noWrap/>
            <w:vAlign w:val="center"/>
          </w:tcPr>
          <w:p w14:paraId="330E34E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1108743-60-7</w:t>
            </w:r>
          </w:p>
        </w:tc>
        <w:tc>
          <w:tcPr>
            <w:tcW w:w="2516" w:type="pct"/>
            <w:tcBorders>
              <w:top w:val="nil"/>
              <w:left w:val="nil"/>
              <w:bottom w:val="nil"/>
              <w:right w:val="nil"/>
            </w:tcBorders>
            <w:shd w:val="clear" w:color="auto" w:fill="auto"/>
            <w:noWrap/>
            <w:vAlign w:val="center"/>
          </w:tcPr>
          <w:p w14:paraId="0A3DFA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Entrectinib (RXDX-101)</w:t>
            </w:r>
          </w:p>
        </w:tc>
        <w:tc>
          <w:tcPr>
            <w:tcW w:w="1218" w:type="pct"/>
            <w:tcBorders>
              <w:top w:val="nil"/>
              <w:left w:val="nil"/>
              <w:bottom w:val="nil"/>
              <w:right w:val="nil"/>
            </w:tcBorders>
            <w:shd w:val="clear" w:color="auto" w:fill="auto"/>
            <w:noWrap/>
            <w:vAlign w:val="center"/>
          </w:tcPr>
          <w:p w14:paraId="708F6EC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7.747</w:t>
            </w:r>
          </w:p>
        </w:tc>
      </w:tr>
      <w:tr w14:paraId="5530D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265" w:type="pct"/>
            <w:tcBorders>
              <w:top w:val="nil"/>
              <w:left w:val="nil"/>
              <w:bottom w:val="nil"/>
              <w:right w:val="nil"/>
            </w:tcBorders>
            <w:shd w:val="clear" w:color="auto" w:fill="auto"/>
            <w:noWrap/>
            <w:vAlign w:val="center"/>
          </w:tcPr>
          <w:p w14:paraId="08B41E6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1254053-43-4</w:t>
            </w:r>
          </w:p>
        </w:tc>
        <w:tc>
          <w:tcPr>
            <w:tcW w:w="2516" w:type="pct"/>
            <w:tcBorders>
              <w:top w:val="nil"/>
              <w:left w:val="nil"/>
              <w:bottom w:val="nil"/>
              <w:right w:val="nil"/>
            </w:tcBorders>
            <w:shd w:val="clear" w:color="auto" w:fill="auto"/>
            <w:noWrap/>
            <w:vAlign w:val="center"/>
          </w:tcPr>
          <w:p w14:paraId="153771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Gilteritinib (ASP2215)</w:t>
            </w:r>
          </w:p>
        </w:tc>
        <w:tc>
          <w:tcPr>
            <w:tcW w:w="1218" w:type="pct"/>
            <w:tcBorders>
              <w:top w:val="nil"/>
              <w:left w:val="nil"/>
              <w:bottom w:val="nil"/>
              <w:right w:val="nil"/>
            </w:tcBorders>
            <w:shd w:val="clear" w:color="auto" w:fill="auto"/>
            <w:noWrap/>
            <w:vAlign w:val="center"/>
          </w:tcPr>
          <w:p w14:paraId="62DE481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7.743</w:t>
            </w:r>
          </w:p>
        </w:tc>
      </w:tr>
      <w:tr w14:paraId="53D6D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1265" w:type="pct"/>
            <w:tcBorders>
              <w:top w:val="nil"/>
              <w:left w:val="nil"/>
              <w:bottom w:val="nil"/>
              <w:right w:val="nil"/>
            </w:tcBorders>
            <w:shd w:val="clear" w:color="auto" w:fill="auto"/>
            <w:noWrap/>
            <w:vAlign w:val="center"/>
          </w:tcPr>
          <w:p w14:paraId="188B569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194798-83-9</w:t>
            </w:r>
          </w:p>
        </w:tc>
        <w:tc>
          <w:tcPr>
            <w:tcW w:w="2516" w:type="pct"/>
            <w:tcBorders>
              <w:top w:val="nil"/>
              <w:left w:val="nil"/>
              <w:bottom w:val="nil"/>
              <w:right w:val="nil"/>
            </w:tcBorders>
            <w:shd w:val="clear" w:color="auto" w:fill="auto"/>
            <w:noWrap/>
            <w:vAlign w:val="center"/>
          </w:tcPr>
          <w:p w14:paraId="56C884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Fosfluconazole</w:t>
            </w:r>
          </w:p>
        </w:tc>
        <w:tc>
          <w:tcPr>
            <w:tcW w:w="1218" w:type="pct"/>
            <w:tcBorders>
              <w:top w:val="nil"/>
              <w:left w:val="nil"/>
              <w:bottom w:val="nil"/>
              <w:right w:val="nil"/>
            </w:tcBorders>
            <w:shd w:val="clear" w:color="auto" w:fill="auto"/>
            <w:noWrap/>
            <w:vAlign w:val="center"/>
          </w:tcPr>
          <w:p w14:paraId="2C30E2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7.713</w:t>
            </w:r>
          </w:p>
        </w:tc>
      </w:tr>
      <w:tr w14:paraId="0A9FE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1265" w:type="pct"/>
            <w:tcBorders>
              <w:top w:val="nil"/>
              <w:left w:val="nil"/>
              <w:bottom w:val="nil"/>
              <w:right w:val="nil"/>
            </w:tcBorders>
            <w:shd w:val="clear" w:color="auto" w:fill="auto"/>
            <w:noWrap/>
            <w:vAlign w:val="center"/>
          </w:tcPr>
          <w:p w14:paraId="20221B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367514-87-2</w:t>
            </w:r>
          </w:p>
        </w:tc>
        <w:tc>
          <w:tcPr>
            <w:tcW w:w="2516" w:type="pct"/>
            <w:tcBorders>
              <w:top w:val="nil"/>
              <w:left w:val="nil"/>
              <w:bottom w:val="nil"/>
              <w:right w:val="nil"/>
            </w:tcBorders>
            <w:shd w:val="clear" w:color="auto" w:fill="auto"/>
            <w:noWrap/>
            <w:vAlign w:val="center"/>
          </w:tcPr>
          <w:p w14:paraId="3BF40B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lurasidone</w:t>
            </w:r>
          </w:p>
        </w:tc>
        <w:tc>
          <w:tcPr>
            <w:tcW w:w="1218" w:type="pct"/>
            <w:tcBorders>
              <w:top w:val="nil"/>
              <w:left w:val="nil"/>
              <w:bottom w:val="nil"/>
              <w:right w:val="nil"/>
            </w:tcBorders>
            <w:shd w:val="clear" w:color="auto" w:fill="auto"/>
            <w:noWrap/>
            <w:vAlign w:val="center"/>
          </w:tcPr>
          <w:p w14:paraId="37B5330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7.690</w:t>
            </w:r>
          </w:p>
        </w:tc>
      </w:tr>
      <w:tr w14:paraId="3D00E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1265" w:type="pct"/>
            <w:tcBorders>
              <w:top w:val="nil"/>
              <w:left w:val="nil"/>
              <w:bottom w:val="nil"/>
              <w:right w:val="nil"/>
            </w:tcBorders>
            <w:shd w:val="clear" w:color="auto" w:fill="auto"/>
            <w:noWrap/>
            <w:vAlign w:val="center"/>
          </w:tcPr>
          <w:p w14:paraId="298C170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2097132-94-8</w:t>
            </w:r>
          </w:p>
        </w:tc>
        <w:tc>
          <w:tcPr>
            <w:tcW w:w="2516" w:type="pct"/>
            <w:tcBorders>
              <w:top w:val="nil"/>
              <w:left w:val="nil"/>
              <w:bottom w:val="nil"/>
              <w:right w:val="nil"/>
            </w:tcBorders>
            <w:shd w:val="clear" w:color="auto" w:fill="auto"/>
            <w:noWrap/>
            <w:vAlign w:val="center"/>
          </w:tcPr>
          <w:p w14:paraId="35E60D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Pralsetinib (BLU-667)</w:t>
            </w:r>
          </w:p>
        </w:tc>
        <w:tc>
          <w:tcPr>
            <w:tcW w:w="1218" w:type="pct"/>
            <w:tcBorders>
              <w:top w:val="nil"/>
              <w:left w:val="nil"/>
              <w:bottom w:val="nil"/>
              <w:right w:val="nil"/>
            </w:tcBorders>
            <w:shd w:val="clear" w:color="auto" w:fill="auto"/>
            <w:noWrap/>
            <w:vAlign w:val="center"/>
          </w:tcPr>
          <w:p w14:paraId="641B6F3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7.661</w:t>
            </w:r>
          </w:p>
        </w:tc>
      </w:tr>
      <w:tr w14:paraId="14542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1265" w:type="pct"/>
            <w:tcBorders>
              <w:top w:val="nil"/>
              <w:left w:val="nil"/>
              <w:bottom w:val="nil"/>
              <w:right w:val="nil"/>
            </w:tcBorders>
            <w:shd w:val="clear" w:color="auto" w:fill="auto"/>
            <w:noWrap/>
            <w:vAlign w:val="center"/>
          </w:tcPr>
          <w:p w14:paraId="3419633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571190-30-2</w:t>
            </w:r>
          </w:p>
        </w:tc>
        <w:tc>
          <w:tcPr>
            <w:tcW w:w="2516" w:type="pct"/>
            <w:tcBorders>
              <w:top w:val="nil"/>
              <w:left w:val="nil"/>
              <w:bottom w:val="nil"/>
              <w:right w:val="nil"/>
            </w:tcBorders>
            <w:shd w:val="clear" w:color="auto" w:fill="auto"/>
            <w:noWrap/>
            <w:vAlign w:val="center"/>
          </w:tcPr>
          <w:p w14:paraId="15DEBA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Palbociclib</w:t>
            </w:r>
          </w:p>
        </w:tc>
        <w:tc>
          <w:tcPr>
            <w:tcW w:w="1218" w:type="pct"/>
            <w:tcBorders>
              <w:top w:val="nil"/>
              <w:left w:val="nil"/>
              <w:bottom w:val="nil"/>
              <w:right w:val="nil"/>
            </w:tcBorders>
            <w:shd w:val="clear" w:color="auto" w:fill="auto"/>
            <w:noWrap/>
            <w:vAlign w:val="center"/>
          </w:tcPr>
          <w:p w14:paraId="2F19001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7.636</w:t>
            </w:r>
          </w:p>
        </w:tc>
      </w:tr>
      <w:tr w14:paraId="1D91C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1265" w:type="pct"/>
            <w:tcBorders>
              <w:top w:val="nil"/>
              <w:left w:val="nil"/>
              <w:bottom w:val="nil"/>
              <w:right w:val="nil"/>
            </w:tcBorders>
            <w:shd w:val="clear" w:color="auto" w:fill="auto"/>
            <w:noWrap/>
            <w:vAlign w:val="center"/>
          </w:tcPr>
          <w:p w14:paraId="5ECF549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1229194-11-9</w:t>
            </w:r>
          </w:p>
        </w:tc>
        <w:tc>
          <w:tcPr>
            <w:tcW w:w="2516" w:type="pct"/>
            <w:tcBorders>
              <w:top w:val="nil"/>
              <w:left w:val="nil"/>
              <w:bottom w:val="nil"/>
              <w:right w:val="nil"/>
            </w:tcBorders>
            <w:shd w:val="clear" w:color="auto" w:fill="auto"/>
            <w:noWrap/>
            <w:vAlign w:val="center"/>
          </w:tcPr>
          <w:p w14:paraId="0D0FED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Edoxaban tosylate Monohydrate</w:t>
            </w:r>
          </w:p>
        </w:tc>
        <w:tc>
          <w:tcPr>
            <w:tcW w:w="1218" w:type="pct"/>
            <w:tcBorders>
              <w:top w:val="nil"/>
              <w:left w:val="nil"/>
              <w:bottom w:val="nil"/>
              <w:right w:val="nil"/>
            </w:tcBorders>
            <w:shd w:val="clear" w:color="auto" w:fill="auto"/>
            <w:noWrap/>
            <w:vAlign w:val="center"/>
          </w:tcPr>
          <w:p w14:paraId="516921C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7.632</w:t>
            </w:r>
          </w:p>
        </w:tc>
      </w:tr>
      <w:tr w14:paraId="67123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jc w:val="center"/>
        </w:trPr>
        <w:tc>
          <w:tcPr>
            <w:tcW w:w="1265" w:type="pct"/>
            <w:tcBorders>
              <w:top w:val="nil"/>
              <w:left w:val="nil"/>
              <w:bottom w:val="nil"/>
              <w:right w:val="nil"/>
            </w:tcBorders>
            <w:shd w:val="clear" w:color="auto" w:fill="auto"/>
            <w:noWrap/>
            <w:vAlign w:val="center"/>
          </w:tcPr>
          <w:p w14:paraId="24B86B1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856866-72-3</w:t>
            </w:r>
          </w:p>
        </w:tc>
        <w:tc>
          <w:tcPr>
            <w:tcW w:w="2516" w:type="pct"/>
            <w:tcBorders>
              <w:top w:val="nil"/>
              <w:left w:val="nil"/>
              <w:bottom w:val="nil"/>
              <w:right w:val="nil"/>
            </w:tcBorders>
            <w:shd w:val="clear" w:color="auto" w:fill="auto"/>
            <w:noWrap/>
            <w:vAlign w:val="center"/>
          </w:tcPr>
          <w:p w14:paraId="712F8A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Tedizolid (TR-700)</w:t>
            </w:r>
          </w:p>
        </w:tc>
        <w:tc>
          <w:tcPr>
            <w:tcW w:w="1218" w:type="pct"/>
            <w:tcBorders>
              <w:top w:val="nil"/>
              <w:left w:val="nil"/>
              <w:bottom w:val="nil"/>
              <w:right w:val="nil"/>
            </w:tcBorders>
            <w:shd w:val="clear" w:color="auto" w:fill="auto"/>
            <w:noWrap/>
            <w:vAlign w:val="center"/>
          </w:tcPr>
          <w:p w14:paraId="5540CD9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7.632</w:t>
            </w:r>
          </w:p>
        </w:tc>
      </w:tr>
      <w:tr w14:paraId="6710D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1265" w:type="pct"/>
            <w:tcBorders>
              <w:top w:val="nil"/>
              <w:left w:val="nil"/>
              <w:bottom w:val="nil"/>
              <w:right w:val="nil"/>
            </w:tcBorders>
            <w:shd w:val="clear" w:color="auto" w:fill="auto"/>
            <w:noWrap/>
            <w:vAlign w:val="center"/>
          </w:tcPr>
          <w:p w14:paraId="54A9107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93479-97-1</w:t>
            </w:r>
          </w:p>
        </w:tc>
        <w:tc>
          <w:tcPr>
            <w:tcW w:w="2516" w:type="pct"/>
            <w:tcBorders>
              <w:top w:val="nil"/>
              <w:left w:val="nil"/>
              <w:bottom w:val="nil"/>
              <w:right w:val="nil"/>
            </w:tcBorders>
            <w:shd w:val="clear" w:color="auto" w:fill="auto"/>
            <w:noWrap/>
            <w:vAlign w:val="center"/>
          </w:tcPr>
          <w:p w14:paraId="3172E1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Glimepiride</w:t>
            </w:r>
          </w:p>
        </w:tc>
        <w:tc>
          <w:tcPr>
            <w:tcW w:w="1218" w:type="pct"/>
            <w:tcBorders>
              <w:top w:val="nil"/>
              <w:left w:val="nil"/>
              <w:bottom w:val="nil"/>
              <w:right w:val="nil"/>
            </w:tcBorders>
            <w:shd w:val="clear" w:color="auto" w:fill="auto"/>
            <w:noWrap/>
            <w:vAlign w:val="center"/>
          </w:tcPr>
          <w:p w14:paraId="41439B9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7.629</w:t>
            </w:r>
          </w:p>
        </w:tc>
      </w:tr>
      <w:tr w14:paraId="1D5DC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1265" w:type="pct"/>
            <w:tcBorders>
              <w:top w:val="nil"/>
              <w:left w:val="nil"/>
              <w:bottom w:val="nil"/>
              <w:right w:val="nil"/>
            </w:tcBorders>
            <w:shd w:val="clear" w:color="auto" w:fill="auto"/>
            <w:noWrap/>
            <w:vAlign w:val="center"/>
          </w:tcPr>
          <w:p w14:paraId="5D56BFC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69408-81-7</w:t>
            </w:r>
          </w:p>
        </w:tc>
        <w:tc>
          <w:tcPr>
            <w:tcW w:w="2516" w:type="pct"/>
            <w:tcBorders>
              <w:top w:val="nil"/>
              <w:left w:val="nil"/>
              <w:bottom w:val="nil"/>
              <w:right w:val="nil"/>
            </w:tcBorders>
            <w:shd w:val="clear" w:color="auto" w:fill="auto"/>
            <w:noWrap/>
            <w:vAlign w:val="center"/>
          </w:tcPr>
          <w:p w14:paraId="73F256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Amonafide</w:t>
            </w:r>
          </w:p>
        </w:tc>
        <w:tc>
          <w:tcPr>
            <w:tcW w:w="1218" w:type="pct"/>
            <w:tcBorders>
              <w:top w:val="nil"/>
              <w:left w:val="nil"/>
              <w:bottom w:val="nil"/>
              <w:right w:val="nil"/>
            </w:tcBorders>
            <w:shd w:val="clear" w:color="auto" w:fill="auto"/>
            <w:noWrap/>
            <w:vAlign w:val="center"/>
          </w:tcPr>
          <w:p w14:paraId="5147229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7.623</w:t>
            </w:r>
          </w:p>
        </w:tc>
      </w:tr>
    </w:tbl>
    <w:p w14:paraId="4ACFD36D">
      <w:pPr>
        <w:rPr>
          <w:rFonts w:hint="default" w:ascii="Times New Roman" w:hAnsi="Times New Roman" w:cs="Times New Roman"/>
          <w:b/>
          <w:bCs/>
          <w:lang w:val="en-US" w:eastAsia="zh-CN"/>
        </w:rPr>
      </w:pPr>
    </w:p>
    <w:p w14:paraId="3FBE0D8B">
      <w:pPr>
        <w:rPr>
          <w:rFonts w:hint="default" w:ascii="Times New Roman" w:hAnsi="Times New Roman" w:cs="Times New Roman"/>
          <w:b/>
          <w:bCs/>
          <w:lang w:val="en-US" w:eastAsia="zh-CN"/>
        </w:rPr>
      </w:pPr>
    </w:p>
    <w:p w14:paraId="08237057">
      <w:pPr>
        <w:rPr>
          <w:rFonts w:hint="default" w:ascii="Times New Roman" w:hAnsi="Times New Roman" w:cs="Times New Roman"/>
          <w:b/>
          <w:bCs/>
          <w:lang w:val="en-US" w:eastAsia="zh-CN"/>
        </w:rPr>
      </w:pPr>
      <w:r>
        <w:rPr>
          <w:rFonts w:hint="default" w:ascii="Times New Roman" w:hAnsi="Times New Roman" w:cs="Times New Roman"/>
          <w:b/>
          <w:bCs/>
          <w:lang w:val="en-US" w:eastAsia="zh-CN"/>
        </w:rPr>
        <w:br w:type="page"/>
      </w:r>
    </w:p>
    <w:p w14:paraId="23BBE1CB">
      <w:pPr>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Supplementary Table </w:t>
      </w:r>
      <w:r>
        <w:rPr>
          <w:rFonts w:hint="eastAsia" w:ascii="Times New Roman" w:hAnsi="Times New Roman" w:cs="Times New Roman"/>
          <w:b/>
          <w:bCs/>
          <w:lang w:val="en-US" w:eastAsia="zh-CN"/>
        </w:rPr>
        <w:t xml:space="preserve">3. </w:t>
      </w:r>
      <w:r>
        <w:rPr>
          <w:rFonts w:hint="default" w:ascii="Times New Roman" w:hAnsi="Times New Roman" w:cs="Times New Roman"/>
          <w:b/>
          <w:bCs/>
          <w:lang w:val="en-US" w:eastAsia="zh-CN"/>
        </w:rPr>
        <w:t>Ablation study of ArcMol components.</w:t>
      </w:r>
    </w:p>
    <w:tbl>
      <w:tblPr>
        <w:tblStyle w:val="5"/>
        <w:tblW w:w="0" w:type="auto"/>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811"/>
        <w:gridCol w:w="1384"/>
        <w:gridCol w:w="687"/>
        <w:gridCol w:w="1404"/>
        <w:gridCol w:w="639"/>
      </w:tblGrid>
      <w:tr w14:paraId="4EEBCDF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49" w:hRule="atLeast"/>
          <w:jc w:val="center"/>
        </w:trPr>
        <w:tc>
          <w:tcPr>
            <w:tcW w:w="0" w:type="auto"/>
            <w:tcBorders>
              <w:top w:val="single" w:color="auto" w:sz="4" w:space="0"/>
              <w:left w:val="single" w:color="CCCCCC" w:sz="4" w:space="0"/>
              <w:bottom w:val="single" w:color="auto" w:sz="4" w:space="0"/>
              <w:right w:val="single" w:color="CCCCCC" w:sz="4" w:space="0"/>
            </w:tcBorders>
            <w:shd w:val="clear" w:color="auto" w:fill="auto"/>
            <w:tcMar>
              <w:top w:w="24" w:type="dxa"/>
              <w:left w:w="36" w:type="dxa"/>
              <w:bottom w:w="24" w:type="dxa"/>
              <w:right w:w="36" w:type="dxa"/>
            </w:tcMar>
            <w:vAlign w:val="center"/>
          </w:tcPr>
          <w:p w14:paraId="5DB66B16">
            <w:pPr>
              <w:jc w:val="center"/>
              <w:rPr>
                <w:rStyle w:val="8"/>
                <w:rFonts w:hint="eastAsia"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Method</w:t>
            </w:r>
          </w:p>
        </w:tc>
        <w:tc>
          <w:tcPr>
            <w:tcW w:w="0" w:type="auto"/>
            <w:tcBorders>
              <w:top w:val="single" w:color="auto" w:sz="4" w:space="0"/>
              <w:left w:val="single" w:color="CCCCCC" w:sz="4" w:space="0"/>
              <w:bottom w:val="single" w:color="auto" w:sz="4" w:space="0"/>
              <w:right w:val="single" w:color="CCCCCC" w:sz="4" w:space="0"/>
            </w:tcBorders>
            <w:shd w:val="clear" w:color="auto" w:fill="auto"/>
            <w:tcMar>
              <w:top w:w="24" w:type="dxa"/>
              <w:left w:w="36" w:type="dxa"/>
              <w:bottom w:w="24" w:type="dxa"/>
              <w:right w:w="36" w:type="dxa"/>
            </w:tcMar>
            <w:vAlign w:val="center"/>
          </w:tcPr>
          <w:p w14:paraId="29E8CCC3">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Avg. AUC (Class)</w:t>
            </w:r>
          </w:p>
        </w:tc>
        <w:tc>
          <w:tcPr>
            <w:tcW w:w="0" w:type="auto"/>
            <w:tcBorders>
              <w:top w:val="single" w:color="auto" w:sz="4" w:space="0"/>
              <w:left w:val="single" w:color="CCCCCC" w:sz="4" w:space="0"/>
              <w:bottom w:val="single" w:color="auto" w:sz="4" w:space="0"/>
              <w:right w:val="single" w:color="CCCCCC" w:sz="4" w:space="0"/>
            </w:tcBorders>
            <w:shd w:val="clear" w:color="auto" w:fill="auto"/>
            <w:tcMar>
              <w:top w:w="24" w:type="dxa"/>
              <w:left w:w="36" w:type="dxa"/>
              <w:bottom w:w="24" w:type="dxa"/>
              <w:right w:w="36" w:type="dxa"/>
            </w:tcMar>
            <w:vAlign w:val="center"/>
          </w:tcPr>
          <w:p w14:paraId="49353672">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Δ</w:t>
            </w:r>
          </w:p>
        </w:tc>
        <w:tc>
          <w:tcPr>
            <w:tcW w:w="0" w:type="auto"/>
            <w:tcBorders>
              <w:top w:val="single" w:color="auto" w:sz="4" w:space="0"/>
              <w:left w:val="single" w:color="CCCCCC" w:sz="4" w:space="0"/>
              <w:bottom w:val="single" w:color="auto" w:sz="4" w:space="0"/>
              <w:right w:val="single" w:color="CCCCCC" w:sz="4" w:space="0"/>
            </w:tcBorders>
            <w:shd w:val="clear" w:color="auto" w:fill="auto"/>
            <w:tcMar>
              <w:top w:w="24" w:type="dxa"/>
              <w:left w:w="36" w:type="dxa"/>
              <w:bottom w:w="24" w:type="dxa"/>
              <w:right w:w="36" w:type="dxa"/>
            </w:tcMar>
            <w:vAlign w:val="center"/>
          </w:tcPr>
          <w:p w14:paraId="1367C611">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Avg. RMSE (Reg)</w:t>
            </w:r>
          </w:p>
        </w:tc>
        <w:tc>
          <w:tcPr>
            <w:tcW w:w="0" w:type="auto"/>
            <w:tcBorders>
              <w:top w:val="single" w:color="auto" w:sz="4" w:space="0"/>
              <w:left w:val="single" w:color="CCCCCC" w:sz="4" w:space="0"/>
              <w:bottom w:val="single" w:color="auto" w:sz="4" w:space="0"/>
              <w:right w:val="single" w:color="CCCCCC" w:sz="4" w:space="0"/>
            </w:tcBorders>
            <w:shd w:val="clear" w:color="auto" w:fill="auto"/>
            <w:tcMar>
              <w:top w:w="24" w:type="dxa"/>
              <w:left w:w="36" w:type="dxa"/>
              <w:bottom w:w="24" w:type="dxa"/>
              <w:right w:w="36" w:type="dxa"/>
            </w:tcMar>
            <w:vAlign w:val="center"/>
          </w:tcPr>
          <w:p w14:paraId="778F83BC">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Δ</w:t>
            </w:r>
          </w:p>
        </w:tc>
      </w:tr>
      <w:tr w14:paraId="46170F3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49" w:hRule="atLeast"/>
          <w:jc w:val="center"/>
        </w:trPr>
        <w:tc>
          <w:tcPr>
            <w:tcW w:w="0" w:type="auto"/>
            <w:tcBorders>
              <w:top w:val="single" w:color="auto"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61732E04">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Full Model</w:t>
            </w:r>
          </w:p>
        </w:tc>
        <w:tc>
          <w:tcPr>
            <w:tcW w:w="0" w:type="auto"/>
            <w:tcBorders>
              <w:top w:val="single" w:color="auto"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3990E629">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82.38 (1.50)</w:t>
            </w:r>
          </w:p>
        </w:tc>
        <w:tc>
          <w:tcPr>
            <w:tcW w:w="0" w:type="auto"/>
            <w:tcBorders>
              <w:top w:val="single" w:color="auto"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58DF39BC">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w:t>
            </w:r>
          </w:p>
        </w:tc>
        <w:tc>
          <w:tcPr>
            <w:tcW w:w="0" w:type="auto"/>
            <w:tcBorders>
              <w:top w:val="single" w:color="auto"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079D87E9">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0.989 (0.027)</w:t>
            </w:r>
          </w:p>
        </w:tc>
        <w:tc>
          <w:tcPr>
            <w:tcW w:w="0" w:type="auto"/>
            <w:tcBorders>
              <w:top w:val="single" w:color="auto"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1A9950E7">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w:t>
            </w:r>
          </w:p>
        </w:tc>
      </w:tr>
      <w:tr w14:paraId="613FBF0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49" w:hRule="atLeast"/>
          <w:jc w:val="center"/>
        </w:trPr>
        <w:tc>
          <w:tcPr>
            <w:tcW w:w="0" w:type="auto"/>
            <w:tcBorders>
              <w:top w:val="single" w:color="CCCCCC"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4639F4DA">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w/o Task-Adaptive Spherical Readout</w:t>
            </w:r>
          </w:p>
        </w:tc>
        <w:tc>
          <w:tcPr>
            <w:tcW w:w="0" w:type="auto"/>
            <w:tcBorders>
              <w:top w:val="single" w:color="CCCCCC"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0A591970">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74.95 (2.51)</w:t>
            </w:r>
          </w:p>
        </w:tc>
        <w:tc>
          <w:tcPr>
            <w:tcW w:w="0" w:type="auto"/>
            <w:tcBorders>
              <w:top w:val="single" w:color="CCCCCC"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0E1AAAFC">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-7.43%</w:t>
            </w:r>
          </w:p>
        </w:tc>
        <w:tc>
          <w:tcPr>
            <w:tcW w:w="0" w:type="auto"/>
            <w:tcBorders>
              <w:top w:val="single" w:color="CCCCCC"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0D083318">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1.206 (0.059)</w:t>
            </w:r>
          </w:p>
        </w:tc>
        <w:tc>
          <w:tcPr>
            <w:tcW w:w="0" w:type="auto"/>
            <w:tcBorders>
              <w:top w:val="single" w:color="CCCCCC"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042C9041">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+21.9%</w:t>
            </w:r>
          </w:p>
        </w:tc>
      </w:tr>
      <w:tr w14:paraId="31D5993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49" w:hRule="atLeast"/>
          <w:jc w:val="center"/>
        </w:trPr>
        <w:tc>
          <w:tcPr>
            <w:tcW w:w="0" w:type="auto"/>
            <w:tcBorders>
              <w:top w:val="single" w:color="CCCCCC"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22DB48E2">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w/o Multi-View Descriptor Fusion</w:t>
            </w:r>
          </w:p>
        </w:tc>
        <w:tc>
          <w:tcPr>
            <w:tcW w:w="0" w:type="auto"/>
            <w:tcBorders>
              <w:top w:val="single" w:color="CCCCCC"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433800CB">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71.18 (4.58)</w:t>
            </w:r>
          </w:p>
        </w:tc>
        <w:tc>
          <w:tcPr>
            <w:tcW w:w="0" w:type="auto"/>
            <w:tcBorders>
              <w:top w:val="single" w:color="CCCCCC"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45998C5F">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-11.20%</w:t>
            </w:r>
          </w:p>
        </w:tc>
        <w:tc>
          <w:tcPr>
            <w:tcW w:w="0" w:type="auto"/>
            <w:tcBorders>
              <w:top w:val="single" w:color="CCCCCC"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746AD58D">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1.096 (0.065)</w:t>
            </w:r>
          </w:p>
        </w:tc>
        <w:tc>
          <w:tcPr>
            <w:tcW w:w="0" w:type="auto"/>
            <w:tcBorders>
              <w:top w:val="single" w:color="CCCCCC"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31A6E9AC">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+10.8%</w:t>
            </w:r>
          </w:p>
        </w:tc>
      </w:tr>
      <w:tr w14:paraId="160AF65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49" w:hRule="atLeast"/>
          <w:jc w:val="center"/>
        </w:trPr>
        <w:tc>
          <w:tcPr>
            <w:tcW w:w="0" w:type="auto"/>
            <w:tcBorders>
              <w:top w:val="single" w:color="CCCCCC"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2055AB6C">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w/o Physicochemical Descriptors</w:t>
            </w:r>
          </w:p>
        </w:tc>
        <w:tc>
          <w:tcPr>
            <w:tcW w:w="0" w:type="auto"/>
            <w:tcBorders>
              <w:top w:val="single" w:color="CCCCCC"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33090C37">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67.03 (4.22)</w:t>
            </w:r>
          </w:p>
        </w:tc>
        <w:tc>
          <w:tcPr>
            <w:tcW w:w="0" w:type="auto"/>
            <w:tcBorders>
              <w:top w:val="single" w:color="CCCCCC"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630B0795">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-15.35%</w:t>
            </w:r>
          </w:p>
        </w:tc>
        <w:tc>
          <w:tcPr>
            <w:tcW w:w="0" w:type="auto"/>
            <w:tcBorders>
              <w:top w:val="single" w:color="CCCCCC"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05A78494">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1.439 (0.226)</w:t>
            </w:r>
          </w:p>
        </w:tc>
        <w:tc>
          <w:tcPr>
            <w:tcW w:w="0" w:type="auto"/>
            <w:tcBorders>
              <w:top w:val="single" w:color="CCCCCC"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449B3050">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+45.5%</w:t>
            </w:r>
          </w:p>
        </w:tc>
      </w:tr>
      <w:tr w14:paraId="2FEB462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49" w:hRule="atLeast"/>
          <w:jc w:val="center"/>
        </w:trPr>
        <w:tc>
          <w:tcPr>
            <w:tcW w:w="0" w:type="auto"/>
            <w:tcBorders>
              <w:top w:val="single" w:color="CCCCCC"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5FD045E7">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w/o Task-Adaptive MoE</w:t>
            </w:r>
          </w:p>
        </w:tc>
        <w:tc>
          <w:tcPr>
            <w:tcW w:w="0" w:type="auto"/>
            <w:tcBorders>
              <w:top w:val="single" w:color="CCCCCC"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3E4D5453">
            <w:pPr>
              <w:jc w:val="center"/>
              <w:rPr>
                <w:rStyle w:val="8"/>
                <w:rFonts w:hint="default" w:ascii="Times New Roman" w:hAnsi="Times New Roman" w:eastAsia="黑体" w:cs="Times New Roman"/>
                <w:b w:val="0"/>
                <w:bCs/>
                <w:sz w:val="18"/>
                <w:szCs w:val="18"/>
                <w:vertAlign w:val="baseline"/>
                <w:lang w:val="en-US" w:eastAsia="zh-CN"/>
              </w:rPr>
            </w:pPr>
            <w:r>
              <w:rPr>
                <w:rStyle w:val="8"/>
                <w:rFonts w:hint="eastAsia" w:ascii="Times New Roman" w:hAnsi="Times New Roman" w:eastAsia="黑体" w:cs="Times New Roman"/>
                <w:b w:val="0"/>
                <w:bCs/>
                <w:sz w:val="18"/>
                <w:szCs w:val="18"/>
                <w:vertAlign w:val="baseline"/>
                <w:lang w:val="en-US" w:eastAsia="zh-CN"/>
              </w:rPr>
              <w:t>74.93(1.99)</w:t>
            </w:r>
          </w:p>
        </w:tc>
        <w:tc>
          <w:tcPr>
            <w:tcW w:w="0" w:type="auto"/>
            <w:tcBorders>
              <w:top w:val="single" w:color="CCCCCC"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5C0A08B0">
            <w:pPr>
              <w:jc w:val="center"/>
              <w:rPr>
                <w:rStyle w:val="8"/>
                <w:rFonts w:hint="default" w:ascii="Times New Roman" w:hAnsi="Times New Roman" w:eastAsia="黑体" w:cs="Times New Roman"/>
                <w:b w:val="0"/>
                <w:bCs/>
                <w:sz w:val="18"/>
                <w:szCs w:val="18"/>
                <w:vertAlign w:val="baseline"/>
                <w:lang w:val="en-US" w:eastAsia="zh-CN"/>
              </w:rPr>
            </w:pPr>
            <w:r>
              <w:rPr>
                <w:rStyle w:val="8"/>
                <w:rFonts w:hint="eastAsia" w:ascii="Times New Roman" w:hAnsi="Times New Roman" w:eastAsia="黑体" w:cs="Times New Roman"/>
                <w:b w:val="0"/>
                <w:bCs/>
                <w:sz w:val="18"/>
                <w:szCs w:val="18"/>
                <w:vertAlign w:val="baseline"/>
                <w:lang w:val="en-US" w:eastAsia="zh-CN"/>
              </w:rPr>
              <w:t>-7.45%</w:t>
            </w:r>
          </w:p>
        </w:tc>
        <w:tc>
          <w:tcPr>
            <w:tcW w:w="0" w:type="auto"/>
            <w:tcBorders>
              <w:top w:val="single" w:color="CCCCCC"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3BC5B86E">
            <w:pPr>
              <w:jc w:val="center"/>
              <w:rPr>
                <w:rStyle w:val="8"/>
                <w:rFonts w:hint="default" w:ascii="Times New Roman" w:hAnsi="Times New Roman" w:eastAsia="黑体" w:cs="Times New Roman"/>
                <w:b w:val="0"/>
                <w:bCs/>
                <w:sz w:val="18"/>
                <w:szCs w:val="18"/>
                <w:vertAlign w:val="baseline"/>
                <w:lang w:val="en-US" w:eastAsia="zh-CN"/>
              </w:rPr>
            </w:pPr>
            <w:r>
              <w:rPr>
                <w:rStyle w:val="8"/>
                <w:rFonts w:hint="eastAsia" w:ascii="Times New Roman" w:hAnsi="Times New Roman" w:eastAsia="黑体" w:cs="Times New Roman"/>
                <w:b w:val="0"/>
                <w:bCs/>
                <w:sz w:val="18"/>
                <w:szCs w:val="18"/>
                <w:vertAlign w:val="baseline"/>
                <w:lang w:val="en-US" w:eastAsia="zh-CN"/>
              </w:rPr>
              <w:t>1.201(0.057)</w:t>
            </w:r>
          </w:p>
        </w:tc>
        <w:tc>
          <w:tcPr>
            <w:tcW w:w="0" w:type="auto"/>
            <w:tcBorders>
              <w:top w:val="single" w:color="CCCCCC" w:sz="4" w:space="0"/>
              <w:left w:val="single" w:color="CCCCCC" w:sz="4" w:space="0"/>
              <w:bottom w:val="single" w:color="CCCCCC" w:sz="4" w:space="0"/>
              <w:right w:val="single" w:color="CCCCCC" w:sz="4" w:space="0"/>
            </w:tcBorders>
            <w:shd w:val="clear" w:color="auto" w:fill="auto"/>
            <w:tcMar>
              <w:top w:w="24" w:type="dxa"/>
              <w:left w:w="36" w:type="dxa"/>
              <w:bottom w:w="24" w:type="dxa"/>
              <w:right w:w="36" w:type="dxa"/>
            </w:tcMar>
            <w:vAlign w:val="center"/>
          </w:tcPr>
          <w:p w14:paraId="4BD0B9F6">
            <w:pPr>
              <w:jc w:val="center"/>
              <w:rPr>
                <w:rStyle w:val="8"/>
                <w:rFonts w:hint="default" w:ascii="Times New Roman" w:hAnsi="Times New Roman" w:eastAsia="黑体" w:cs="Times New Roman"/>
                <w:b w:val="0"/>
                <w:bCs/>
                <w:sz w:val="18"/>
                <w:szCs w:val="18"/>
                <w:vertAlign w:val="baseline"/>
                <w:lang w:val="en-US" w:eastAsia="zh-CN"/>
              </w:rPr>
            </w:pPr>
            <w:r>
              <w:rPr>
                <w:rStyle w:val="8"/>
                <w:rFonts w:hint="eastAsia" w:ascii="Times New Roman" w:hAnsi="Times New Roman" w:eastAsia="黑体" w:cs="Times New Roman"/>
                <w:b w:val="0"/>
                <w:bCs/>
                <w:sz w:val="18"/>
                <w:szCs w:val="18"/>
                <w:vertAlign w:val="baseline"/>
                <w:lang w:val="en-US" w:eastAsia="zh-CN"/>
              </w:rPr>
              <w:t>+21.4%</w:t>
            </w:r>
          </w:p>
        </w:tc>
      </w:tr>
      <w:tr w14:paraId="173A23F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49" w:hRule="atLeast"/>
          <w:jc w:val="center"/>
        </w:trPr>
        <w:tc>
          <w:tcPr>
            <w:tcW w:w="0" w:type="auto"/>
            <w:tcBorders>
              <w:top w:val="single" w:color="CCCCCC" w:sz="4" w:space="0"/>
              <w:left w:val="single" w:color="CCCCCC" w:sz="4" w:space="0"/>
              <w:bottom w:val="single" w:color="auto" w:sz="4" w:space="0"/>
              <w:right w:val="single" w:color="CCCCCC" w:sz="4" w:space="0"/>
            </w:tcBorders>
            <w:shd w:val="clear" w:color="auto" w:fill="auto"/>
            <w:tcMar>
              <w:top w:w="24" w:type="dxa"/>
              <w:left w:w="36" w:type="dxa"/>
              <w:bottom w:w="24" w:type="dxa"/>
              <w:right w:w="36" w:type="dxa"/>
            </w:tcMar>
            <w:vAlign w:val="center"/>
          </w:tcPr>
          <w:p w14:paraId="24AD3BD9">
            <w:pPr>
              <w:jc w:val="center"/>
              <w:rPr>
                <w:rStyle w:val="8"/>
                <w:rFonts w:hint="default" w:ascii="Times New Roman" w:hAnsi="Times New Roman" w:eastAsia="黑体" w:cs="Times New Roman"/>
                <w:b w:val="0"/>
                <w:bCs/>
                <w:sz w:val="18"/>
                <w:szCs w:val="18"/>
                <w:vertAlign w:val="baseline"/>
                <w:lang w:val="en-US" w:eastAsia="zh-CN"/>
              </w:rPr>
            </w:pPr>
            <w:r>
              <w:rPr>
                <w:rStyle w:val="8"/>
                <w:rFonts w:hint="default" w:ascii="Times New Roman" w:hAnsi="Times New Roman" w:eastAsia="黑体" w:cs="Times New Roman"/>
                <w:b w:val="0"/>
                <w:bCs/>
                <w:sz w:val="18"/>
                <w:szCs w:val="18"/>
                <w:vertAlign w:val="baseline"/>
                <w:lang w:val="en-US" w:eastAsia="zh-CN"/>
              </w:rPr>
              <w:t>Dense Task-Adaptive MoE</w:t>
            </w:r>
          </w:p>
        </w:tc>
        <w:tc>
          <w:tcPr>
            <w:tcW w:w="0" w:type="auto"/>
            <w:tcBorders>
              <w:top w:val="single" w:color="CCCCCC" w:sz="4" w:space="0"/>
              <w:left w:val="single" w:color="CCCCCC" w:sz="4" w:space="0"/>
              <w:bottom w:val="single" w:color="auto" w:sz="4" w:space="0"/>
              <w:right w:val="single" w:color="CCCCCC" w:sz="4" w:space="0"/>
            </w:tcBorders>
            <w:shd w:val="clear" w:color="auto" w:fill="auto"/>
            <w:tcMar>
              <w:top w:w="24" w:type="dxa"/>
              <w:left w:w="36" w:type="dxa"/>
              <w:bottom w:w="24" w:type="dxa"/>
              <w:right w:w="36" w:type="dxa"/>
            </w:tcMar>
            <w:vAlign w:val="center"/>
          </w:tcPr>
          <w:p w14:paraId="15F1D253">
            <w:pPr>
              <w:jc w:val="center"/>
              <w:rPr>
                <w:rStyle w:val="8"/>
                <w:rFonts w:hint="default" w:ascii="Times New Roman" w:hAnsi="Times New Roman" w:eastAsia="黑体" w:cs="Times New Roman"/>
                <w:b w:val="0"/>
                <w:bCs/>
                <w:sz w:val="18"/>
                <w:szCs w:val="18"/>
                <w:vertAlign w:val="baseline"/>
                <w:lang w:val="en-US" w:eastAsia="zh-CN"/>
              </w:rPr>
            </w:pPr>
            <w:r>
              <w:rPr>
                <w:rStyle w:val="8"/>
                <w:rFonts w:hint="eastAsia" w:ascii="Times New Roman" w:hAnsi="Times New Roman" w:eastAsia="黑体" w:cs="Times New Roman"/>
                <w:b w:val="0"/>
                <w:bCs/>
                <w:sz w:val="18"/>
                <w:szCs w:val="18"/>
                <w:vertAlign w:val="baseline"/>
                <w:lang w:val="en-US" w:eastAsia="zh-CN"/>
              </w:rPr>
              <w:t>72.60(3.88)</w:t>
            </w:r>
          </w:p>
        </w:tc>
        <w:tc>
          <w:tcPr>
            <w:tcW w:w="0" w:type="auto"/>
            <w:tcBorders>
              <w:top w:val="single" w:color="CCCCCC" w:sz="4" w:space="0"/>
              <w:left w:val="single" w:color="CCCCCC" w:sz="4" w:space="0"/>
              <w:bottom w:val="single" w:color="auto" w:sz="4" w:space="0"/>
              <w:right w:val="single" w:color="CCCCCC" w:sz="4" w:space="0"/>
            </w:tcBorders>
            <w:shd w:val="clear" w:color="auto" w:fill="auto"/>
            <w:tcMar>
              <w:top w:w="24" w:type="dxa"/>
              <w:left w:w="36" w:type="dxa"/>
              <w:bottom w:w="24" w:type="dxa"/>
              <w:right w:w="36" w:type="dxa"/>
            </w:tcMar>
            <w:vAlign w:val="center"/>
          </w:tcPr>
          <w:p w14:paraId="36157B70">
            <w:pPr>
              <w:jc w:val="center"/>
              <w:rPr>
                <w:rStyle w:val="8"/>
                <w:rFonts w:hint="default" w:ascii="Times New Roman" w:hAnsi="Times New Roman" w:eastAsia="黑体" w:cs="Times New Roman"/>
                <w:b w:val="0"/>
                <w:bCs/>
                <w:sz w:val="18"/>
                <w:szCs w:val="18"/>
                <w:vertAlign w:val="baseline"/>
                <w:lang w:val="en-US" w:eastAsia="zh-CN"/>
              </w:rPr>
            </w:pPr>
            <w:r>
              <w:rPr>
                <w:rStyle w:val="8"/>
                <w:rFonts w:hint="eastAsia" w:ascii="Times New Roman" w:hAnsi="Times New Roman" w:eastAsia="黑体" w:cs="Times New Roman"/>
                <w:b w:val="0"/>
                <w:bCs/>
                <w:sz w:val="18"/>
                <w:szCs w:val="18"/>
                <w:vertAlign w:val="baseline"/>
                <w:lang w:val="en-US" w:eastAsia="zh-CN"/>
              </w:rPr>
              <w:t>-9.78%</w:t>
            </w:r>
          </w:p>
        </w:tc>
        <w:tc>
          <w:tcPr>
            <w:tcW w:w="0" w:type="auto"/>
            <w:tcBorders>
              <w:top w:val="single" w:color="CCCCCC" w:sz="4" w:space="0"/>
              <w:left w:val="single" w:color="CCCCCC" w:sz="4" w:space="0"/>
              <w:bottom w:val="single" w:color="auto" w:sz="4" w:space="0"/>
              <w:right w:val="single" w:color="CCCCCC" w:sz="4" w:space="0"/>
            </w:tcBorders>
            <w:shd w:val="clear" w:color="auto" w:fill="auto"/>
            <w:tcMar>
              <w:top w:w="24" w:type="dxa"/>
              <w:left w:w="36" w:type="dxa"/>
              <w:bottom w:w="24" w:type="dxa"/>
              <w:right w:w="36" w:type="dxa"/>
            </w:tcMar>
            <w:vAlign w:val="center"/>
          </w:tcPr>
          <w:p w14:paraId="5B278828">
            <w:pPr>
              <w:jc w:val="center"/>
              <w:rPr>
                <w:rStyle w:val="8"/>
                <w:rFonts w:hint="default" w:ascii="Times New Roman" w:hAnsi="Times New Roman" w:eastAsia="黑体" w:cs="Times New Roman"/>
                <w:b w:val="0"/>
                <w:bCs/>
                <w:sz w:val="18"/>
                <w:szCs w:val="18"/>
                <w:vertAlign w:val="baseline"/>
                <w:lang w:val="en-US" w:eastAsia="zh-CN"/>
              </w:rPr>
            </w:pPr>
            <w:r>
              <w:rPr>
                <w:rStyle w:val="8"/>
                <w:rFonts w:hint="eastAsia" w:ascii="Times New Roman" w:hAnsi="Times New Roman" w:eastAsia="黑体" w:cs="Times New Roman"/>
                <w:b w:val="0"/>
                <w:bCs/>
                <w:sz w:val="18"/>
                <w:szCs w:val="18"/>
                <w:vertAlign w:val="baseline"/>
                <w:lang w:val="en-US" w:eastAsia="zh-CN"/>
              </w:rPr>
              <w:t>1.161(0.053)_</w:t>
            </w:r>
          </w:p>
        </w:tc>
        <w:tc>
          <w:tcPr>
            <w:tcW w:w="0" w:type="auto"/>
            <w:tcBorders>
              <w:top w:val="single" w:color="CCCCCC" w:sz="4" w:space="0"/>
              <w:left w:val="single" w:color="CCCCCC" w:sz="4" w:space="0"/>
              <w:bottom w:val="single" w:color="auto" w:sz="4" w:space="0"/>
              <w:right w:val="single" w:color="CCCCCC" w:sz="4" w:space="0"/>
            </w:tcBorders>
            <w:shd w:val="clear" w:color="auto" w:fill="auto"/>
            <w:tcMar>
              <w:top w:w="24" w:type="dxa"/>
              <w:left w:w="36" w:type="dxa"/>
              <w:bottom w:w="24" w:type="dxa"/>
              <w:right w:w="36" w:type="dxa"/>
            </w:tcMar>
            <w:vAlign w:val="center"/>
          </w:tcPr>
          <w:p w14:paraId="319833F7">
            <w:pPr>
              <w:jc w:val="center"/>
              <w:rPr>
                <w:rStyle w:val="8"/>
                <w:rFonts w:hint="default" w:ascii="Times New Roman" w:hAnsi="Times New Roman" w:eastAsia="黑体" w:cs="Times New Roman"/>
                <w:b w:val="0"/>
                <w:bCs/>
                <w:sz w:val="18"/>
                <w:szCs w:val="18"/>
                <w:vertAlign w:val="baseline"/>
                <w:lang w:val="en-US" w:eastAsia="zh-CN"/>
              </w:rPr>
            </w:pPr>
            <w:r>
              <w:rPr>
                <w:rStyle w:val="8"/>
                <w:rFonts w:hint="eastAsia" w:ascii="Times New Roman" w:hAnsi="Times New Roman" w:eastAsia="黑体" w:cs="Times New Roman"/>
                <w:b w:val="0"/>
                <w:bCs/>
                <w:sz w:val="18"/>
                <w:szCs w:val="18"/>
                <w:vertAlign w:val="baseline"/>
                <w:lang w:val="en-US" w:eastAsia="zh-CN"/>
              </w:rPr>
              <w:t>+17.4%</w:t>
            </w:r>
          </w:p>
        </w:tc>
      </w:tr>
    </w:tbl>
    <w:p w14:paraId="48DA9A83">
      <w:pPr>
        <w:rPr>
          <w:rFonts w:hint="default" w:ascii="Times New Roman" w:hAnsi="Times New Roman" w:cs="Times New Roman"/>
          <w:lang w:val="en-US" w:eastAsia="zh-CN"/>
        </w:rPr>
      </w:pPr>
      <w:r>
        <w:rPr>
          <w:rFonts w:hint="default" w:ascii="Times New Roman" w:hAnsi="Times New Roman" w:cs="Times New Roman"/>
          <w:lang w:val="en-US" w:eastAsia="zh-CN"/>
        </w:rPr>
        <w:t>Performance comparison of ArcMol and its ablated variants on classification and regression tasks. Average AUC is reported for classification tasks and average RMSE for regression tasks, with standard deviations shown in parentheses. Performance differences (Δ) are reported relative to the full model.</w:t>
      </w:r>
    </w:p>
    <w:p w14:paraId="511926DA">
      <w:pPr>
        <w:rPr>
          <w:rFonts w:hint="default"/>
          <w:lang w:val="en-US" w:eastAsia="zh-CN"/>
        </w:rPr>
      </w:pPr>
      <w:r>
        <w:rPr>
          <w:rFonts w:hint="default"/>
          <w:lang w:val="en-US" w:eastAsia="zh-CN"/>
        </w:rPr>
        <w:br w:type="page"/>
      </w:r>
    </w:p>
    <w:p w14:paraId="7FE3F65F">
      <w:pPr>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Supplementary Table </w:t>
      </w:r>
      <w:r>
        <w:rPr>
          <w:rFonts w:hint="eastAsia" w:ascii="Times New Roman" w:hAnsi="Times New Roman" w:cs="Times New Roman"/>
          <w:b/>
          <w:bCs/>
          <w:lang w:val="en-US" w:eastAsia="zh-CN"/>
        </w:rPr>
        <w:t xml:space="preserve">4. </w:t>
      </w:r>
      <w:r>
        <w:rPr>
          <w:rFonts w:hint="default" w:ascii="Times New Roman" w:hAnsi="Times New Roman" w:cs="Times New Roman"/>
          <w:b/>
          <w:bCs/>
          <w:lang w:val="en-US" w:eastAsia="zh-CN"/>
        </w:rPr>
        <w:t>Hyperparameter search for ArcMol</w:t>
      </w:r>
      <w:r>
        <w:rPr>
          <w:rFonts w:hint="eastAsia" w:ascii="Times New Roman" w:hAnsi="Times New Roman" w:cs="Times New Roman"/>
          <w:b/>
          <w:bCs/>
          <w:lang w:val="en-US" w:eastAsia="zh-CN"/>
        </w:rPr>
        <w: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0247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nil"/>
              <w:bottom w:val="single" w:color="auto" w:sz="4" w:space="0"/>
              <w:right w:val="nil"/>
            </w:tcBorders>
            <w:vAlign w:val="center"/>
          </w:tcPr>
          <w:p w14:paraId="50643A99">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Category</w:t>
            </w:r>
          </w:p>
        </w:tc>
        <w:tc>
          <w:tcPr>
            <w:tcW w:w="2841" w:type="dxa"/>
            <w:tcBorders>
              <w:top w:val="single" w:color="auto" w:sz="4" w:space="0"/>
              <w:left w:val="nil"/>
              <w:bottom w:val="single" w:color="auto" w:sz="4" w:space="0"/>
              <w:right w:val="nil"/>
            </w:tcBorders>
            <w:vAlign w:val="center"/>
          </w:tcPr>
          <w:p w14:paraId="11DEEDE9">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Hyperparameter</w:t>
            </w:r>
          </w:p>
        </w:tc>
        <w:tc>
          <w:tcPr>
            <w:tcW w:w="2841" w:type="dxa"/>
            <w:tcBorders>
              <w:top w:val="single" w:color="auto" w:sz="4" w:space="0"/>
              <w:left w:val="nil"/>
              <w:bottom w:val="single" w:color="auto" w:sz="4" w:space="0"/>
              <w:right w:val="nil"/>
            </w:tcBorders>
            <w:vAlign w:val="center"/>
          </w:tcPr>
          <w:p w14:paraId="1F11048E">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Search range / options</w:t>
            </w:r>
          </w:p>
        </w:tc>
      </w:tr>
      <w:tr w14:paraId="3872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tcBorders>
              <w:top w:val="single" w:color="auto" w:sz="4" w:space="0"/>
              <w:left w:val="nil"/>
              <w:bottom w:val="nil"/>
              <w:right w:val="nil"/>
            </w:tcBorders>
            <w:vAlign w:val="center"/>
          </w:tcPr>
          <w:p w14:paraId="55F0E7D5">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Optimization</w:t>
            </w:r>
          </w:p>
        </w:tc>
        <w:tc>
          <w:tcPr>
            <w:tcW w:w="2841" w:type="dxa"/>
            <w:tcBorders>
              <w:top w:val="single" w:color="auto" w:sz="4" w:space="0"/>
              <w:left w:val="nil"/>
              <w:bottom w:val="nil"/>
              <w:right w:val="nil"/>
            </w:tcBorders>
            <w:vAlign w:val="center"/>
          </w:tcPr>
          <w:p w14:paraId="2966EC0A">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Optimizer</w:t>
            </w:r>
          </w:p>
        </w:tc>
        <w:tc>
          <w:tcPr>
            <w:tcW w:w="2841" w:type="dxa"/>
            <w:tcBorders>
              <w:top w:val="single" w:color="auto" w:sz="4" w:space="0"/>
              <w:left w:val="nil"/>
              <w:bottom w:val="nil"/>
              <w:right w:val="nil"/>
            </w:tcBorders>
            <w:vAlign w:val="center"/>
          </w:tcPr>
          <w:p w14:paraId="72AD613D">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AdamW</w:t>
            </w:r>
          </w:p>
        </w:tc>
      </w:tr>
      <w:tr w14:paraId="70D4F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tcBorders>
              <w:top w:val="nil"/>
              <w:left w:val="nil"/>
              <w:bottom w:val="nil"/>
              <w:right w:val="nil"/>
            </w:tcBorders>
            <w:vAlign w:val="center"/>
          </w:tcPr>
          <w:p w14:paraId="3DA1E88A">
            <w:pPr>
              <w:jc w:val="center"/>
              <w:rPr>
                <w:rFonts w:hint="default" w:ascii="Times New Roman" w:hAnsi="Times New Roman" w:cs="Times New Roman"/>
                <w:b/>
                <w:bCs/>
                <w:vertAlign w:val="baseline"/>
                <w:lang w:val="en-US" w:eastAsia="zh-CN"/>
              </w:rPr>
            </w:pPr>
          </w:p>
        </w:tc>
        <w:tc>
          <w:tcPr>
            <w:tcW w:w="2841" w:type="dxa"/>
            <w:tcBorders>
              <w:top w:val="nil"/>
              <w:left w:val="nil"/>
              <w:bottom w:val="nil"/>
              <w:right w:val="nil"/>
            </w:tcBorders>
            <w:vAlign w:val="center"/>
          </w:tcPr>
          <w:p w14:paraId="509C92B8">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Learning rate</w:t>
            </w:r>
          </w:p>
        </w:tc>
        <w:tc>
          <w:tcPr>
            <w:tcW w:w="2841" w:type="dxa"/>
            <w:tcBorders>
              <w:top w:val="nil"/>
              <w:left w:val="nil"/>
              <w:bottom w:val="nil"/>
              <w:right w:val="nil"/>
            </w:tcBorders>
            <w:vAlign w:val="center"/>
          </w:tcPr>
          <w:p w14:paraId="0BAED098">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{1e-5, 3e-5, 1e-4, 3e-4}</w:t>
            </w:r>
          </w:p>
        </w:tc>
      </w:tr>
      <w:tr w14:paraId="7E5E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tcBorders>
              <w:top w:val="nil"/>
              <w:left w:val="nil"/>
              <w:bottom w:val="nil"/>
              <w:right w:val="nil"/>
            </w:tcBorders>
            <w:vAlign w:val="center"/>
          </w:tcPr>
          <w:p w14:paraId="171F13E7">
            <w:pPr>
              <w:jc w:val="center"/>
              <w:rPr>
                <w:rFonts w:hint="default" w:ascii="Times New Roman" w:hAnsi="Times New Roman" w:cs="Times New Roman"/>
                <w:b/>
                <w:bCs/>
                <w:vertAlign w:val="baseline"/>
                <w:lang w:val="en-US" w:eastAsia="zh-CN"/>
              </w:rPr>
            </w:pPr>
          </w:p>
        </w:tc>
        <w:tc>
          <w:tcPr>
            <w:tcW w:w="2841" w:type="dxa"/>
            <w:tcBorders>
              <w:top w:val="nil"/>
              <w:left w:val="nil"/>
              <w:bottom w:val="nil"/>
              <w:right w:val="nil"/>
            </w:tcBorders>
            <w:vAlign w:val="center"/>
          </w:tcPr>
          <w:p w14:paraId="706CE84E">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Weight decay</w:t>
            </w:r>
          </w:p>
        </w:tc>
        <w:tc>
          <w:tcPr>
            <w:tcW w:w="2841" w:type="dxa"/>
            <w:tcBorders>
              <w:top w:val="nil"/>
              <w:left w:val="nil"/>
              <w:bottom w:val="nil"/>
              <w:right w:val="nil"/>
            </w:tcBorders>
            <w:vAlign w:val="center"/>
          </w:tcPr>
          <w:p w14:paraId="3D68057E">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{1e-4, 3e-4, 1e-3, 3e-3}</w:t>
            </w:r>
          </w:p>
        </w:tc>
      </w:tr>
      <w:tr w14:paraId="7E56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tcBorders>
              <w:top w:val="nil"/>
              <w:left w:val="nil"/>
              <w:bottom w:val="nil"/>
              <w:right w:val="nil"/>
            </w:tcBorders>
            <w:vAlign w:val="center"/>
          </w:tcPr>
          <w:p w14:paraId="41A8FA74">
            <w:pPr>
              <w:jc w:val="center"/>
              <w:rPr>
                <w:rFonts w:hint="default" w:ascii="Times New Roman" w:hAnsi="Times New Roman" w:cs="Times New Roman"/>
                <w:b/>
                <w:bCs/>
                <w:vertAlign w:val="baseline"/>
                <w:lang w:val="en-US" w:eastAsia="zh-CN"/>
              </w:rPr>
            </w:pPr>
          </w:p>
        </w:tc>
        <w:tc>
          <w:tcPr>
            <w:tcW w:w="2841" w:type="dxa"/>
            <w:tcBorders>
              <w:top w:val="nil"/>
              <w:left w:val="nil"/>
              <w:bottom w:val="nil"/>
              <w:right w:val="nil"/>
            </w:tcBorders>
            <w:vAlign w:val="center"/>
          </w:tcPr>
          <w:p w14:paraId="4A13836B">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Batch size</w:t>
            </w:r>
          </w:p>
        </w:tc>
        <w:tc>
          <w:tcPr>
            <w:tcW w:w="2841" w:type="dxa"/>
            <w:tcBorders>
              <w:top w:val="nil"/>
              <w:left w:val="nil"/>
              <w:bottom w:val="nil"/>
              <w:right w:val="nil"/>
            </w:tcBorders>
            <w:vAlign w:val="center"/>
          </w:tcPr>
          <w:p w14:paraId="4463FC10">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{48, 64, 96}</w:t>
            </w:r>
          </w:p>
        </w:tc>
      </w:tr>
      <w:tr w14:paraId="3EE4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tcBorders>
              <w:top w:val="nil"/>
              <w:left w:val="nil"/>
              <w:bottom w:val="nil"/>
              <w:right w:val="nil"/>
            </w:tcBorders>
            <w:vAlign w:val="center"/>
          </w:tcPr>
          <w:p w14:paraId="755009F1">
            <w:pPr>
              <w:jc w:val="center"/>
              <w:rPr>
                <w:rFonts w:hint="default" w:ascii="Times New Roman" w:hAnsi="Times New Roman" w:cs="Times New Roman"/>
                <w:b/>
                <w:bCs/>
                <w:vertAlign w:val="baseline"/>
                <w:lang w:val="en-US" w:eastAsia="zh-CN"/>
              </w:rPr>
            </w:pPr>
          </w:p>
        </w:tc>
        <w:tc>
          <w:tcPr>
            <w:tcW w:w="2841" w:type="dxa"/>
            <w:tcBorders>
              <w:top w:val="nil"/>
              <w:left w:val="nil"/>
              <w:bottom w:val="nil"/>
              <w:right w:val="nil"/>
            </w:tcBorders>
            <w:vAlign w:val="center"/>
          </w:tcPr>
          <w:p w14:paraId="665FEDE8">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Max epochs</w:t>
            </w:r>
          </w:p>
        </w:tc>
        <w:tc>
          <w:tcPr>
            <w:tcW w:w="2841" w:type="dxa"/>
            <w:tcBorders>
              <w:top w:val="nil"/>
              <w:left w:val="nil"/>
              <w:bottom w:val="nil"/>
              <w:right w:val="nil"/>
            </w:tcBorders>
            <w:vAlign w:val="center"/>
          </w:tcPr>
          <w:p w14:paraId="151C96EE">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100</w:t>
            </w:r>
          </w:p>
        </w:tc>
      </w:tr>
      <w:tr w14:paraId="64F4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tcBorders>
              <w:top w:val="nil"/>
              <w:left w:val="nil"/>
              <w:bottom w:val="nil"/>
              <w:right w:val="nil"/>
            </w:tcBorders>
            <w:vAlign w:val="center"/>
          </w:tcPr>
          <w:p w14:paraId="4B29F3B6">
            <w:pPr>
              <w:jc w:val="center"/>
              <w:rPr>
                <w:rFonts w:hint="default" w:ascii="Times New Roman" w:hAnsi="Times New Roman" w:cs="Times New Roman"/>
                <w:b/>
                <w:bCs/>
                <w:vertAlign w:val="baseline"/>
                <w:lang w:val="en-US" w:eastAsia="zh-CN"/>
              </w:rPr>
            </w:pPr>
          </w:p>
        </w:tc>
        <w:tc>
          <w:tcPr>
            <w:tcW w:w="2841" w:type="dxa"/>
            <w:tcBorders>
              <w:top w:val="nil"/>
              <w:left w:val="nil"/>
              <w:bottom w:val="nil"/>
              <w:right w:val="nil"/>
            </w:tcBorders>
            <w:vAlign w:val="center"/>
          </w:tcPr>
          <w:p w14:paraId="03741F4B">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Early stopping patience</w:t>
            </w:r>
          </w:p>
        </w:tc>
        <w:tc>
          <w:tcPr>
            <w:tcW w:w="2841" w:type="dxa"/>
            <w:tcBorders>
              <w:top w:val="nil"/>
              <w:left w:val="nil"/>
              <w:bottom w:val="nil"/>
              <w:right w:val="nil"/>
            </w:tcBorders>
            <w:vAlign w:val="center"/>
          </w:tcPr>
          <w:p w14:paraId="32B35650">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20</w:t>
            </w:r>
          </w:p>
        </w:tc>
      </w:tr>
      <w:tr w14:paraId="7AC79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tcBorders>
              <w:top w:val="nil"/>
              <w:left w:val="nil"/>
              <w:bottom w:val="nil"/>
              <w:right w:val="nil"/>
            </w:tcBorders>
            <w:vAlign w:val="center"/>
          </w:tcPr>
          <w:p w14:paraId="21677EA5">
            <w:pPr>
              <w:jc w:val="center"/>
              <w:rPr>
                <w:rFonts w:hint="default" w:ascii="Times New Roman" w:hAnsi="Times New Roman" w:cs="Times New Roman"/>
                <w:b/>
                <w:bCs/>
                <w:vertAlign w:val="baseline"/>
                <w:lang w:val="en-US" w:eastAsia="zh-CN"/>
              </w:rPr>
            </w:pPr>
          </w:p>
        </w:tc>
        <w:tc>
          <w:tcPr>
            <w:tcW w:w="2841" w:type="dxa"/>
            <w:tcBorders>
              <w:top w:val="nil"/>
              <w:left w:val="nil"/>
              <w:bottom w:val="nil"/>
              <w:right w:val="nil"/>
            </w:tcBorders>
            <w:vAlign w:val="center"/>
          </w:tcPr>
          <w:p w14:paraId="29613D4D">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Gradient clipping</w:t>
            </w:r>
          </w:p>
        </w:tc>
        <w:tc>
          <w:tcPr>
            <w:tcW w:w="2841" w:type="dxa"/>
            <w:tcBorders>
              <w:top w:val="nil"/>
              <w:left w:val="nil"/>
              <w:bottom w:val="nil"/>
              <w:right w:val="nil"/>
            </w:tcBorders>
            <w:vAlign w:val="center"/>
          </w:tcPr>
          <w:p w14:paraId="28F61DE6">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1.0</w:t>
            </w:r>
          </w:p>
        </w:tc>
      </w:tr>
      <w:tr w14:paraId="133E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tcBorders>
              <w:top w:val="nil"/>
              <w:left w:val="nil"/>
              <w:bottom w:val="single" w:color="auto" w:sz="4" w:space="0"/>
              <w:right w:val="nil"/>
            </w:tcBorders>
            <w:vAlign w:val="center"/>
          </w:tcPr>
          <w:p w14:paraId="2945B658">
            <w:pPr>
              <w:jc w:val="center"/>
              <w:rPr>
                <w:rFonts w:hint="default" w:ascii="Times New Roman" w:hAnsi="Times New Roman" w:cs="Times New Roman"/>
                <w:b/>
                <w:bCs/>
                <w:vertAlign w:val="baseline"/>
                <w:lang w:val="en-US" w:eastAsia="zh-CN"/>
              </w:rPr>
            </w:pPr>
          </w:p>
        </w:tc>
        <w:tc>
          <w:tcPr>
            <w:tcW w:w="2841" w:type="dxa"/>
            <w:tcBorders>
              <w:top w:val="nil"/>
              <w:left w:val="nil"/>
              <w:bottom w:val="single" w:color="auto" w:sz="4" w:space="0"/>
              <w:right w:val="nil"/>
            </w:tcBorders>
            <w:vAlign w:val="center"/>
          </w:tcPr>
          <w:p w14:paraId="5D742293">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Dropout rate</w:t>
            </w:r>
          </w:p>
        </w:tc>
        <w:tc>
          <w:tcPr>
            <w:tcW w:w="2841" w:type="dxa"/>
            <w:tcBorders>
              <w:top w:val="nil"/>
              <w:left w:val="nil"/>
              <w:bottom w:val="single" w:color="auto" w:sz="4" w:space="0"/>
              <w:right w:val="nil"/>
            </w:tcBorders>
            <w:vAlign w:val="center"/>
          </w:tcPr>
          <w:p w14:paraId="2F66BB41">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{0.1, 0.2, 0.3}</w:t>
            </w:r>
          </w:p>
        </w:tc>
      </w:tr>
      <w:tr w14:paraId="601EA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tcBorders>
              <w:top w:val="single" w:color="auto" w:sz="4" w:space="0"/>
              <w:left w:val="nil"/>
              <w:bottom w:val="nil"/>
              <w:right w:val="nil"/>
            </w:tcBorders>
            <w:vAlign w:val="center"/>
          </w:tcPr>
          <w:p w14:paraId="3F9971FA">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Mixture-of-Experts</w:t>
            </w:r>
          </w:p>
        </w:tc>
        <w:tc>
          <w:tcPr>
            <w:tcW w:w="2841" w:type="dxa"/>
            <w:tcBorders>
              <w:top w:val="single" w:color="auto" w:sz="4" w:space="0"/>
              <w:left w:val="nil"/>
              <w:bottom w:val="nil"/>
              <w:right w:val="nil"/>
            </w:tcBorders>
            <w:vAlign w:val="center"/>
          </w:tcPr>
          <w:p w14:paraId="1259F6B4">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Top-K experts</w:t>
            </w:r>
          </w:p>
        </w:tc>
        <w:tc>
          <w:tcPr>
            <w:tcW w:w="2841" w:type="dxa"/>
            <w:tcBorders>
              <w:top w:val="single" w:color="auto" w:sz="4" w:space="0"/>
              <w:left w:val="nil"/>
              <w:bottom w:val="nil"/>
              <w:right w:val="nil"/>
            </w:tcBorders>
            <w:vAlign w:val="center"/>
          </w:tcPr>
          <w:p w14:paraId="275158CA">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{2, 3, 4}</w:t>
            </w:r>
          </w:p>
        </w:tc>
      </w:tr>
      <w:tr w14:paraId="32C99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tcBorders>
              <w:top w:val="nil"/>
              <w:left w:val="nil"/>
              <w:bottom w:val="single" w:color="auto" w:sz="4" w:space="0"/>
              <w:right w:val="nil"/>
            </w:tcBorders>
            <w:vAlign w:val="center"/>
          </w:tcPr>
          <w:p w14:paraId="51EFE787">
            <w:pPr>
              <w:jc w:val="center"/>
              <w:rPr>
                <w:rFonts w:hint="default" w:ascii="Times New Roman" w:hAnsi="Times New Roman" w:cs="Times New Roman"/>
                <w:b/>
                <w:bCs/>
                <w:vertAlign w:val="baseline"/>
                <w:lang w:val="en-US" w:eastAsia="zh-CN"/>
              </w:rPr>
            </w:pPr>
          </w:p>
        </w:tc>
        <w:tc>
          <w:tcPr>
            <w:tcW w:w="2841" w:type="dxa"/>
            <w:tcBorders>
              <w:top w:val="nil"/>
              <w:left w:val="nil"/>
              <w:bottom w:val="single" w:color="auto" w:sz="4" w:space="0"/>
              <w:right w:val="nil"/>
            </w:tcBorders>
            <w:vAlign w:val="center"/>
          </w:tcPr>
          <w:p w14:paraId="00B0ABC0">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MoE sparsity weight (λ_sparse)</w:t>
            </w:r>
          </w:p>
        </w:tc>
        <w:tc>
          <w:tcPr>
            <w:tcW w:w="2841" w:type="dxa"/>
            <w:tcBorders>
              <w:top w:val="nil"/>
              <w:left w:val="nil"/>
              <w:bottom w:val="single" w:color="auto" w:sz="4" w:space="0"/>
              <w:right w:val="nil"/>
            </w:tcBorders>
            <w:vAlign w:val="center"/>
          </w:tcPr>
          <w:p w14:paraId="701EB235">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{0.01, 0.05, 0.1}</w:t>
            </w:r>
          </w:p>
        </w:tc>
      </w:tr>
      <w:tr w14:paraId="670C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tcBorders>
              <w:top w:val="single" w:color="auto" w:sz="4" w:space="0"/>
              <w:left w:val="nil"/>
              <w:bottom w:val="nil"/>
              <w:right w:val="nil"/>
            </w:tcBorders>
            <w:vAlign w:val="center"/>
          </w:tcPr>
          <w:p w14:paraId="5AEEE5E9">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Spherical projection</w:t>
            </w:r>
          </w:p>
        </w:tc>
        <w:tc>
          <w:tcPr>
            <w:tcW w:w="2841" w:type="dxa"/>
            <w:tcBorders>
              <w:top w:val="single" w:color="auto" w:sz="4" w:space="0"/>
              <w:left w:val="nil"/>
              <w:bottom w:val="nil"/>
              <w:right w:val="nil"/>
            </w:tcBorders>
            <w:vAlign w:val="center"/>
          </w:tcPr>
          <w:p w14:paraId="5EB7A7D7">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Embedding dimension</w:t>
            </w:r>
          </w:p>
        </w:tc>
        <w:tc>
          <w:tcPr>
            <w:tcW w:w="2841" w:type="dxa"/>
            <w:tcBorders>
              <w:top w:val="single" w:color="auto" w:sz="4" w:space="0"/>
              <w:left w:val="nil"/>
              <w:bottom w:val="nil"/>
              <w:right w:val="nil"/>
            </w:tcBorders>
            <w:vAlign w:val="center"/>
          </w:tcPr>
          <w:p w14:paraId="01FB7C80">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128</w:t>
            </w:r>
          </w:p>
        </w:tc>
      </w:tr>
      <w:tr w14:paraId="51D6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tcBorders>
              <w:top w:val="nil"/>
              <w:left w:val="nil"/>
              <w:bottom w:val="single" w:color="auto" w:sz="4" w:space="0"/>
              <w:right w:val="nil"/>
            </w:tcBorders>
            <w:vAlign w:val="center"/>
          </w:tcPr>
          <w:p w14:paraId="3D63A2BE">
            <w:pPr>
              <w:jc w:val="center"/>
              <w:rPr>
                <w:rFonts w:hint="default" w:ascii="Times New Roman" w:hAnsi="Times New Roman" w:cs="Times New Roman"/>
                <w:b/>
                <w:bCs/>
                <w:vertAlign w:val="baseline"/>
                <w:lang w:val="en-US" w:eastAsia="zh-CN"/>
              </w:rPr>
            </w:pPr>
          </w:p>
        </w:tc>
        <w:tc>
          <w:tcPr>
            <w:tcW w:w="2841" w:type="dxa"/>
            <w:tcBorders>
              <w:top w:val="nil"/>
              <w:left w:val="nil"/>
              <w:bottom w:val="single" w:color="auto" w:sz="4" w:space="0"/>
              <w:right w:val="nil"/>
            </w:tcBorders>
            <w:vAlign w:val="center"/>
          </w:tcPr>
          <w:p w14:paraId="00A79663">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Activation</w:t>
            </w:r>
          </w:p>
        </w:tc>
        <w:tc>
          <w:tcPr>
            <w:tcW w:w="2841" w:type="dxa"/>
            <w:tcBorders>
              <w:top w:val="nil"/>
              <w:left w:val="nil"/>
              <w:bottom w:val="single" w:color="auto" w:sz="4" w:space="0"/>
              <w:right w:val="nil"/>
            </w:tcBorders>
            <w:vAlign w:val="center"/>
          </w:tcPr>
          <w:p w14:paraId="0FA5B2D0">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PReLU</w:t>
            </w:r>
          </w:p>
        </w:tc>
      </w:tr>
      <w:tr w14:paraId="2975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tcBorders>
              <w:top w:val="single" w:color="auto" w:sz="4" w:space="0"/>
              <w:left w:val="nil"/>
              <w:bottom w:val="nil"/>
              <w:right w:val="nil"/>
            </w:tcBorders>
            <w:vAlign w:val="center"/>
          </w:tcPr>
          <w:p w14:paraId="5DBC78FD">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Classification head</w:t>
            </w:r>
          </w:p>
        </w:tc>
        <w:tc>
          <w:tcPr>
            <w:tcW w:w="2841" w:type="dxa"/>
            <w:tcBorders>
              <w:top w:val="single" w:color="auto" w:sz="4" w:space="0"/>
              <w:left w:val="nil"/>
              <w:bottom w:val="nil"/>
              <w:right w:val="nil"/>
            </w:tcBorders>
            <w:vAlign w:val="center"/>
          </w:tcPr>
          <w:p w14:paraId="31042390">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Angular margin (m)</w:t>
            </w:r>
          </w:p>
        </w:tc>
        <w:tc>
          <w:tcPr>
            <w:tcW w:w="2841" w:type="dxa"/>
            <w:tcBorders>
              <w:top w:val="single" w:color="auto" w:sz="4" w:space="0"/>
              <w:left w:val="nil"/>
              <w:bottom w:val="nil"/>
              <w:right w:val="nil"/>
            </w:tcBorders>
            <w:vAlign w:val="center"/>
          </w:tcPr>
          <w:p w14:paraId="19D9A0C9">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{0.2, 0.3, 0.4}</w:t>
            </w:r>
          </w:p>
        </w:tc>
      </w:tr>
      <w:tr w14:paraId="6C02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tcBorders>
              <w:top w:val="nil"/>
              <w:left w:val="nil"/>
              <w:bottom w:val="nil"/>
              <w:right w:val="nil"/>
            </w:tcBorders>
            <w:vAlign w:val="center"/>
          </w:tcPr>
          <w:p w14:paraId="1B8547AA">
            <w:pPr>
              <w:jc w:val="center"/>
              <w:rPr>
                <w:rFonts w:hint="default" w:ascii="Times New Roman" w:hAnsi="Times New Roman" w:cs="Times New Roman"/>
                <w:b/>
                <w:bCs/>
                <w:vertAlign w:val="baseline"/>
                <w:lang w:val="en-US" w:eastAsia="zh-CN"/>
              </w:rPr>
            </w:pPr>
          </w:p>
        </w:tc>
        <w:tc>
          <w:tcPr>
            <w:tcW w:w="2841" w:type="dxa"/>
            <w:tcBorders>
              <w:top w:val="nil"/>
              <w:left w:val="nil"/>
              <w:bottom w:val="nil"/>
              <w:right w:val="nil"/>
            </w:tcBorders>
            <w:vAlign w:val="center"/>
          </w:tcPr>
          <w:p w14:paraId="68EFE5DC">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Logit scale (κ)</w:t>
            </w:r>
          </w:p>
        </w:tc>
        <w:tc>
          <w:tcPr>
            <w:tcW w:w="2841" w:type="dxa"/>
            <w:tcBorders>
              <w:top w:val="nil"/>
              <w:left w:val="nil"/>
              <w:bottom w:val="nil"/>
              <w:right w:val="nil"/>
            </w:tcBorders>
            <w:vAlign w:val="center"/>
          </w:tcPr>
          <w:p w14:paraId="7CDDD72E">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{20, 30, 40}</w:t>
            </w:r>
          </w:p>
        </w:tc>
      </w:tr>
      <w:tr w14:paraId="024C5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tcBorders>
              <w:top w:val="nil"/>
              <w:left w:val="nil"/>
              <w:bottom w:val="nil"/>
              <w:right w:val="nil"/>
            </w:tcBorders>
            <w:vAlign w:val="center"/>
          </w:tcPr>
          <w:p w14:paraId="1F11B393">
            <w:pPr>
              <w:jc w:val="center"/>
              <w:rPr>
                <w:rFonts w:hint="default" w:ascii="Times New Roman" w:hAnsi="Times New Roman" w:cs="Times New Roman"/>
                <w:b/>
                <w:bCs/>
                <w:vertAlign w:val="baseline"/>
                <w:lang w:val="en-US" w:eastAsia="zh-CN"/>
              </w:rPr>
            </w:pPr>
          </w:p>
        </w:tc>
        <w:tc>
          <w:tcPr>
            <w:tcW w:w="2841" w:type="dxa"/>
            <w:tcBorders>
              <w:top w:val="nil"/>
              <w:left w:val="nil"/>
              <w:bottom w:val="nil"/>
              <w:right w:val="nil"/>
            </w:tcBorders>
            <w:vAlign w:val="center"/>
          </w:tcPr>
          <w:p w14:paraId="3870964A">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Proxy orthogonality weight (λ_o)</w:t>
            </w:r>
          </w:p>
        </w:tc>
        <w:tc>
          <w:tcPr>
            <w:tcW w:w="2841" w:type="dxa"/>
            <w:tcBorders>
              <w:top w:val="nil"/>
              <w:left w:val="nil"/>
              <w:bottom w:val="nil"/>
              <w:right w:val="nil"/>
            </w:tcBorders>
            <w:vAlign w:val="center"/>
          </w:tcPr>
          <w:p w14:paraId="6BF90093">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{1e-3, 5e-3, 1e-2}</w:t>
            </w:r>
          </w:p>
        </w:tc>
      </w:tr>
      <w:tr w14:paraId="2899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tcBorders>
              <w:top w:val="nil"/>
              <w:left w:val="nil"/>
              <w:bottom w:val="nil"/>
              <w:right w:val="nil"/>
            </w:tcBorders>
            <w:vAlign w:val="center"/>
          </w:tcPr>
          <w:p w14:paraId="6D1D72E0">
            <w:pPr>
              <w:jc w:val="center"/>
              <w:rPr>
                <w:rFonts w:hint="default" w:ascii="Times New Roman" w:hAnsi="Times New Roman" w:cs="Times New Roman"/>
                <w:b/>
                <w:bCs/>
                <w:vertAlign w:val="baseline"/>
                <w:lang w:val="en-US" w:eastAsia="zh-CN"/>
              </w:rPr>
            </w:pPr>
          </w:p>
        </w:tc>
        <w:tc>
          <w:tcPr>
            <w:tcW w:w="2841" w:type="dxa"/>
            <w:tcBorders>
              <w:top w:val="nil"/>
              <w:left w:val="nil"/>
              <w:bottom w:val="nil"/>
              <w:right w:val="nil"/>
            </w:tcBorders>
            <w:vAlign w:val="center"/>
          </w:tcPr>
          <w:p w14:paraId="0E0D7FB1">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Distillation temperature (τ)</w:t>
            </w:r>
          </w:p>
        </w:tc>
        <w:tc>
          <w:tcPr>
            <w:tcW w:w="2841" w:type="dxa"/>
            <w:tcBorders>
              <w:top w:val="nil"/>
              <w:left w:val="nil"/>
              <w:bottom w:val="nil"/>
              <w:right w:val="nil"/>
            </w:tcBorders>
            <w:vAlign w:val="center"/>
          </w:tcPr>
          <w:p w14:paraId="117879CE">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{2, 4, 8}</w:t>
            </w:r>
          </w:p>
        </w:tc>
      </w:tr>
      <w:tr w14:paraId="67DD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tcBorders>
              <w:top w:val="nil"/>
              <w:left w:val="nil"/>
              <w:bottom w:val="single" w:color="auto" w:sz="4" w:space="0"/>
              <w:right w:val="nil"/>
            </w:tcBorders>
            <w:vAlign w:val="center"/>
          </w:tcPr>
          <w:p w14:paraId="20A01D3A">
            <w:pPr>
              <w:jc w:val="center"/>
              <w:rPr>
                <w:rFonts w:hint="default" w:ascii="Times New Roman" w:hAnsi="Times New Roman" w:cs="Times New Roman"/>
                <w:b/>
                <w:bCs/>
                <w:vertAlign w:val="baseline"/>
                <w:lang w:val="en-US" w:eastAsia="zh-CN"/>
              </w:rPr>
            </w:pPr>
          </w:p>
        </w:tc>
        <w:tc>
          <w:tcPr>
            <w:tcW w:w="2841" w:type="dxa"/>
            <w:tcBorders>
              <w:top w:val="nil"/>
              <w:left w:val="nil"/>
              <w:bottom w:val="single" w:color="auto" w:sz="4" w:space="0"/>
              <w:right w:val="nil"/>
            </w:tcBorders>
            <w:vAlign w:val="center"/>
          </w:tcPr>
          <w:p w14:paraId="64B4CEF6">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Distillation weight (λ_kd)</w:t>
            </w:r>
          </w:p>
        </w:tc>
        <w:tc>
          <w:tcPr>
            <w:tcW w:w="2841" w:type="dxa"/>
            <w:tcBorders>
              <w:top w:val="nil"/>
              <w:left w:val="nil"/>
              <w:bottom w:val="single" w:color="auto" w:sz="4" w:space="0"/>
              <w:right w:val="nil"/>
            </w:tcBorders>
            <w:vAlign w:val="center"/>
          </w:tcPr>
          <w:p w14:paraId="3264DE62">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{0.1, 0.3, 0.5}</w:t>
            </w:r>
          </w:p>
        </w:tc>
      </w:tr>
      <w:tr w14:paraId="2285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tcBorders>
              <w:top w:val="single" w:color="auto" w:sz="4" w:space="0"/>
              <w:left w:val="nil"/>
              <w:bottom w:val="nil"/>
              <w:right w:val="nil"/>
            </w:tcBorders>
            <w:vAlign w:val="center"/>
          </w:tcPr>
          <w:p w14:paraId="4575226E">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Regression head</w:t>
            </w:r>
          </w:p>
        </w:tc>
        <w:tc>
          <w:tcPr>
            <w:tcW w:w="2841" w:type="dxa"/>
            <w:tcBorders>
              <w:top w:val="single" w:color="auto" w:sz="4" w:space="0"/>
              <w:left w:val="nil"/>
              <w:bottom w:val="nil"/>
              <w:right w:val="nil"/>
            </w:tcBorders>
            <w:vAlign w:val="center"/>
          </w:tcPr>
          <w:p w14:paraId="708951BD">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Number of proxy anchors (K)</w:t>
            </w:r>
          </w:p>
        </w:tc>
        <w:tc>
          <w:tcPr>
            <w:tcW w:w="2841" w:type="dxa"/>
            <w:tcBorders>
              <w:top w:val="single" w:color="auto" w:sz="4" w:space="0"/>
              <w:left w:val="nil"/>
              <w:bottom w:val="nil"/>
              <w:right w:val="nil"/>
            </w:tcBorders>
            <w:vAlign w:val="center"/>
          </w:tcPr>
          <w:p w14:paraId="12A1C572">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{10, 20, 30}</w:t>
            </w:r>
          </w:p>
        </w:tc>
      </w:tr>
      <w:tr w14:paraId="1FED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tcBorders>
              <w:top w:val="nil"/>
              <w:left w:val="nil"/>
              <w:bottom w:val="nil"/>
              <w:right w:val="nil"/>
            </w:tcBorders>
            <w:vAlign w:val="center"/>
          </w:tcPr>
          <w:p w14:paraId="6A2FF172">
            <w:pPr>
              <w:jc w:val="center"/>
              <w:rPr>
                <w:rFonts w:hint="default" w:ascii="Times New Roman" w:hAnsi="Times New Roman" w:cs="Times New Roman"/>
                <w:b/>
                <w:bCs/>
                <w:vertAlign w:val="baseline"/>
                <w:lang w:val="en-US" w:eastAsia="zh-CN"/>
              </w:rPr>
            </w:pPr>
          </w:p>
        </w:tc>
        <w:tc>
          <w:tcPr>
            <w:tcW w:w="2841" w:type="dxa"/>
            <w:tcBorders>
              <w:top w:val="nil"/>
              <w:left w:val="nil"/>
              <w:bottom w:val="nil"/>
              <w:right w:val="nil"/>
            </w:tcBorders>
            <w:vAlign w:val="center"/>
          </w:tcPr>
          <w:p w14:paraId="4B305815">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Angular margin (m_arc)</w:t>
            </w:r>
          </w:p>
        </w:tc>
        <w:tc>
          <w:tcPr>
            <w:tcW w:w="2841" w:type="dxa"/>
            <w:tcBorders>
              <w:top w:val="nil"/>
              <w:left w:val="nil"/>
              <w:bottom w:val="nil"/>
              <w:right w:val="nil"/>
            </w:tcBorders>
            <w:vAlign w:val="center"/>
          </w:tcPr>
          <w:p w14:paraId="304D1158">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{0.1, 0.2, 0.3}</w:t>
            </w:r>
          </w:p>
        </w:tc>
      </w:tr>
      <w:tr w14:paraId="062A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tcBorders>
              <w:top w:val="nil"/>
              <w:left w:val="nil"/>
              <w:bottom w:val="nil"/>
              <w:right w:val="nil"/>
            </w:tcBorders>
            <w:vAlign w:val="center"/>
          </w:tcPr>
          <w:p w14:paraId="082DCD8B">
            <w:pPr>
              <w:jc w:val="center"/>
              <w:rPr>
                <w:rFonts w:hint="default" w:ascii="Times New Roman" w:hAnsi="Times New Roman" w:cs="Times New Roman"/>
                <w:b/>
                <w:bCs/>
                <w:vertAlign w:val="baseline"/>
                <w:lang w:val="en-US" w:eastAsia="zh-CN"/>
              </w:rPr>
            </w:pPr>
          </w:p>
        </w:tc>
        <w:tc>
          <w:tcPr>
            <w:tcW w:w="2841" w:type="dxa"/>
            <w:tcBorders>
              <w:top w:val="nil"/>
              <w:left w:val="nil"/>
              <w:bottom w:val="nil"/>
              <w:right w:val="nil"/>
            </w:tcBorders>
            <w:vAlign w:val="center"/>
          </w:tcPr>
          <w:p w14:paraId="28F0E21A">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Arc loss weight (λ_arc)</w:t>
            </w:r>
          </w:p>
        </w:tc>
        <w:tc>
          <w:tcPr>
            <w:tcW w:w="2841" w:type="dxa"/>
            <w:tcBorders>
              <w:top w:val="nil"/>
              <w:left w:val="nil"/>
              <w:bottom w:val="nil"/>
              <w:right w:val="nil"/>
            </w:tcBorders>
            <w:vAlign w:val="center"/>
          </w:tcPr>
          <w:p w14:paraId="1DF8CD7A">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{0.1, 0.3, 0.5}</w:t>
            </w:r>
          </w:p>
        </w:tc>
      </w:tr>
      <w:tr w14:paraId="47EB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tcBorders>
              <w:top w:val="nil"/>
              <w:left w:val="nil"/>
              <w:bottom w:val="nil"/>
              <w:right w:val="nil"/>
            </w:tcBorders>
            <w:vAlign w:val="center"/>
          </w:tcPr>
          <w:p w14:paraId="2D065FF0">
            <w:pPr>
              <w:jc w:val="center"/>
              <w:rPr>
                <w:rFonts w:hint="default" w:ascii="Times New Roman" w:hAnsi="Times New Roman" w:cs="Times New Roman"/>
                <w:b/>
                <w:bCs/>
                <w:vertAlign w:val="baseline"/>
                <w:lang w:val="en-US" w:eastAsia="zh-CN"/>
              </w:rPr>
            </w:pPr>
          </w:p>
        </w:tc>
        <w:tc>
          <w:tcPr>
            <w:tcW w:w="2841" w:type="dxa"/>
            <w:tcBorders>
              <w:top w:val="nil"/>
              <w:left w:val="nil"/>
              <w:bottom w:val="nil"/>
              <w:right w:val="nil"/>
            </w:tcBorders>
            <w:vAlign w:val="center"/>
          </w:tcPr>
          <w:p w14:paraId="1F627711">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Soft label bandwidth (σ_soft)</w:t>
            </w:r>
          </w:p>
        </w:tc>
        <w:tc>
          <w:tcPr>
            <w:tcW w:w="2841" w:type="dxa"/>
            <w:tcBorders>
              <w:top w:val="nil"/>
              <w:left w:val="nil"/>
              <w:bottom w:val="nil"/>
              <w:right w:val="nil"/>
            </w:tcBorders>
            <w:vAlign w:val="center"/>
          </w:tcPr>
          <w:p w14:paraId="2F5D9489">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{0.1, 0.2, 0.3}</w:t>
            </w:r>
          </w:p>
        </w:tc>
      </w:tr>
      <w:tr w14:paraId="7572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tcBorders>
              <w:top w:val="nil"/>
              <w:left w:val="nil"/>
              <w:bottom w:val="nil"/>
              <w:right w:val="nil"/>
            </w:tcBorders>
            <w:vAlign w:val="center"/>
          </w:tcPr>
          <w:p w14:paraId="188A164C">
            <w:pPr>
              <w:jc w:val="center"/>
              <w:rPr>
                <w:rFonts w:hint="default" w:ascii="Times New Roman" w:hAnsi="Times New Roman" w:cs="Times New Roman"/>
                <w:b/>
                <w:bCs/>
                <w:vertAlign w:val="baseline"/>
                <w:lang w:val="en-US" w:eastAsia="zh-CN"/>
              </w:rPr>
            </w:pPr>
          </w:p>
        </w:tc>
        <w:tc>
          <w:tcPr>
            <w:tcW w:w="2841" w:type="dxa"/>
            <w:tcBorders>
              <w:top w:val="nil"/>
              <w:left w:val="nil"/>
              <w:bottom w:val="nil"/>
              <w:right w:val="nil"/>
            </w:tcBorders>
            <w:vAlign w:val="center"/>
          </w:tcPr>
          <w:p w14:paraId="5014AB36">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Distillation weight (λ_kd)</w:t>
            </w:r>
          </w:p>
        </w:tc>
        <w:tc>
          <w:tcPr>
            <w:tcW w:w="2841" w:type="dxa"/>
            <w:tcBorders>
              <w:top w:val="nil"/>
              <w:left w:val="nil"/>
              <w:bottom w:val="nil"/>
              <w:right w:val="nil"/>
            </w:tcBorders>
            <w:vAlign w:val="center"/>
          </w:tcPr>
          <w:p w14:paraId="0FAC5EFD">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{0.1, 0.3, 0.5}</w:t>
            </w:r>
          </w:p>
        </w:tc>
      </w:tr>
      <w:tr w14:paraId="4260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nil"/>
              <w:left w:val="nil"/>
              <w:bottom w:val="single" w:color="auto" w:sz="4" w:space="0"/>
              <w:right w:val="nil"/>
            </w:tcBorders>
            <w:vAlign w:val="center"/>
          </w:tcPr>
          <w:p w14:paraId="30DF414D">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Reproducibility</w:t>
            </w:r>
          </w:p>
        </w:tc>
        <w:tc>
          <w:tcPr>
            <w:tcW w:w="2841" w:type="dxa"/>
            <w:tcBorders>
              <w:top w:val="nil"/>
              <w:left w:val="nil"/>
              <w:bottom w:val="single" w:color="auto" w:sz="4" w:space="0"/>
              <w:right w:val="nil"/>
            </w:tcBorders>
            <w:vAlign w:val="center"/>
          </w:tcPr>
          <w:p w14:paraId="2ED4890B">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Random seeds</w:t>
            </w:r>
          </w:p>
        </w:tc>
        <w:tc>
          <w:tcPr>
            <w:tcW w:w="2841" w:type="dxa"/>
            <w:tcBorders>
              <w:top w:val="nil"/>
              <w:left w:val="nil"/>
              <w:bottom w:val="single" w:color="auto" w:sz="4" w:space="0"/>
              <w:right w:val="nil"/>
            </w:tcBorders>
            <w:vAlign w:val="center"/>
          </w:tcPr>
          <w:p w14:paraId="354F21C0">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{0, 1, 2, 3, 4}</w:t>
            </w:r>
          </w:p>
        </w:tc>
      </w:tr>
      <w:tr w14:paraId="3AE58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nil"/>
              <w:bottom w:val="single" w:color="auto" w:sz="4" w:space="0"/>
              <w:right w:val="nil"/>
            </w:tcBorders>
            <w:vAlign w:val="center"/>
          </w:tcPr>
          <w:p w14:paraId="4EC6E8EF">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Hardware</w:t>
            </w:r>
          </w:p>
        </w:tc>
        <w:tc>
          <w:tcPr>
            <w:tcW w:w="2841" w:type="dxa"/>
            <w:tcBorders>
              <w:top w:val="single" w:color="auto" w:sz="4" w:space="0"/>
              <w:left w:val="nil"/>
              <w:bottom w:val="single" w:color="auto" w:sz="4" w:space="0"/>
              <w:right w:val="nil"/>
            </w:tcBorders>
            <w:vAlign w:val="center"/>
          </w:tcPr>
          <w:p w14:paraId="5A67AC56">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GPU</w:t>
            </w:r>
          </w:p>
        </w:tc>
        <w:tc>
          <w:tcPr>
            <w:tcW w:w="2841" w:type="dxa"/>
            <w:tcBorders>
              <w:top w:val="single" w:color="auto" w:sz="4" w:space="0"/>
              <w:left w:val="nil"/>
              <w:bottom w:val="single" w:color="auto" w:sz="4" w:space="0"/>
              <w:right w:val="nil"/>
            </w:tcBorders>
            <w:vAlign w:val="center"/>
          </w:tcPr>
          <w:p w14:paraId="183914B1">
            <w:pPr>
              <w:jc w:val="center"/>
              <w:rPr>
                <w:rFonts w:hint="default" w:ascii="Times New Roman" w:hAnsi="Times New Roman" w:cs="Times New Roman"/>
                <w:b/>
                <w:bCs/>
                <w:vertAlign w:val="baseline"/>
                <w:lang w:val="en-US" w:eastAsia="zh-CN"/>
              </w:rPr>
            </w:pPr>
            <w:r>
              <w:rPr>
                <w:rStyle w:val="8"/>
                <w:rFonts w:hint="default" w:ascii="Times New Roman" w:hAnsi="Times New Roman" w:eastAsia="黑体" w:cs="Times New Roman"/>
                <w:b w:val="0"/>
                <w:bCs/>
                <w:color w:val="000000"/>
                <w:sz w:val="18"/>
                <w:szCs w:val="18"/>
                <w:vertAlign w:val="baseline"/>
                <w:lang w:val="en-US" w:eastAsia="zh-CN"/>
              </w:rPr>
              <w:t>NVIDIA A100 (</w:t>
            </w:r>
            <w:r>
              <w:rPr>
                <w:rStyle w:val="8"/>
                <w:rFonts w:hint="eastAsia" w:ascii="Times New Roman" w:hAnsi="Times New Roman" w:eastAsia="黑体" w:cs="Times New Roman"/>
                <w:b w:val="0"/>
                <w:bCs/>
                <w:color w:val="000000"/>
                <w:sz w:val="18"/>
                <w:szCs w:val="18"/>
                <w:vertAlign w:val="baseline"/>
                <w:lang w:val="en-US" w:eastAsia="zh-CN"/>
              </w:rPr>
              <w:t>8</w:t>
            </w:r>
            <w:r>
              <w:rPr>
                <w:rStyle w:val="8"/>
                <w:rFonts w:hint="default" w:ascii="Times New Roman" w:hAnsi="Times New Roman" w:eastAsia="黑体" w:cs="Times New Roman"/>
                <w:b w:val="0"/>
                <w:bCs/>
                <w:color w:val="000000"/>
                <w:sz w:val="18"/>
                <w:szCs w:val="18"/>
                <w:vertAlign w:val="baseline"/>
                <w:lang w:val="en-US" w:eastAsia="zh-CN"/>
              </w:rPr>
              <w:t>0 GB)</w:t>
            </w:r>
          </w:p>
        </w:tc>
      </w:tr>
    </w:tbl>
    <w:p w14:paraId="70B352D1">
      <w:pPr>
        <w:rPr>
          <w:rFonts w:hint="default" w:ascii="Times New Roman" w:hAnsi="Times New Roman" w:cs="Times New Roman"/>
          <w:b/>
          <w:bCs/>
          <w:lang w:val="en-US" w:eastAsia="zh-CN"/>
        </w:rPr>
      </w:pPr>
    </w:p>
    <w:p w14:paraId="48F42C99">
      <w:pPr>
        <w:rPr>
          <w:rFonts w:hint="default" w:ascii="Times New Roman" w:hAnsi="Times New Roman" w:cs="Times New Roman"/>
          <w:b/>
          <w:bCs/>
          <w:lang w:val="en-US" w:eastAsia="zh-CN"/>
        </w:rPr>
      </w:pPr>
    </w:p>
    <w:p w14:paraId="4965013A">
      <w:pPr>
        <w:rPr>
          <w:rFonts w:hint="default" w:ascii="Times New Roman" w:hAnsi="Times New Roman" w:cs="Times New Roman"/>
          <w:b/>
          <w:bCs/>
          <w:lang w:val="en-US" w:eastAsia="zh-CN"/>
        </w:rPr>
      </w:pPr>
    </w:p>
    <w:p w14:paraId="250BA6EE">
      <w:pPr>
        <w:rPr>
          <w:rFonts w:hint="default"/>
          <w:lang w:val="en-US" w:eastAsia="zh-CN"/>
        </w:rPr>
      </w:pPr>
    </w:p>
    <w:p w14:paraId="7C350D02">
      <w:pPr>
        <w:rPr>
          <w:rFonts w:hint="default"/>
          <w:lang w:val="en-US" w:eastAsia="zh-CN"/>
        </w:rPr>
      </w:pPr>
    </w:p>
    <w:p w14:paraId="3988BEC2">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3D7DC4DD">
      <w:pPr>
        <w:pStyle w:val="11"/>
        <w:rPr>
          <w:rFonts w:hint="default" w:ascii="Times New Roman" w:hAnsi="Times New Roman" w:cs="Times New Roman"/>
          <w:lang w:val="en-US" w:eastAsia="zh-CN"/>
        </w:rPr>
      </w:pPr>
      <w:r>
        <w:rPr>
          <w:rFonts w:hint="eastAsia" w:ascii="Times New Roman" w:hAnsi="Times New Roman" w:cs="Times New Roman"/>
          <w:b/>
          <w:bCs/>
          <w:sz w:val="24"/>
          <w:szCs w:val="24"/>
        </w:rPr>
        <w:t>Supplementary Information</w:t>
      </w:r>
      <w:r>
        <w:rPr>
          <w:rFonts w:hint="eastAsia" w:ascii="Times New Roman" w:hAnsi="Times New Roman" w:cs="Times New Roman"/>
          <w:b/>
          <w:bCs/>
          <w:sz w:val="24"/>
          <w:szCs w:val="24"/>
          <w:lang w:val="en-US" w:eastAsia="zh-CN"/>
        </w:rPr>
        <w:t xml:space="preserve"> </w:t>
      </w:r>
      <w:r>
        <w:rPr>
          <w:rFonts w:ascii="Times New Roman" w:hAnsi="Times New Roman" w:cs="Times New Roman"/>
          <w:b/>
          <w:bCs/>
          <w:sz w:val="24"/>
          <w:szCs w:val="24"/>
        </w:rPr>
        <w:t>References</w:t>
      </w:r>
    </w:p>
    <w:p w14:paraId="7B13AAB7">
      <w:pPr>
        <w:pStyle w:val="11"/>
        <w:bidi w:val="0"/>
        <w:ind w:left="720" w:hanging="720"/>
        <w:rPr>
          <w:rFonts w:hint="default" w:ascii="Calibri" w:hAnsi="Calibri" w:eastAsia="等线" w:cs="Calibri"/>
          <w:kern w:val="2"/>
          <w:sz w:val="20"/>
          <w:szCs w:val="24"/>
          <w:lang w:val="en-US" w:eastAsia="zh-CN" w:bidi="ar-SA"/>
        </w:rPr>
      </w:pPr>
      <w:r>
        <w:rPr>
          <w:rFonts w:hint="default"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ADDIN EN.REFLIST </w:instrText>
      </w:r>
      <w:r>
        <w:rPr>
          <w:rFonts w:hint="default" w:ascii="Times New Roman" w:hAnsi="Times New Roman" w:cs="Times New Roman"/>
          <w:lang w:val="en-US" w:eastAsia="zh-CN"/>
        </w:rPr>
        <w:fldChar w:fldCharType="separate"/>
      </w:r>
      <w:r>
        <w:rPr>
          <w:rFonts w:hint="default" w:ascii="Calibri" w:hAnsi="Calibri" w:eastAsia="等线" w:cs="Calibri"/>
          <w:kern w:val="2"/>
          <w:sz w:val="20"/>
          <w:szCs w:val="24"/>
          <w:lang w:val="en-US" w:eastAsia="zh-CN" w:bidi="ar-SA"/>
        </w:rPr>
        <w:t>1.</w:t>
      </w:r>
      <w:r>
        <w:rPr>
          <w:rFonts w:hint="default" w:ascii="Calibri" w:hAnsi="Calibri" w:eastAsia="等线" w:cs="Calibri"/>
          <w:kern w:val="2"/>
          <w:sz w:val="20"/>
          <w:szCs w:val="24"/>
          <w:lang w:val="en-US" w:eastAsia="zh-CN" w:bidi="ar-SA"/>
        </w:rPr>
        <w:tab/>
      </w:r>
      <w:r>
        <w:rPr>
          <w:rFonts w:hint="default" w:ascii="Calibri" w:hAnsi="Calibri" w:eastAsia="等线" w:cs="Calibri"/>
          <w:kern w:val="2"/>
          <w:sz w:val="20"/>
          <w:szCs w:val="24"/>
          <w:lang w:val="en-US" w:eastAsia="zh-CN" w:bidi="ar-SA"/>
        </w:rPr>
        <w:t xml:space="preserve">Landrum, G. RDKit: A software suite for cheminformatics, computational chemistry, and predictive modeling. </w:t>
      </w:r>
      <w:r>
        <w:rPr>
          <w:rFonts w:hint="default" w:ascii="Calibri" w:hAnsi="Calibri" w:eastAsia="等线" w:cs="Calibri"/>
          <w:b/>
          <w:kern w:val="2"/>
          <w:sz w:val="20"/>
          <w:szCs w:val="24"/>
          <w:lang w:val="en-US" w:eastAsia="zh-CN" w:bidi="ar-SA"/>
        </w:rPr>
        <w:fldChar w:fldCharType="begin"/>
      </w:r>
      <w:r>
        <w:rPr>
          <w:rFonts w:hint="default" w:ascii="Calibri" w:hAnsi="Calibri" w:eastAsia="等线" w:cs="Calibri"/>
          <w:b/>
          <w:kern w:val="2"/>
          <w:sz w:val="20"/>
          <w:szCs w:val="24"/>
          <w:lang w:val="en-US" w:eastAsia="zh-CN" w:bidi="ar-SA"/>
        </w:rPr>
        <w:instrText xml:space="preserve"> HYPERLINK "https://www.rdkit.org/" </w:instrText>
      </w:r>
      <w:r>
        <w:rPr>
          <w:rFonts w:hint="default" w:ascii="Calibri" w:hAnsi="Calibri" w:eastAsia="等线" w:cs="Calibri"/>
          <w:b/>
          <w:kern w:val="2"/>
          <w:sz w:val="20"/>
          <w:szCs w:val="24"/>
          <w:lang w:val="en-US" w:eastAsia="zh-CN" w:bidi="ar-SA"/>
        </w:rPr>
        <w:fldChar w:fldCharType="separate"/>
      </w:r>
      <w:r>
        <w:rPr>
          <w:rStyle w:val="9"/>
          <w:rFonts w:hint="default" w:ascii="Calibri" w:hAnsi="Calibri" w:eastAsia="等线" w:cs="Calibri"/>
          <w:b/>
          <w:kern w:val="2"/>
          <w:sz w:val="20"/>
          <w:szCs w:val="24"/>
          <w:lang w:val="en-US" w:eastAsia="zh-CN" w:bidi="ar-SA"/>
        </w:rPr>
        <w:t>https://www.rdkit.org/</w:t>
      </w:r>
      <w:r>
        <w:rPr>
          <w:rFonts w:hint="default" w:ascii="Calibri" w:hAnsi="Calibri" w:eastAsia="等线" w:cs="Calibri"/>
          <w:b/>
          <w:kern w:val="2"/>
          <w:sz w:val="20"/>
          <w:szCs w:val="24"/>
          <w:lang w:val="en-US" w:eastAsia="zh-CN" w:bidi="ar-SA"/>
        </w:rPr>
        <w:fldChar w:fldCharType="end"/>
      </w:r>
      <w:r>
        <w:rPr>
          <w:rFonts w:hint="default" w:ascii="Calibri" w:hAnsi="Calibri" w:eastAsia="等线" w:cs="Calibri"/>
          <w:kern w:val="2"/>
          <w:sz w:val="20"/>
          <w:szCs w:val="24"/>
          <w:lang w:val="en-US" w:eastAsia="zh-CN" w:bidi="ar-SA"/>
        </w:rPr>
        <w:t xml:space="preserve"> (2013).</w:t>
      </w:r>
    </w:p>
    <w:p w14:paraId="0C927F18">
      <w:pPr>
        <w:pStyle w:val="11"/>
        <w:bidi w:val="0"/>
        <w:ind w:left="720" w:hanging="720"/>
        <w:rPr>
          <w:rFonts w:hint="default" w:ascii="Calibri" w:hAnsi="Calibri" w:eastAsia="等线" w:cs="Calibri"/>
          <w:kern w:val="2"/>
          <w:sz w:val="20"/>
          <w:szCs w:val="24"/>
          <w:lang w:val="en-US" w:eastAsia="zh-CN" w:bidi="ar-SA"/>
        </w:rPr>
      </w:pPr>
      <w:r>
        <w:rPr>
          <w:rFonts w:hint="default" w:ascii="Calibri" w:hAnsi="Calibri" w:eastAsia="等线" w:cs="Calibri"/>
          <w:kern w:val="2"/>
          <w:sz w:val="20"/>
          <w:szCs w:val="24"/>
          <w:lang w:val="en-US" w:eastAsia="zh-CN" w:bidi="ar-SA"/>
        </w:rPr>
        <w:t>2.</w:t>
      </w:r>
      <w:r>
        <w:rPr>
          <w:rFonts w:hint="default" w:ascii="Calibri" w:hAnsi="Calibri" w:eastAsia="等线" w:cs="Calibri"/>
          <w:kern w:val="2"/>
          <w:sz w:val="20"/>
          <w:szCs w:val="24"/>
          <w:lang w:val="en-US" w:eastAsia="zh-CN" w:bidi="ar-SA"/>
        </w:rPr>
        <w:tab/>
      </w:r>
      <w:r>
        <w:rPr>
          <w:rFonts w:hint="default" w:ascii="Calibri" w:hAnsi="Calibri" w:eastAsia="等线" w:cs="Calibri"/>
          <w:kern w:val="2"/>
          <w:sz w:val="20"/>
          <w:szCs w:val="24"/>
          <w:lang w:val="en-US" w:eastAsia="zh-CN" w:bidi="ar-SA"/>
        </w:rPr>
        <w:t xml:space="preserve">Willett, P. Similarity-based virtual screening using 2D fingerprints. </w:t>
      </w:r>
      <w:r>
        <w:rPr>
          <w:rFonts w:hint="default" w:ascii="Calibri" w:hAnsi="Calibri" w:eastAsia="等线" w:cs="Calibri"/>
          <w:i/>
          <w:kern w:val="2"/>
          <w:sz w:val="20"/>
          <w:szCs w:val="24"/>
          <w:lang w:val="en-US" w:eastAsia="zh-CN" w:bidi="ar-SA"/>
        </w:rPr>
        <w:t>Drug Discovery Today</w:t>
      </w:r>
      <w:r>
        <w:rPr>
          <w:rFonts w:hint="default" w:ascii="Calibri" w:hAnsi="Calibri" w:eastAsia="等线" w:cs="Calibri"/>
          <w:kern w:val="2"/>
          <w:sz w:val="20"/>
          <w:szCs w:val="24"/>
          <w:lang w:val="en-US" w:eastAsia="zh-CN" w:bidi="ar-SA"/>
        </w:rPr>
        <w:t xml:space="preserve"> </w:t>
      </w:r>
      <w:r>
        <w:rPr>
          <w:rFonts w:hint="default" w:ascii="Calibri" w:hAnsi="Calibri" w:eastAsia="等线" w:cs="Calibri"/>
          <w:b/>
          <w:kern w:val="2"/>
          <w:sz w:val="20"/>
          <w:szCs w:val="24"/>
          <w:lang w:val="en-US" w:eastAsia="zh-CN" w:bidi="ar-SA"/>
        </w:rPr>
        <w:t>11</w:t>
      </w:r>
      <w:r>
        <w:rPr>
          <w:rFonts w:hint="default" w:ascii="Calibri" w:hAnsi="Calibri" w:eastAsia="等线" w:cs="Calibri"/>
          <w:kern w:val="2"/>
          <w:sz w:val="20"/>
          <w:szCs w:val="24"/>
          <w:lang w:val="en-US" w:eastAsia="zh-CN" w:bidi="ar-SA"/>
        </w:rPr>
        <w:t>, 1046-1053 (2006).</w:t>
      </w:r>
    </w:p>
    <w:p w14:paraId="06C70868">
      <w:pPr>
        <w:pStyle w:val="11"/>
        <w:bidi w:val="0"/>
        <w:ind w:left="720" w:hanging="720"/>
        <w:rPr>
          <w:rFonts w:hint="default" w:ascii="Calibri" w:hAnsi="Calibri" w:eastAsia="等线" w:cs="Calibri"/>
          <w:kern w:val="2"/>
          <w:sz w:val="20"/>
          <w:szCs w:val="24"/>
          <w:lang w:val="en-US" w:eastAsia="zh-CN" w:bidi="ar-SA"/>
        </w:rPr>
      </w:pPr>
      <w:r>
        <w:rPr>
          <w:rFonts w:hint="default" w:ascii="Calibri" w:hAnsi="Calibri" w:eastAsia="等线" w:cs="Calibri"/>
          <w:kern w:val="2"/>
          <w:sz w:val="20"/>
          <w:szCs w:val="24"/>
          <w:lang w:val="en-US" w:eastAsia="zh-CN" w:bidi="ar-SA"/>
        </w:rPr>
        <w:t>3.</w:t>
      </w:r>
      <w:r>
        <w:rPr>
          <w:rFonts w:hint="default" w:ascii="Calibri" w:hAnsi="Calibri" w:eastAsia="等线" w:cs="Calibri"/>
          <w:kern w:val="2"/>
          <w:sz w:val="20"/>
          <w:szCs w:val="24"/>
          <w:lang w:val="en-US" w:eastAsia="zh-CN" w:bidi="ar-SA"/>
        </w:rPr>
        <w:tab/>
      </w:r>
      <w:r>
        <w:rPr>
          <w:rFonts w:hint="default" w:ascii="Calibri" w:hAnsi="Calibri" w:eastAsia="等线" w:cs="Calibri"/>
          <w:kern w:val="2"/>
          <w:sz w:val="20"/>
          <w:szCs w:val="24"/>
          <w:lang w:val="en-US" w:eastAsia="zh-CN" w:bidi="ar-SA"/>
        </w:rPr>
        <w:t>Cereto-Massagué, A.</w:t>
      </w:r>
      <w:r>
        <w:rPr>
          <w:rFonts w:hint="default" w:ascii="Calibri" w:hAnsi="Calibri" w:eastAsia="等线" w:cs="Calibri"/>
          <w:i/>
          <w:kern w:val="2"/>
          <w:sz w:val="20"/>
          <w:szCs w:val="24"/>
          <w:lang w:val="en-US" w:eastAsia="zh-CN" w:bidi="ar-SA"/>
        </w:rPr>
        <w:t>, et al.</w:t>
      </w:r>
      <w:r>
        <w:rPr>
          <w:rFonts w:hint="default" w:ascii="Calibri" w:hAnsi="Calibri" w:eastAsia="等线" w:cs="Calibri"/>
          <w:kern w:val="2"/>
          <w:sz w:val="20"/>
          <w:szCs w:val="24"/>
          <w:lang w:val="en-US" w:eastAsia="zh-CN" w:bidi="ar-SA"/>
        </w:rPr>
        <w:t xml:space="preserve"> Molecular fingerprint similarity search in virtual screening. </w:t>
      </w:r>
      <w:r>
        <w:rPr>
          <w:rFonts w:hint="default" w:ascii="Calibri" w:hAnsi="Calibri" w:eastAsia="等线" w:cs="Calibri"/>
          <w:i/>
          <w:kern w:val="2"/>
          <w:sz w:val="20"/>
          <w:szCs w:val="24"/>
          <w:lang w:val="en-US" w:eastAsia="zh-CN" w:bidi="ar-SA"/>
        </w:rPr>
        <w:t>Methods</w:t>
      </w:r>
      <w:r>
        <w:rPr>
          <w:rFonts w:hint="default" w:ascii="Calibri" w:hAnsi="Calibri" w:eastAsia="等线" w:cs="Calibri"/>
          <w:kern w:val="2"/>
          <w:sz w:val="20"/>
          <w:szCs w:val="24"/>
          <w:lang w:val="en-US" w:eastAsia="zh-CN" w:bidi="ar-SA"/>
        </w:rPr>
        <w:t xml:space="preserve"> </w:t>
      </w:r>
      <w:r>
        <w:rPr>
          <w:rFonts w:hint="default" w:ascii="Calibri" w:hAnsi="Calibri" w:eastAsia="等线" w:cs="Calibri"/>
          <w:b/>
          <w:kern w:val="2"/>
          <w:sz w:val="20"/>
          <w:szCs w:val="24"/>
          <w:lang w:val="en-US" w:eastAsia="zh-CN" w:bidi="ar-SA"/>
        </w:rPr>
        <w:t>71</w:t>
      </w:r>
      <w:r>
        <w:rPr>
          <w:rFonts w:hint="default" w:ascii="Calibri" w:hAnsi="Calibri" w:eastAsia="等线" w:cs="Calibri"/>
          <w:kern w:val="2"/>
          <w:sz w:val="20"/>
          <w:szCs w:val="24"/>
          <w:lang w:val="en-US" w:eastAsia="zh-CN" w:bidi="ar-SA"/>
        </w:rPr>
        <w:t>, 58-63 (2015).</w:t>
      </w:r>
    </w:p>
    <w:p w14:paraId="45AC4244">
      <w:pPr>
        <w:pStyle w:val="11"/>
        <w:bidi w:val="0"/>
        <w:ind w:left="720" w:hanging="720"/>
        <w:rPr>
          <w:rFonts w:hint="default" w:ascii="Calibri" w:hAnsi="Calibri" w:eastAsia="等线" w:cs="Calibri"/>
          <w:kern w:val="2"/>
          <w:sz w:val="20"/>
          <w:szCs w:val="24"/>
          <w:lang w:val="en-US" w:eastAsia="zh-CN" w:bidi="ar-SA"/>
        </w:rPr>
      </w:pPr>
      <w:r>
        <w:rPr>
          <w:rFonts w:hint="default" w:ascii="Calibri" w:hAnsi="Calibri" w:eastAsia="等线" w:cs="Calibri"/>
          <w:kern w:val="2"/>
          <w:sz w:val="20"/>
          <w:szCs w:val="24"/>
          <w:lang w:val="en-US" w:eastAsia="zh-CN" w:bidi="ar-SA"/>
        </w:rPr>
        <w:t>4.</w:t>
      </w:r>
      <w:r>
        <w:rPr>
          <w:rFonts w:hint="default" w:ascii="Calibri" w:hAnsi="Calibri" w:eastAsia="等线" w:cs="Calibri"/>
          <w:kern w:val="2"/>
          <w:sz w:val="20"/>
          <w:szCs w:val="24"/>
          <w:lang w:val="en-US" w:eastAsia="zh-CN" w:bidi="ar-SA"/>
        </w:rPr>
        <w:tab/>
      </w:r>
      <w:r>
        <w:rPr>
          <w:rFonts w:hint="default" w:ascii="Calibri" w:hAnsi="Calibri" w:eastAsia="等线" w:cs="Calibri"/>
          <w:kern w:val="2"/>
          <w:sz w:val="20"/>
          <w:szCs w:val="24"/>
          <w:lang w:val="en-US" w:eastAsia="zh-CN" w:bidi="ar-SA"/>
        </w:rPr>
        <w:t>Edwards, C.</w:t>
      </w:r>
      <w:r>
        <w:rPr>
          <w:rFonts w:hint="default" w:ascii="Calibri" w:hAnsi="Calibri" w:eastAsia="等线" w:cs="Calibri"/>
          <w:i/>
          <w:kern w:val="2"/>
          <w:sz w:val="20"/>
          <w:szCs w:val="24"/>
          <w:lang w:val="en-US" w:eastAsia="zh-CN" w:bidi="ar-SA"/>
        </w:rPr>
        <w:t>, et al.</w:t>
      </w:r>
      <w:r>
        <w:rPr>
          <w:rFonts w:hint="default" w:ascii="Calibri" w:hAnsi="Calibri" w:eastAsia="等线" w:cs="Calibri"/>
          <w:kern w:val="2"/>
          <w:sz w:val="20"/>
          <w:szCs w:val="24"/>
          <w:lang w:val="en-US" w:eastAsia="zh-CN" w:bidi="ar-SA"/>
        </w:rPr>
        <w:t xml:space="preserve"> Translation between Molecules and Natural Language. in </w:t>
      </w:r>
      <w:r>
        <w:rPr>
          <w:rFonts w:hint="default" w:ascii="Calibri" w:hAnsi="Calibri" w:eastAsia="等线" w:cs="Calibri"/>
          <w:i/>
          <w:kern w:val="2"/>
          <w:sz w:val="20"/>
          <w:szCs w:val="24"/>
          <w:lang w:val="en-US" w:eastAsia="zh-CN" w:bidi="ar-SA"/>
        </w:rPr>
        <w:t>Proceedings of the 2022 Conference on Empirical Methods in Natural Language Processing</w:t>
      </w:r>
      <w:r>
        <w:rPr>
          <w:rFonts w:hint="default" w:ascii="Calibri" w:hAnsi="Calibri" w:eastAsia="等线" w:cs="Calibri"/>
          <w:kern w:val="2"/>
          <w:sz w:val="20"/>
          <w:szCs w:val="24"/>
          <w:lang w:val="en-US" w:eastAsia="zh-CN" w:bidi="ar-SA"/>
        </w:rPr>
        <w:t xml:space="preserve"> 375-413 (Association for Computational Linguistics, Abu Dhabi, United Arab Emirates, 2022).</w:t>
      </w:r>
    </w:p>
    <w:p w14:paraId="351B1940">
      <w:pPr>
        <w:pStyle w:val="11"/>
        <w:bidi w:val="0"/>
        <w:ind w:left="720" w:hanging="720"/>
        <w:rPr>
          <w:rFonts w:hint="default" w:ascii="Calibri" w:hAnsi="Calibri" w:eastAsia="等线" w:cs="Calibri"/>
          <w:kern w:val="2"/>
          <w:sz w:val="20"/>
          <w:szCs w:val="24"/>
          <w:lang w:val="en-US" w:eastAsia="zh-CN" w:bidi="ar-SA"/>
        </w:rPr>
      </w:pPr>
      <w:r>
        <w:rPr>
          <w:rFonts w:hint="default" w:ascii="Calibri" w:hAnsi="Calibri" w:eastAsia="等线" w:cs="Calibri"/>
          <w:kern w:val="2"/>
          <w:sz w:val="20"/>
          <w:szCs w:val="24"/>
          <w:lang w:val="en-US" w:eastAsia="zh-CN" w:bidi="ar-SA"/>
        </w:rPr>
        <w:t>5.</w:t>
      </w:r>
      <w:r>
        <w:rPr>
          <w:rFonts w:hint="default" w:ascii="Calibri" w:hAnsi="Calibri" w:eastAsia="等线" w:cs="Calibri"/>
          <w:kern w:val="2"/>
          <w:sz w:val="20"/>
          <w:szCs w:val="24"/>
          <w:lang w:val="en-US" w:eastAsia="zh-CN" w:bidi="ar-SA"/>
        </w:rPr>
        <w:tab/>
      </w:r>
      <w:r>
        <w:rPr>
          <w:rFonts w:hint="default" w:ascii="Calibri" w:hAnsi="Calibri" w:eastAsia="等线" w:cs="Calibri"/>
          <w:kern w:val="2"/>
          <w:sz w:val="20"/>
          <w:szCs w:val="24"/>
          <w:lang w:val="en-US" w:eastAsia="zh-CN" w:bidi="ar-SA"/>
        </w:rPr>
        <w:t>Pei, Q.</w:t>
      </w:r>
      <w:r>
        <w:rPr>
          <w:rFonts w:hint="default" w:ascii="Calibri" w:hAnsi="Calibri" w:eastAsia="等线" w:cs="Calibri"/>
          <w:i/>
          <w:kern w:val="2"/>
          <w:sz w:val="20"/>
          <w:szCs w:val="24"/>
          <w:lang w:val="en-US" w:eastAsia="zh-CN" w:bidi="ar-SA"/>
        </w:rPr>
        <w:t>, et al.</w:t>
      </w:r>
      <w:r>
        <w:rPr>
          <w:rFonts w:hint="default" w:ascii="Calibri" w:hAnsi="Calibri" w:eastAsia="等线" w:cs="Calibri"/>
          <w:kern w:val="2"/>
          <w:sz w:val="20"/>
          <w:szCs w:val="24"/>
          <w:lang w:val="en-US" w:eastAsia="zh-CN" w:bidi="ar-SA"/>
        </w:rPr>
        <w:t xml:space="preserve"> BioT5: Enriching Cross-modal Integration in Biology with Chemical Knowledge and Natural Language Associations. in </w:t>
      </w:r>
      <w:r>
        <w:rPr>
          <w:rFonts w:hint="default" w:ascii="Calibri" w:hAnsi="Calibri" w:eastAsia="等线" w:cs="Calibri"/>
          <w:i/>
          <w:kern w:val="2"/>
          <w:sz w:val="20"/>
          <w:szCs w:val="24"/>
          <w:lang w:val="en-US" w:eastAsia="zh-CN" w:bidi="ar-SA"/>
        </w:rPr>
        <w:t>Proceedings of the 2023 Conference on Empirical Methods in Natural Language Processing</w:t>
      </w:r>
      <w:r>
        <w:rPr>
          <w:rFonts w:hint="default" w:ascii="Calibri" w:hAnsi="Calibri" w:eastAsia="等线" w:cs="Calibri"/>
          <w:kern w:val="2"/>
          <w:sz w:val="20"/>
          <w:szCs w:val="24"/>
          <w:lang w:val="en-US" w:eastAsia="zh-CN" w:bidi="ar-SA"/>
        </w:rPr>
        <w:t xml:space="preserve"> 1102-1123 (Association for Computational Linguistics, 2023).</w:t>
      </w:r>
    </w:p>
    <w:p w14:paraId="6FADFAE9">
      <w:pPr>
        <w:pStyle w:val="11"/>
        <w:bidi w:val="0"/>
        <w:ind w:left="720" w:hanging="720"/>
        <w:rPr>
          <w:rFonts w:hint="default" w:ascii="Calibri" w:hAnsi="Calibri" w:eastAsia="等线" w:cs="Calibri"/>
          <w:kern w:val="2"/>
          <w:sz w:val="20"/>
          <w:szCs w:val="24"/>
          <w:lang w:val="en-US" w:eastAsia="zh-CN" w:bidi="ar-SA"/>
        </w:rPr>
      </w:pPr>
      <w:r>
        <w:rPr>
          <w:rFonts w:hint="default" w:ascii="Calibri" w:hAnsi="Calibri" w:eastAsia="等线" w:cs="Calibri"/>
          <w:kern w:val="2"/>
          <w:sz w:val="20"/>
          <w:szCs w:val="24"/>
          <w:lang w:val="en-US" w:eastAsia="zh-CN" w:bidi="ar-SA"/>
        </w:rPr>
        <w:t>6.</w:t>
      </w:r>
      <w:r>
        <w:rPr>
          <w:rFonts w:hint="default" w:ascii="Calibri" w:hAnsi="Calibri" w:eastAsia="等线" w:cs="Calibri"/>
          <w:kern w:val="2"/>
          <w:sz w:val="20"/>
          <w:szCs w:val="24"/>
          <w:lang w:val="en-US" w:eastAsia="zh-CN" w:bidi="ar-SA"/>
        </w:rPr>
        <w:tab/>
      </w:r>
      <w:r>
        <w:rPr>
          <w:rFonts w:hint="default" w:ascii="Calibri" w:hAnsi="Calibri" w:eastAsia="等线" w:cs="Calibri"/>
          <w:kern w:val="2"/>
          <w:sz w:val="20"/>
          <w:szCs w:val="24"/>
          <w:lang w:val="en-US" w:eastAsia="zh-CN" w:bidi="ar-SA"/>
        </w:rPr>
        <w:t xml:space="preserve">Lin, W. &amp; Fung, C.C.A. Rethinking the Masking Strategy for Pretraining Molecular Graphs from a Data-Centric View. </w:t>
      </w:r>
      <w:r>
        <w:rPr>
          <w:rFonts w:hint="default" w:ascii="Calibri" w:hAnsi="Calibri" w:eastAsia="等线" w:cs="Calibri"/>
          <w:i/>
          <w:kern w:val="2"/>
          <w:sz w:val="20"/>
          <w:szCs w:val="24"/>
          <w:lang w:val="en-US" w:eastAsia="zh-CN" w:bidi="ar-SA"/>
        </w:rPr>
        <w:t>ACS Omega</w:t>
      </w:r>
      <w:r>
        <w:rPr>
          <w:rFonts w:hint="default" w:ascii="Calibri" w:hAnsi="Calibri" w:eastAsia="等线" w:cs="Calibri"/>
          <w:kern w:val="2"/>
          <w:sz w:val="20"/>
          <w:szCs w:val="24"/>
          <w:lang w:val="en-US" w:eastAsia="zh-CN" w:bidi="ar-SA"/>
        </w:rPr>
        <w:t xml:space="preserve"> </w:t>
      </w:r>
      <w:r>
        <w:rPr>
          <w:rFonts w:hint="default" w:ascii="Calibri" w:hAnsi="Calibri" w:eastAsia="等线" w:cs="Calibri"/>
          <w:b/>
          <w:kern w:val="2"/>
          <w:sz w:val="20"/>
          <w:szCs w:val="24"/>
          <w:lang w:val="en-US" w:eastAsia="zh-CN" w:bidi="ar-SA"/>
        </w:rPr>
        <w:t>9</w:t>
      </w:r>
      <w:r>
        <w:rPr>
          <w:rFonts w:hint="default" w:ascii="Calibri" w:hAnsi="Calibri" w:eastAsia="等线" w:cs="Calibri"/>
          <w:kern w:val="2"/>
          <w:sz w:val="20"/>
          <w:szCs w:val="24"/>
          <w:lang w:val="en-US" w:eastAsia="zh-CN" w:bidi="ar-SA"/>
        </w:rPr>
        <w:t>, 20832-20838 (2024).</w:t>
      </w:r>
    </w:p>
    <w:p w14:paraId="6BD9E898">
      <w:pPr>
        <w:pStyle w:val="11"/>
        <w:bidi w:val="0"/>
        <w:ind w:left="720" w:hanging="720"/>
        <w:rPr>
          <w:rFonts w:hint="default" w:ascii="Calibri" w:hAnsi="Calibri" w:eastAsia="等线" w:cs="Calibri"/>
          <w:kern w:val="2"/>
          <w:sz w:val="20"/>
          <w:szCs w:val="24"/>
          <w:lang w:val="en-US" w:eastAsia="zh-CN" w:bidi="ar-SA"/>
        </w:rPr>
      </w:pPr>
      <w:r>
        <w:rPr>
          <w:rFonts w:hint="default" w:ascii="Calibri" w:hAnsi="Calibri" w:eastAsia="等线" w:cs="Calibri"/>
          <w:kern w:val="2"/>
          <w:sz w:val="20"/>
          <w:szCs w:val="24"/>
          <w:lang w:val="en-US" w:eastAsia="zh-CN" w:bidi="ar-SA"/>
        </w:rPr>
        <w:t>7.</w:t>
      </w:r>
      <w:r>
        <w:rPr>
          <w:rFonts w:hint="default" w:ascii="Calibri" w:hAnsi="Calibri" w:eastAsia="等线" w:cs="Calibri"/>
          <w:kern w:val="2"/>
          <w:sz w:val="20"/>
          <w:szCs w:val="24"/>
          <w:lang w:val="en-US" w:eastAsia="zh-CN" w:bidi="ar-SA"/>
        </w:rPr>
        <w:tab/>
      </w:r>
      <w:r>
        <w:rPr>
          <w:rFonts w:hint="default" w:ascii="Calibri" w:hAnsi="Calibri" w:eastAsia="等线" w:cs="Calibri"/>
          <w:kern w:val="2"/>
          <w:sz w:val="20"/>
          <w:szCs w:val="24"/>
          <w:lang w:val="en-US" w:eastAsia="zh-CN" w:bidi="ar-SA"/>
        </w:rPr>
        <w:t xml:space="preserve">Hu, Z., Dong, Y., Wang, K., Chang, K.-W. &amp; Sun, Y. GPT-GNN: Generative Pre-Training of Graph Neural Networks. in </w:t>
      </w:r>
      <w:r>
        <w:rPr>
          <w:rFonts w:hint="default" w:ascii="Calibri" w:hAnsi="Calibri" w:eastAsia="等线" w:cs="Calibri"/>
          <w:i/>
          <w:kern w:val="2"/>
          <w:sz w:val="20"/>
          <w:szCs w:val="24"/>
          <w:lang w:val="en-US" w:eastAsia="zh-CN" w:bidi="ar-SA"/>
        </w:rPr>
        <w:t>Proceedings of the 26th ACM SIGKDD Conference on Knowledge Discovery and Data Mining</w:t>
      </w:r>
      <w:r>
        <w:rPr>
          <w:rFonts w:hint="default" w:ascii="Calibri" w:hAnsi="Calibri" w:eastAsia="等线" w:cs="Calibri"/>
          <w:kern w:val="2"/>
          <w:sz w:val="20"/>
          <w:szCs w:val="24"/>
          <w:lang w:val="en-US" w:eastAsia="zh-CN" w:bidi="ar-SA"/>
        </w:rPr>
        <w:t xml:space="preserve"> (2020).</w:t>
      </w:r>
    </w:p>
    <w:p w14:paraId="0E558F36">
      <w:pPr>
        <w:pStyle w:val="11"/>
        <w:bidi w:val="0"/>
        <w:ind w:left="720" w:hanging="720"/>
        <w:rPr>
          <w:rFonts w:hint="default" w:ascii="Calibri" w:hAnsi="Calibri" w:eastAsia="等线" w:cs="Calibri"/>
          <w:kern w:val="2"/>
          <w:sz w:val="20"/>
          <w:szCs w:val="24"/>
          <w:lang w:val="en-US" w:eastAsia="zh-CN" w:bidi="ar-SA"/>
        </w:rPr>
      </w:pPr>
      <w:r>
        <w:rPr>
          <w:rFonts w:hint="default" w:ascii="Calibri" w:hAnsi="Calibri" w:eastAsia="等线" w:cs="Calibri"/>
          <w:kern w:val="2"/>
          <w:sz w:val="20"/>
          <w:szCs w:val="24"/>
          <w:lang w:val="en-US" w:eastAsia="zh-CN" w:bidi="ar-SA"/>
        </w:rPr>
        <w:t>8.</w:t>
      </w:r>
      <w:r>
        <w:rPr>
          <w:rFonts w:hint="default" w:ascii="Calibri" w:hAnsi="Calibri" w:eastAsia="等线" w:cs="Calibri"/>
          <w:kern w:val="2"/>
          <w:sz w:val="20"/>
          <w:szCs w:val="24"/>
          <w:lang w:val="en-US" w:eastAsia="zh-CN" w:bidi="ar-SA"/>
        </w:rPr>
        <w:tab/>
      </w:r>
      <w:r>
        <w:rPr>
          <w:rFonts w:hint="default" w:ascii="Calibri" w:hAnsi="Calibri" w:eastAsia="等线" w:cs="Calibri"/>
          <w:kern w:val="2"/>
          <w:sz w:val="20"/>
          <w:szCs w:val="24"/>
          <w:lang w:val="en-US" w:eastAsia="zh-CN" w:bidi="ar-SA"/>
        </w:rPr>
        <w:t>You, Y.</w:t>
      </w:r>
      <w:r>
        <w:rPr>
          <w:rFonts w:hint="default" w:ascii="Calibri" w:hAnsi="Calibri" w:eastAsia="等线" w:cs="Calibri"/>
          <w:i/>
          <w:kern w:val="2"/>
          <w:sz w:val="20"/>
          <w:szCs w:val="24"/>
          <w:lang w:val="en-US" w:eastAsia="zh-CN" w:bidi="ar-SA"/>
        </w:rPr>
        <w:t>, et al.</w:t>
      </w:r>
      <w:r>
        <w:rPr>
          <w:rFonts w:hint="default" w:ascii="Calibri" w:hAnsi="Calibri" w:eastAsia="等线" w:cs="Calibri"/>
          <w:kern w:val="2"/>
          <w:sz w:val="20"/>
          <w:szCs w:val="24"/>
          <w:lang w:val="en-US" w:eastAsia="zh-CN" w:bidi="ar-SA"/>
        </w:rPr>
        <w:t xml:space="preserve"> Graph Contrastive Learning with Augmentations. in </w:t>
      </w:r>
      <w:r>
        <w:rPr>
          <w:rFonts w:hint="default" w:ascii="Calibri" w:hAnsi="Calibri" w:eastAsia="等线" w:cs="Calibri"/>
          <w:i/>
          <w:kern w:val="2"/>
          <w:sz w:val="20"/>
          <w:szCs w:val="24"/>
          <w:lang w:val="en-US" w:eastAsia="zh-CN" w:bidi="ar-SA"/>
        </w:rPr>
        <w:t>Advances in Neural Information Processing Systems</w:t>
      </w:r>
      <w:r>
        <w:rPr>
          <w:rFonts w:hint="default" w:ascii="Calibri" w:hAnsi="Calibri" w:eastAsia="等线" w:cs="Calibri"/>
          <w:kern w:val="2"/>
          <w:sz w:val="20"/>
          <w:szCs w:val="24"/>
          <w:lang w:val="en-US" w:eastAsia="zh-CN" w:bidi="ar-SA"/>
        </w:rPr>
        <w:t>, Vol. 33 (eds. Larochelle, H., Ranzato, M., Hadsell, R., Balcan, M.F. &amp; Lin, H.) 5812-5823 (Curran Associates, Inc., 2020).</w:t>
      </w:r>
    </w:p>
    <w:p w14:paraId="119ED56E">
      <w:pPr>
        <w:pStyle w:val="11"/>
        <w:bidi w:val="0"/>
        <w:ind w:left="720" w:hanging="720"/>
        <w:rPr>
          <w:rFonts w:hint="default" w:ascii="Calibri" w:hAnsi="Calibri" w:eastAsia="等线" w:cs="Calibri"/>
          <w:kern w:val="2"/>
          <w:sz w:val="20"/>
          <w:szCs w:val="24"/>
          <w:lang w:val="en-US" w:eastAsia="zh-CN" w:bidi="ar-SA"/>
        </w:rPr>
      </w:pPr>
      <w:r>
        <w:rPr>
          <w:rFonts w:hint="default" w:ascii="Calibri" w:hAnsi="Calibri" w:eastAsia="等线" w:cs="Calibri"/>
          <w:kern w:val="2"/>
          <w:sz w:val="20"/>
          <w:szCs w:val="24"/>
          <w:lang w:val="en-US" w:eastAsia="zh-CN" w:bidi="ar-SA"/>
        </w:rPr>
        <w:t>9.</w:t>
      </w:r>
      <w:r>
        <w:rPr>
          <w:rFonts w:hint="default" w:ascii="Calibri" w:hAnsi="Calibri" w:eastAsia="等线" w:cs="Calibri"/>
          <w:kern w:val="2"/>
          <w:sz w:val="20"/>
          <w:szCs w:val="24"/>
          <w:lang w:val="en-US" w:eastAsia="zh-CN" w:bidi="ar-SA"/>
        </w:rPr>
        <w:tab/>
      </w:r>
      <w:r>
        <w:rPr>
          <w:rFonts w:hint="default" w:ascii="Calibri" w:hAnsi="Calibri" w:eastAsia="等线" w:cs="Calibri"/>
          <w:kern w:val="2"/>
          <w:sz w:val="20"/>
          <w:szCs w:val="24"/>
          <w:lang w:val="en-US" w:eastAsia="zh-CN" w:bidi="ar-SA"/>
        </w:rPr>
        <w:t xml:space="preserve">Wang, Y., Wang, J., Cao, Z. &amp; Barati Farimani, A. Molecular contrastive learning of representations via graph neural networks. </w:t>
      </w:r>
      <w:r>
        <w:rPr>
          <w:rFonts w:hint="default" w:ascii="Calibri" w:hAnsi="Calibri" w:eastAsia="等线" w:cs="Calibri"/>
          <w:i/>
          <w:kern w:val="2"/>
          <w:sz w:val="20"/>
          <w:szCs w:val="24"/>
          <w:lang w:val="en-US" w:eastAsia="zh-CN" w:bidi="ar-SA"/>
        </w:rPr>
        <w:t>Nature Machine Intelligence</w:t>
      </w:r>
      <w:r>
        <w:rPr>
          <w:rFonts w:hint="default" w:ascii="Calibri" w:hAnsi="Calibri" w:eastAsia="等线" w:cs="Calibri"/>
          <w:kern w:val="2"/>
          <w:sz w:val="20"/>
          <w:szCs w:val="24"/>
          <w:lang w:val="en-US" w:eastAsia="zh-CN" w:bidi="ar-SA"/>
        </w:rPr>
        <w:t xml:space="preserve"> </w:t>
      </w:r>
      <w:r>
        <w:rPr>
          <w:rFonts w:hint="default" w:ascii="Calibri" w:hAnsi="Calibri" w:eastAsia="等线" w:cs="Calibri"/>
          <w:b/>
          <w:kern w:val="2"/>
          <w:sz w:val="20"/>
          <w:szCs w:val="24"/>
          <w:lang w:val="en-US" w:eastAsia="zh-CN" w:bidi="ar-SA"/>
        </w:rPr>
        <w:t>4</w:t>
      </w:r>
      <w:r>
        <w:rPr>
          <w:rFonts w:hint="default" w:ascii="Calibri" w:hAnsi="Calibri" w:eastAsia="等线" w:cs="Calibri"/>
          <w:kern w:val="2"/>
          <w:sz w:val="20"/>
          <w:szCs w:val="24"/>
          <w:lang w:val="en-US" w:eastAsia="zh-CN" w:bidi="ar-SA"/>
        </w:rPr>
        <w:t>, 279-287 (2022).</w:t>
      </w:r>
    </w:p>
    <w:p w14:paraId="2C78C4BF">
      <w:pPr>
        <w:pStyle w:val="11"/>
        <w:bidi w:val="0"/>
        <w:ind w:left="720" w:hanging="720"/>
        <w:rPr>
          <w:rFonts w:hint="default" w:ascii="Calibri" w:hAnsi="Calibri" w:eastAsia="等线" w:cs="Calibri"/>
          <w:kern w:val="2"/>
          <w:sz w:val="20"/>
          <w:szCs w:val="24"/>
          <w:lang w:val="en-US" w:eastAsia="zh-CN" w:bidi="ar-SA"/>
        </w:rPr>
      </w:pPr>
      <w:r>
        <w:rPr>
          <w:rFonts w:hint="default" w:ascii="Calibri" w:hAnsi="Calibri" w:eastAsia="等线" w:cs="Calibri"/>
          <w:kern w:val="2"/>
          <w:sz w:val="20"/>
          <w:szCs w:val="24"/>
          <w:lang w:val="en-US" w:eastAsia="zh-CN" w:bidi="ar-SA"/>
        </w:rPr>
        <w:t>10.</w:t>
      </w:r>
      <w:r>
        <w:rPr>
          <w:rFonts w:hint="default" w:ascii="Calibri" w:hAnsi="Calibri" w:eastAsia="等线" w:cs="Calibri"/>
          <w:kern w:val="2"/>
          <w:sz w:val="20"/>
          <w:szCs w:val="24"/>
          <w:lang w:val="en-US" w:eastAsia="zh-CN" w:bidi="ar-SA"/>
        </w:rPr>
        <w:tab/>
      </w:r>
      <w:r>
        <w:rPr>
          <w:rFonts w:hint="default" w:ascii="Calibri" w:hAnsi="Calibri" w:eastAsia="等线" w:cs="Calibri"/>
          <w:kern w:val="2"/>
          <w:sz w:val="20"/>
          <w:szCs w:val="24"/>
          <w:lang w:val="en-US" w:eastAsia="zh-CN" w:bidi="ar-SA"/>
        </w:rPr>
        <w:t>Liu, S.</w:t>
      </w:r>
      <w:r>
        <w:rPr>
          <w:rFonts w:hint="default" w:ascii="Calibri" w:hAnsi="Calibri" w:eastAsia="等线" w:cs="Calibri"/>
          <w:i/>
          <w:kern w:val="2"/>
          <w:sz w:val="20"/>
          <w:szCs w:val="24"/>
          <w:lang w:val="en-US" w:eastAsia="zh-CN" w:bidi="ar-SA"/>
        </w:rPr>
        <w:t>, et al.</w:t>
      </w:r>
      <w:r>
        <w:rPr>
          <w:rFonts w:hint="default" w:ascii="Calibri" w:hAnsi="Calibri" w:eastAsia="等线" w:cs="Calibri"/>
          <w:kern w:val="2"/>
          <w:sz w:val="20"/>
          <w:szCs w:val="24"/>
          <w:lang w:val="en-US" w:eastAsia="zh-CN" w:bidi="ar-SA"/>
        </w:rPr>
        <w:t xml:space="preserve"> Pre-training Molecular Graph Representation with 3D Geometry. in </w:t>
      </w:r>
      <w:r>
        <w:rPr>
          <w:rFonts w:hint="default" w:ascii="Calibri" w:hAnsi="Calibri" w:eastAsia="等线" w:cs="Calibri"/>
          <w:i/>
          <w:kern w:val="2"/>
          <w:sz w:val="20"/>
          <w:szCs w:val="24"/>
          <w:lang w:val="en-US" w:eastAsia="zh-CN" w:bidi="ar-SA"/>
        </w:rPr>
        <w:t>International Conference on Learning Representations</w:t>
      </w:r>
      <w:r>
        <w:rPr>
          <w:rFonts w:hint="default" w:ascii="Calibri" w:hAnsi="Calibri" w:eastAsia="等线" w:cs="Calibri"/>
          <w:kern w:val="2"/>
          <w:sz w:val="20"/>
          <w:szCs w:val="24"/>
          <w:lang w:val="en-US" w:eastAsia="zh-CN" w:bidi="ar-SA"/>
        </w:rPr>
        <w:t xml:space="preserve"> (2022).</w:t>
      </w:r>
    </w:p>
    <w:p w14:paraId="7ABF49FF">
      <w:pPr>
        <w:pStyle w:val="11"/>
        <w:bidi w:val="0"/>
        <w:ind w:left="720" w:hanging="720"/>
        <w:rPr>
          <w:rFonts w:hint="default" w:ascii="Calibri" w:hAnsi="Calibri" w:eastAsia="等线" w:cs="Calibri"/>
          <w:kern w:val="2"/>
          <w:sz w:val="20"/>
          <w:szCs w:val="24"/>
          <w:lang w:val="en-US" w:eastAsia="zh-CN" w:bidi="ar-SA"/>
        </w:rPr>
      </w:pPr>
      <w:r>
        <w:rPr>
          <w:rFonts w:hint="default" w:ascii="Calibri" w:hAnsi="Calibri" w:eastAsia="等线" w:cs="Calibri"/>
          <w:kern w:val="2"/>
          <w:sz w:val="20"/>
          <w:szCs w:val="24"/>
          <w:lang w:val="en-US" w:eastAsia="zh-CN" w:bidi="ar-SA"/>
        </w:rPr>
        <w:t>11.</w:t>
      </w:r>
      <w:r>
        <w:rPr>
          <w:rFonts w:hint="default" w:ascii="Calibri" w:hAnsi="Calibri" w:eastAsia="等线" w:cs="Calibri"/>
          <w:kern w:val="2"/>
          <w:sz w:val="20"/>
          <w:szCs w:val="24"/>
          <w:lang w:val="en-US" w:eastAsia="zh-CN" w:bidi="ar-SA"/>
        </w:rPr>
        <w:tab/>
      </w:r>
      <w:r>
        <w:rPr>
          <w:rFonts w:hint="default" w:ascii="Calibri" w:hAnsi="Calibri" w:eastAsia="等线" w:cs="Calibri"/>
          <w:kern w:val="2"/>
          <w:sz w:val="20"/>
          <w:szCs w:val="24"/>
          <w:lang w:val="en-US" w:eastAsia="zh-CN" w:bidi="ar-SA"/>
        </w:rPr>
        <w:t>Rong, Y.</w:t>
      </w:r>
      <w:r>
        <w:rPr>
          <w:rFonts w:hint="default" w:ascii="Calibri" w:hAnsi="Calibri" w:eastAsia="等线" w:cs="Calibri"/>
          <w:i/>
          <w:kern w:val="2"/>
          <w:sz w:val="20"/>
          <w:szCs w:val="24"/>
          <w:lang w:val="en-US" w:eastAsia="zh-CN" w:bidi="ar-SA"/>
        </w:rPr>
        <w:t>, et al.</w:t>
      </w:r>
      <w:r>
        <w:rPr>
          <w:rFonts w:hint="default" w:ascii="Calibri" w:hAnsi="Calibri" w:eastAsia="等线" w:cs="Calibri"/>
          <w:kern w:val="2"/>
          <w:sz w:val="20"/>
          <w:szCs w:val="24"/>
          <w:lang w:val="en-US" w:eastAsia="zh-CN" w:bidi="ar-SA"/>
        </w:rPr>
        <w:t xml:space="preserve"> Self-Supervised Graph Transformer on Large-Scale Molecular Data. </w:t>
      </w:r>
      <w:r>
        <w:rPr>
          <w:rFonts w:hint="default" w:ascii="Calibri" w:hAnsi="Calibri" w:eastAsia="等线" w:cs="Calibri"/>
          <w:i/>
          <w:kern w:val="2"/>
          <w:sz w:val="20"/>
          <w:szCs w:val="24"/>
          <w:lang w:val="en-US" w:eastAsia="zh-CN" w:bidi="ar-SA"/>
        </w:rPr>
        <w:t>Advances in Neural Information Processing Systems</w:t>
      </w:r>
      <w:r>
        <w:rPr>
          <w:rFonts w:hint="default" w:ascii="Calibri" w:hAnsi="Calibri" w:eastAsia="等线" w:cs="Calibri"/>
          <w:kern w:val="2"/>
          <w:sz w:val="20"/>
          <w:szCs w:val="24"/>
          <w:lang w:val="en-US" w:eastAsia="zh-CN" w:bidi="ar-SA"/>
        </w:rPr>
        <w:t xml:space="preserve"> </w:t>
      </w:r>
      <w:r>
        <w:rPr>
          <w:rFonts w:hint="default" w:ascii="Calibri" w:hAnsi="Calibri" w:eastAsia="等线" w:cs="Calibri"/>
          <w:b/>
          <w:kern w:val="2"/>
          <w:sz w:val="20"/>
          <w:szCs w:val="24"/>
          <w:lang w:val="en-US" w:eastAsia="zh-CN" w:bidi="ar-SA"/>
        </w:rPr>
        <w:t>33</w:t>
      </w:r>
      <w:r>
        <w:rPr>
          <w:rFonts w:hint="default" w:ascii="Calibri" w:hAnsi="Calibri" w:eastAsia="等线" w:cs="Calibri"/>
          <w:kern w:val="2"/>
          <w:sz w:val="20"/>
          <w:szCs w:val="24"/>
          <w:lang w:val="en-US" w:eastAsia="zh-CN" w:bidi="ar-SA"/>
        </w:rPr>
        <w:t>(2020).</w:t>
      </w:r>
    </w:p>
    <w:p w14:paraId="7DA5E7DC">
      <w:pPr>
        <w:pStyle w:val="11"/>
        <w:bidi w:val="0"/>
        <w:ind w:left="720" w:hanging="720"/>
        <w:rPr>
          <w:rFonts w:hint="default" w:ascii="Calibri" w:hAnsi="Calibri" w:eastAsia="等线" w:cs="Calibri"/>
          <w:kern w:val="2"/>
          <w:sz w:val="20"/>
          <w:szCs w:val="24"/>
          <w:lang w:val="en-US" w:eastAsia="zh-CN" w:bidi="ar-SA"/>
        </w:rPr>
      </w:pPr>
      <w:r>
        <w:rPr>
          <w:rFonts w:hint="default" w:ascii="Calibri" w:hAnsi="Calibri" w:eastAsia="等线" w:cs="Calibri"/>
          <w:kern w:val="2"/>
          <w:sz w:val="20"/>
          <w:szCs w:val="24"/>
          <w:lang w:val="en-US" w:eastAsia="zh-CN" w:bidi="ar-SA"/>
        </w:rPr>
        <w:t>12.</w:t>
      </w:r>
      <w:r>
        <w:rPr>
          <w:rFonts w:hint="default" w:ascii="Calibri" w:hAnsi="Calibri" w:eastAsia="等线" w:cs="Calibri"/>
          <w:kern w:val="2"/>
          <w:sz w:val="20"/>
          <w:szCs w:val="24"/>
          <w:lang w:val="en-US" w:eastAsia="zh-CN" w:bidi="ar-SA"/>
        </w:rPr>
        <w:tab/>
      </w:r>
      <w:r>
        <w:rPr>
          <w:rFonts w:hint="default" w:ascii="Calibri" w:hAnsi="Calibri" w:eastAsia="等线" w:cs="Calibri"/>
          <w:kern w:val="2"/>
          <w:sz w:val="20"/>
          <w:szCs w:val="24"/>
          <w:lang w:val="en-US" w:eastAsia="zh-CN" w:bidi="ar-SA"/>
        </w:rPr>
        <w:t xml:space="preserve">Raghav, S.S., Kumar, S.T., Balaji, R., Sanjay, M. &amp; Shunmuga, C. Interactive Symbolic Regression - A Study on Noise Sensitivity and Extrapolation Accuracy. in </w:t>
      </w:r>
      <w:r>
        <w:rPr>
          <w:rFonts w:hint="default" w:ascii="Calibri" w:hAnsi="Calibri" w:eastAsia="等线" w:cs="Calibri"/>
          <w:i/>
          <w:kern w:val="2"/>
          <w:sz w:val="20"/>
          <w:szCs w:val="24"/>
          <w:lang w:val="en-US" w:eastAsia="zh-CN" w:bidi="ar-SA"/>
        </w:rPr>
        <w:t>Proceedings of the Genetic and Evolutionary Computation Conference Companion</w:t>
      </w:r>
      <w:r>
        <w:rPr>
          <w:rFonts w:hint="default" w:ascii="Calibri" w:hAnsi="Calibri" w:eastAsia="等线" w:cs="Calibri"/>
          <w:kern w:val="2"/>
          <w:sz w:val="20"/>
          <w:szCs w:val="24"/>
          <w:lang w:val="en-US" w:eastAsia="zh-CN" w:bidi="ar-SA"/>
        </w:rPr>
        <w:t xml:space="preserve"> 2076–2082 (Association for Computing Machinery, Melbourne, VIC, Australia, 2024).</w:t>
      </w:r>
    </w:p>
    <w:p w14:paraId="5F86685A">
      <w:pPr>
        <w:pStyle w:val="11"/>
        <w:bidi w:val="0"/>
        <w:ind w:left="720" w:hanging="720"/>
        <w:rPr>
          <w:rFonts w:hint="default" w:ascii="Calibri" w:hAnsi="Calibri" w:eastAsia="等线" w:cs="Calibri"/>
          <w:kern w:val="2"/>
          <w:sz w:val="20"/>
          <w:szCs w:val="24"/>
          <w:lang w:val="en-US" w:eastAsia="zh-CN" w:bidi="ar-SA"/>
        </w:rPr>
      </w:pPr>
      <w:r>
        <w:rPr>
          <w:rFonts w:hint="default" w:ascii="Calibri" w:hAnsi="Calibri" w:eastAsia="等线" w:cs="Calibri"/>
          <w:kern w:val="2"/>
          <w:sz w:val="20"/>
          <w:szCs w:val="24"/>
          <w:lang w:val="en-US" w:eastAsia="zh-CN" w:bidi="ar-SA"/>
        </w:rPr>
        <w:t>13.</w:t>
      </w:r>
      <w:r>
        <w:rPr>
          <w:rFonts w:hint="default" w:ascii="Calibri" w:hAnsi="Calibri" w:eastAsia="等线" w:cs="Calibri"/>
          <w:kern w:val="2"/>
          <w:sz w:val="20"/>
          <w:szCs w:val="24"/>
          <w:lang w:val="en-US" w:eastAsia="zh-CN" w:bidi="ar-SA"/>
        </w:rPr>
        <w:tab/>
      </w:r>
      <w:r>
        <w:rPr>
          <w:rFonts w:hint="default" w:ascii="Calibri" w:hAnsi="Calibri" w:eastAsia="等线" w:cs="Calibri"/>
          <w:kern w:val="2"/>
          <w:sz w:val="20"/>
          <w:szCs w:val="24"/>
          <w:lang w:val="en-US" w:eastAsia="zh-CN" w:bidi="ar-SA"/>
        </w:rPr>
        <w:t>Pedregosa, F.</w:t>
      </w:r>
      <w:r>
        <w:rPr>
          <w:rFonts w:hint="default" w:ascii="Calibri" w:hAnsi="Calibri" w:eastAsia="等线" w:cs="Calibri"/>
          <w:i/>
          <w:kern w:val="2"/>
          <w:sz w:val="20"/>
          <w:szCs w:val="24"/>
          <w:lang w:val="en-US" w:eastAsia="zh-CN" w:bidi="ar-SA"/>
        </w:rPr>
        <w:t>, et al.</w:t>
      </w:r>
      <w:r>
        <w:rPr>
          <w:rFonts w:hint="default" w:ascii="Calibri" w:hAnsi="Calibri" w:eastAsia="等线" w:cs="Calibri"/>
          <w:kern w:val="2"/>
          <w:sz w:val="20"/>
          <w:szCs w:val="24"/>
          <w:lang w:val="en-US" w:eastAsia="zh-CN" w:bidi="ar-SA"/>
        </w:rPr>
        <w:t xml:space="preserve"> Scikit-learn: Machine Learning in Python. </w:t>
      </w:r>
      <w:r>
        <w:rPr>
          <w:rFonts w:hint="default" w:ascii="Calibri" w:hAnsi="Calibri" w:eastAsia="等线" w:cs="Calibri"/>
          <w:b/>
          <w:kern w:val="2"/>
          <w:sz w:val="20"/>
          <w:szCs w:val="24"/>
          <w:lang w:val="en-US" w:eastAsia="zh-CN" w:bidi="ar-SA"/>
        </w:rPr>
        <w:t>12</w:t>
      </w:r>
      <w:r>
        <w:rPr>
          <w:rFonts w:hint="default" w:ascii="Calibri" w:hAnsi="Calibri" w:eastAsia="等线" w:cs="Calibri"/>
          <w:kern w:val="2"/>
          <w:sz w:val="20"/>
          <w:szCs w:val="24"/>
          <w:lang w:val="en-US" w:eastAsia="zh-CN" w:bidi="ar-SA"/>
        </w:rPr>
        <w:t>, 2825–2830 (2011).</w:t>
      </w:r>
    </w:p>
    <w:p w14:paraId="74E0C710">
      <w:pPr>
        <w:pStyle w:val="11"/>
        <w:bidi w:val="0"/>
        <w:ind w:left="720" w:hanging="720"/>
        <w:rPr>
          <w:rFonts w:hint="default" w:ascii="Calibri" w:hAnsi="Calibri" w:eastAsia="等线" w:cs="Calibri"/>
          <w:kern w:val="2"/>
          <w:sz w:val="20"/>
          <w:szCs w:val="24"/>
          <w:lang w:val="en-US" w:eastAsia="zh-CN" w:bidi="ar-SA"/>
        </w:rPr>
      </w:pPr>
      <w:r>
        <w:rPr>
          <w:rFonts w:hint="default" w:ascii="Calibri" w:hAnsi="Calibri" w:eastAsia="等线" w:cs="Calibri"/>
          <w:kern w:val="2"/>
          <w:sz w:val="20"/>
          <w:szCs w:val="24"/>
          <w:lang w:val="en-US" w:eastAsia="zh-CN" w:bidi="ar-SA"/>
        </w:rPr>
        <w:t>14.</w:t>
      </w:r>
      <w:r>
        <w:rPr>
          <w:rFonts w:hint="default" w:ascii="Calibri" w:hAnsi="Calibri" w:eastAsia="等线" w:cs="Calibri"/>
          <w:kern w:val="2"/>
          <w:sz w:val="20"/>
          <w:szCs w:val="24"/>
          <w:lang w:val="en-US" w:eastAsia="zh-CN" w:bidi="ar-SA"/>
        </w:rPr>
        <w:tab/>
      </w:r>
      <w:r>
        <w:rPr>
          <w:rFonts w:hint="default" w:ascii="Calibri" w:hAnsi="Calibri" w:eastAsia="等线" w:cs="Calibri"/>
          <w:kern w:val="2"/>
          <w:sz w:val="20"/>
          <w:szCs w:val="24"/>
          <w:lang w:val="en-US" w:eastAsia="zh-CN" w:bidi="ar-SA"/>
        </w:rPr>
        <w:t xml:space="preserve">Lai, H., Huang, T., Lu, B., Zhang, S. &amp; Xiaog, R. Silhouette coefficient-based weighting k-means algorithm. </w:t>
      </w:r>
      <w:r>
        <w:rPr>
          <w:rFonts w:hint="default" w:ascii="Calibri" w:hAnsi="Calibri" w:eastAsia="等线" w:cs="Calibri"/>
          <w:i/>
          <w:kern w:val="2"/>
          <w:sz w:val="20"/>
          <w:szCs w:val="24"/>
          <w:lang w:val="en-US" w:eastAsia="zh-CN" w:bidi="ar-SA"/>
        </w:rPr>
        <w:t>Neural Computing and Applications</w:t>
      </w:r>
      <w:r>
        <w:rPr>
          <w:rFonts w:hint="default" w:ascii="Calibri" w:hAnsi="Calibri" w:eastAsia="等线" w:cs="Calibri"/>
          <w:kern w:val="2"/>
          <w:sz w:val="20"/>
          <w:szCs w:val="24"/>
          <w:lang w:val="en-US" w:eastAsia="zh-CN" w:bidi="ar-SA"/>
        </w:rPr>
        <w:t xml:space="preserve"> </w:t>
      </w:r>
      <w:r>
        <w:rPr>
          <w:rFonts w:hint="default" w:ascii="Calibri" w:hAnsi="Calibri" w:eastAsia="等线" w:cs="Calibri"/>
          <w:b/>
          <w:kern w:val="2"/>
          <w:sz w:val="20"/>
          <w:szCs w:val="24"/>
          <w:lang w:val="en-US" w:eastAsia="zh-CN" w:bidi="ar-SA"/>
        </w:rPr>
        <w:t>37</w:t>
      </w:r>
      <w:r>
        <w:rPr>
          <w:rFonts w:hint="default" w:ascii="Calibri" w:hAnsi="Calibri" w:eastAsia="等线" w:cs="Calibri"/>
          <w:kern w:val="2"/>
          <w:sz w:val="20"/>
          <w:szCs w:val="24"/>
          <w:lang w:val="en-US" w:eastAsia="zh-CN" w:bidi="ar-SA"/>
        </w:rPr>
        <w:t>, 3061-3075 (2025).</w:t>
      </w:r>
    </w:p>
    <w:p w14:paraId="2BEDBEC0">
      <w:pPr>
        <w:pStyle w:val="11"/>
        <w:bidi w:val="0"/>
        <w:ind w:left="720" w:hanging="720"/>
        <w:rPr>
          <w:rFonts w:hint="default" w:ascii="Calibri" w:hAnsi="Calibri" w:eastAsia="等线" w:cs="Calibri"/>
          <w:kern w:val="2"/>
          <w:sz w:val="20"/>
          <w:szCs w:val="24"/>
          <w:lang w:val="en-US" w:eastAsia="zh-CN" w:bidi="ar-SA"/>
        </w:rPr>
      </w:pPr>
      <w:r>
        <w:rPr>
          <w:rFonts w:hint="default" w:ascii="Calibri" w:hAnsi="Calibri" w:eastAsia="等线" w:cs="Calibri"/>
          <w:kern w:val="2"/>
          <w:sz w:val="20"/>
          <w:szCs w:val="24"/>
          <w:lang w:val="en-US" w:eastAsia="zh-CN" w:bidi="ar-SA"/>
        </w:rPr>
        <w:t>15.</w:t>
      </w:r>
      <w:r>
        <w:rPr>
          <w:rFonts w:hint="default" w:ascii="Calibri" w:hAnsi="Calibri" w:eastAsia="等线" w:cs="Calibri"/>
          <w:kern w:val="2"/>
          <w:sz w:val="20"/>
          <w:szCs w:val="24"/>
          <w:lang w:val="en-US" w:eastAsia="zh-CN" w:bidi="ar-SA"/>
        </w:rPr>
        <w:tab/>
      </w:r>
      <w:r>
        <w:rPr>
          <w:rFonts w:hint="default" w:ascii="Calibri" w:hAnsi="Calibri" w:eastAsia="等线" w:cs="Calibri"/>
          <w:kern w:val="2"/>
          <w:sz w:val="20"/>
          <w:szCs w:val="24"/>
          <w:lang w:val="en-US" w:eastAsia="zh-CN" w:bidi="ar-SA"/>
        </w:rPr>
        <w:t xml:space="preserve">Xiao, J., Lu, J. &amp; Li, X. Davies Bouldin Index based hierarchical initialization K-means. </w:t>
      </w:r>
      <w:r>
        <w:rPr>
          <w:rFonts w:hint="default" w:ascii="Calibri" w:hAnsi="Calibri" w:eastAsia="等线" w:cs="Calibri"/>
          <w:i/>
          <w:kern w:val="2"/>
          <w:sz w:val="20"/>
          <w:szCs w:val="24"/>
          <w:lang w:val="en-US" w:eastAsia="zh-CN" w:bidi="ar-SA"/>
        </w:rPr>
        <w:t>Intelligent Data Analysis</w:t>
      </w:r>
      <w:r>
        <w:rPr>
          <w:rFonts w:hint="default" w:ascii="Calibri" w:hAnsi="Calibri" w:eastAsia="等线" w:cs="Calibri"/>
          <w:kern w:val="2"/>
          <w:sz w:val="20"/>
          <w:szCs w:val="24"/>
          <w:lang w:val="en-US" w:eastAsia="zh-CN" w:bidi="ar-SA"/>
        </w:rPr>
        <w:t xml:space="preserve"> </w:t>
      </w:r>
      <w:r>
        <w:rPr>
          <w:rFonts w:hint="default" w:ascii="Calibri" w:hAnsi="Calibri" w:eastAsia="等线" w:cs="Calibri"/>
          <w:b/>
          <w:kern w:val="2"/>
          <w:sz w:val="20"/>
          <w:szCs w:val="24"/>
          <w:lang w:val="en-US" w:eastAsia="zh-CN" w:bidi="ar-SA"/>
        </w:rPr>
        <w:t>21</w:t>
      </w:r>
      <w:r>
        <w:rPr>
          <w:rFonts w:hint="default" w:ascii="Calibri" w:hAnsi="Calibri" w:eastAsia="等线" w:cs="Calibri"/>
          <w:kern w:val="2"/>
          <w:sz w:val="20"/>
          <w:szCs w:val="24"/>
          <w:lang w:val="en-US" w:eastAsia="zh-CN" w:bidi="ar-SA"/>
        </w:rPr>
        <w:t>, 1327-1338 (2017).</w:t>
      </w:r>
    </w:p>
    <w:p w14:paraId="6B9BB90A">
      <w:pPr>
        <w:pStyle w:val="11"/>
        <w:bidi w:val="0"/>
        <w:ind w:left="720" w:hanging="720"/>
        <w:rPr>
          <w:rFonts w:hint="default" w:ascii="Calibri" w:hAnsi="Calibri" w:eastAsia="等线" w:cs="Calibri"/>
          <w:kern w:val="2"/>
          <w:sz w:val="20"/>
          <w:szCs w:val="24"/>
          <w:lang w:val="en-US" w:eastAsia="zh-CN" w:bidi="ar-SA"/>
        </w:rPr>
      </w:pPr>
      <w:r>
        <w:rPr>
          <w:rFonts w:hint="default" w:ascii="Calibri" w:hAnsi="Calibri" w:eastAsia="等线" w:cs="Calibri"/>
          <w:kern w:val="2"/>
          <w:sz w:val="20"/>
          <w:szCs w:val="24"/>
          <w:lang w:val="en-US" w:eastAsia="zh-CN" w:bidi="ar-SA"/>
        </w:rPr>
        <w:t>16.</w:t>
      </w:r>
      <w:r>
        <w:rPr>
          <w:rFonts w:hint="default" w:ascii="Calibri" w:hAnsi="Calibri" w:eastAsia="等线" w:cs="Calibri"/>
          <w:kern w:val="2"/>
          <w:sz w:val="20"/>
          <w:szCs w:val="24"/>
          <w:lang w:val="en-US" w:eastAsia="zh-CN" w:bidi="ar-SA"/>
        </w:rPr>
        <w:tab/>
      </w:r>
      <w:r>
        <w:rPr>
          <w:rFonts w:hint="default" w:ascii="Calibri" w:hAnsi="Calibri" w:eastAsia="等线" w:cs="Calibri"/>
          <w:kern w:val="2"/>
          <w:sz w:val="20"/>
          <w:szCs w:val="24"/>
          <w:lang w:val="en-US" w:eastAsia="zh-CN" w:bidi="ar-SA"/>
        </w:rPr>
        <w:t xml:space="preserve">Wang, T., Zhao, D. &amp; Tian, S. An overview of kernel alignment and its applications. </w:t>
      </w:r>
      <w:r>
        <w:rPr>
          <w:rFonts w:hint="default" w:ascii="Calibri" w:hAnsi="Calibri" w:eastAsia="等线" w:cs="Calibri"/>
          <w:i/>
          <w:kern w:val="2"/>
          <w:sz w:val="20"/>
          <w:szCs w:val="24"/>
          <w:lang w:val="en-US" w:eastAsia="zh-CN" w:bidi="ar-SA"/>
        </w:rPr>
        <w:t>Artificial Intelligence Review</w:t>
      </w:r>
      <w:r>
        <w:rPr>
          <w:rFonts w:hint="default" w:ascii="Calibri" w:hAnsi="Calibri" w:eastAsia="等线" w:cs="Calibri"/>
          <w:kern w:val="2"/>
          <w:sz w:val="20"/>
          <w:szCs w:val="24"/>
          <w:lang w:val="en-US" w:eastAsia="zh-CN" w:bidi="ar-SA"/>
        </w:rPr>
        <w:t xml:space="preserve"> </w:t>
      </w:r>
      <w:r>
        <w:rPr>
          <w:rFonts w:hint="default" w:ascii="Calibri" w:hAnsi="Calibri" w:eastAsia="等线" w:cs="Calibri"/>
          <w:b/>
          <w:kern w:val="2"/>
          <w:sz w:val="20"/>
          <w:szCs w:val="24"/>
          <w:lang w:val="en-US" w:eastAsia="zh-CN" w:bidi="ar-SA"/>
        </w:rPr>
        <w:t>43</w:t>
      </w:r>
      <w:r>
        <w:rPr>
          <w:rFonts w:hint="default" w:ascii="Calibri" w:hAnsi="Calibri" w:eastAsia="等线" w:cs="Calibri"/>
          <w:kern w:val="2"/>
          <w:sz w:val="20"/>
          <w:szCs w:val="24"/>
          <w:lang w:val="en-US" w:eastAsia="zh-CN" w:bidi="ar-SA"/>
        </w:rPr>
        <w:t>, 179-192 (2015).</w:t>
      </w:r>
    </w:p>
    <w:p w14:paraId="1C064557">
      <w:pPr>
        <w:rPr>
          <w:rFonts w:hint="default" w:ascii="Times New Roman" w:hAnsi="Times New Roman" w:cs="Times New Roman"/>
          <w:lang w:val="en-US" w:eastAsia="zh-CN"/>
        </w:rPr>
      </w:pPr>
      <w:r>
        <w:rPr>
          <w:rFonts w:hint="default" w:ascii="Times New Roman" w:hAnsi="Times New Roman" w:cs="Times New Roman"/>
          <w:lang w:val="en-US" w:eastAsia="zh-CN"/>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9xxxwf9ndvvwjev9tjxepeax5dxa2peepp9&quot;&gt;CMD_GEN Copy - full_name&lt;record-ids&gt;&lt;item&gt;53&lt;/item&gt;&lt;item&gt;624&lt;/item&gt;&lt;item&gt;645&lt;/item&gt;&lt;item&gt;646&lt;/item&gt;&lt;item&gt;647&lt;/item&gt;&lt;item&gt;648&lt;/item&gt;&lt;item&gt;649&lt;/item&gt;&lt;item&gt;650&lt;/item&gt;&lt;item&gt;651&lt;/item&gt;&lt;item&gt;652&lt;/item&gt;&lt;item&gt;675&lt;/item&gt;&lt;item&gt;676&lt;/item&gt;&lt;item&gt;692&lt;/item&gt;&lt;item&gt;695&lt;/item&gt;&lt;item&gt;717&lt;/item&gt;&lt;item&gt;718&lt;/item&gt;&lt;/record-ids&gt;&lt;/item&gt;&lt;/Libraries&gt;"/>
  </w:docVars>
  <w:rsids>
    <w:rsidRoot w:val="00000000"/>
    <w:rsid w:val="000E23DB"/>
    <w:rsid w:val="00512DFF"/>
    <w:rsid w:val="01941BB7"/>
    <w:rsid w:val="019648DC"/>
    <w:rsid w:val="02A47C16"/>
    <w:rsid w:val="03A10E4B"/>
    <w:rsid w:val="03C5275C"/>
    <w:rsid w:val="040A2316"/>
    <w:rsid w:val="05693339"/>
    <w:rsid w:val="05C876CA"/>
    <w:rsid w:val="05D65178"/>
    <w:rsid w:val="06002263"/>
    <w:rsid w:val="064E490E"/>
    <w:rsid w:val="066A2B68"/>
    <w:rsid w:val="067355B9"/>
    <w:rsid w:val="07C72AA0"/>
    <w:rsid w:val="07F64C13"/>
    <w:rsid w:val="08502518"/>
    <w:rsid w:val="08663F2F"/>
    <w:rsid w:val="086A0BA3"/>
    <w:rsid w:val="08F5566D"/>
    <w:rsid w:val="09A936E4"/>
    <w:rsid w:val="09B41737"/>
    <w:rsid w:val="0A5D7825"/>
    <w:rsid w:val="0AFE2A19"/>
    <w:rsid w:val="0B7747AD"/>
    <w:rsid w:val="0BB916EC"/>
    <w:rsid w:val="0BBC48D3"/>
    <w:rsid w:val="0BE56252"/>
    <w:rsid w:val="0C0B585A"/>
    <w:rsid w:val="0CAC4948"/>
    <w:rsid w:val="0D0334DC"/>
    <w:rsid w:val="0D585F82"/>
    <w:rsid w:val="0DC205C0"/>
    <w:rsid w:val="0F0A1FCF"/>
    <w:rsid w:val="0F375C87"/>
    <w:rsid w:val="11337437"/>
    <w:rsid w:val="128D0D77"/>
    <w:rsid w:val="128D6FC9"/>
    <w:rsid w:val="13760F21"/>
    <w:rsid w:val="14163CCF"/>
    <w:rsid w:val="143529D3"/>
    <w:rsid w:val="15212870"/>
    <w:rsid w:val="152B71D8"/>
    <w:rsid w:val="15347BD0"/>
    <w:rsid w:val="15630857"/>
    <w:rsid w:val="163308CF"/>
    <w:rsid w:val="17453304"/>
    <w:rsid w:val="1788741A"/>
    <w:rsid w:val="19B478B4"/>
    <w:rsid w:val="19B57372"/>
    <w:rsid w:val="19FF47A5"/>
    <w:rsid w:val="1A48520F"/>
    <w:rsid w:val="1AA71461"/>
    <w:rsid w:val="1AB33410"/>
    <w:rsid w:val="1AC063AC"/>
    <w:rsid w:val="1E1E45F6"/>
    <w:rsid w:val="1F0234F7"/>
    <w:rsid w:val="1F333BE8"/>
    <w:rsid w:val="1F75555C"/>
    <w:rsid w:val="20F1380A"/>
    <w:rsid w:val="211866B2"/>
    <w:rsid w:val="2247007F"/>
    <w:rsid w:val="23767569"/>
    <w:rsid w:val="23DF164F"/>
    <w:rsid w:val="24701699"/>
    <w:rsid w:val="25864F7B"/>
    <w:rsid w:val="25ED50AD"/>
    <w:rsid w:val="266F71BF"/>
    <w:rsid w:val="26FE7427"/>
    <w:rsid w:val="27EB2D2D"/>
    <w:rsid w:val="27F22018"/>
    <w:rsid w:val="28350642"/>
    <w:rsid w:val="28C404BF"/>
    <w:rsid w:val="29053273"/>
    <w:rsid w:val="2B6568DD"/>
    <w:rsid w:val="2B864215"/>
    <w:rsid w:val="2C522DD0"/>
    <w:rsid w:val="2C547C1C"/>
    <w:rsid w:val="2C70535A"/>
    <w:rsid w:val="2C7F786F"/>
    <w:rsid w:val="2D765AFD"/>
    <w:rsid w:val="2DC72C71"/>
    <w:rsid w:val="2DEE32A6"/>
    <w:rsid w:val="2E051849"/>
    <w:rsid w:val="2F203E6F"/>
    <w:rsid w:val="2F636AE2"/>
    <w:rsid w:val="307E7CE2"/>
    <w:rsid w:val="31271476"/>
    <w:rsid w:val="32D21B40"/>
    <w:rsid w:val="330275FD"/>
    <w:rsid w:val="33B45D0C"/>
    <w:rsid w:val="342B6648"/>
    <w:rsid w:val="343D5F5F"/>
    <w:rsid w:val="347A1AB4"/>
    <w:rsid w:val="34A94E64"/>
    <w:rsid w:val="34AE445C"/>
    <w:rsid w:val="36367C59"/>
    <w:rsid w:val="363F31E1"/>
    <w:rsid w:val="36C222B0"/>
    <w:rsid w:val="370C27F5"/>
    <w:rsid w:val="376E691D"/>
    <w:rsid w:val="38364FAD"/>
    <w:rsid w:val="38380AC6"/>
    <w:rsid w:val="386D6C35"/>
    <w:rsid w:val="392A4494"/>
    <w:rsid w:val="398268AC"/>
    <w:rsid w:val="3A0070F2"/>
    <w:rsid w:val="3A3B7187"/>
    <w:rsid w:val="3B2A2D58"/>
    <w:rsid w:val="3C772834"/>
    <w:rsid w:val="3CB81CB4"/>
    <w:rsid w:val="3CD92FBA"/>
    <w:rsid w:val="3D960B78"/>
    <w:rsid w:val="3DBB0595"/>
    <w:rsid w:val="3E087EF6"/>
    <w:rsid w:val="3E7F750F"/>
    <w:rsid w:val="3E9B148A"/>
    <w:rsid w:val="3EB216B6"/>
    <w:rsid w:val="3F237562"/>
    <w:rsid w:val="3FFA0C3C"/>
    <w:rsid w:val="41475819"/>
    <w:rsid w:val="416A6D70"/>
    <w:rsid w:val="41A546D8"/>
    <w:rsid w:val="421057A4"/>
    <w:rsid w:val="42244A63"/>
    <w:rsid w:val="42352A0E"/>
    <w:rsid w:val="42E42CDB"/>
    <w:rsid w:val="4338798B"/>
    <w:rsid w:val="43527A66"/>
    <w:rsid w:val="43E97E6D"/>
    <w:rsid w:val="4479369F"/>
    <w:rsid w:val="451A3E3D"/>
    <w:rsid w:val="4525772B"/>
    <w:rsid w:val="475031A8"/>
    <w:rsid w:val="478652E8"/>
    <w:rsid w:val="47FD5A7B"/>
    <w:rsid w:val="4812704D"/>
    <w:rsid w:val="489D0A83"/>
    <w:rsid w:val="48A876B0"/>
    <w:rsid w:val="4992716F"/>
    <w:rsid w:val="49F41101"/>
    <w:rsid w:val="4A454844"/>
    <w:rsid w:val="4A886551"/>
    <w:rsid w:val="4B367A2B"/>
    <w:rsid w:val="4BD97483"/>
    <w:rsid w:val="4D296227"/>
    <w:rsid w:val="4E3B275B"/>
    <w:rsid w:val="4EA34E9C"/>
    <w:rsid w:val="4FA5466D"/>
    <w:rsid w:val="4FC41575"/>
    <w:rsid w:val="4FDE09DE"/>
    <w:rsid w:val="502D2C76"/>
    <w:rsid w:val="515B06FC"/>
    <w:rsid w:val="51A96C75"/>
    <w:rsid w:val="51FF42FD"/>
    <w:rsid w:val="525C6367"/>
    <w:rsid w:val="539A30D1"/>
    <w:rsid w:val="5459654F"/>
    <w:rsid w:val="546E489A"/>
    <w:rsid w:val="54DC4C6B"/>
    <w:rsid w:val="55F774E9"/>
    <w:rsid w:val="561804BE"/>
    <w:rsid w:val="565F7902"/>
    <w:rsid w:val="56B319FF"/>
    <w:rsid w:val="56B40F2B"/>
    <w:rsid w:val="570B7E4A"/>
    <w:rsid w:val="5731286E"/>
    <w:rsid w:val="57FA52E6"/>
    <w:rsid w:val="58DD361A"/>
    <w:rsid w:val="59853B23"/>
    <w:rsid w:val="59876C3C"/>
    <w:rsid w:val="59AC5E01"/>
    <w:rsid w:val="59F0154F"/>
    <w:rsid w:val="59FC1E53"/>
    <w:rsid w:val="5B117EBD"/>
    <w:rsid w:val="5B930516"/>
    <w:rsid w:val="5BB261FB"/>
    <w:rsid w:val="5CB85A44"/>
    <w:rsid w:val="5D7F6ADB"/>
    <w:rsid w:val="5DF11787"/>
    <w:rsid w:val="5E0C270C"/>
    <w:rsid w:val="5E93283E"/>
    <w:rsid w:val="5EBF1B9A"/>
    <w:rsid w:val="5FD64838"/>
    <w:rsid w:val="618F4702"/>
    <w:rsid w:val="62DE51A3"/>
    <w:rsid w:val="62FA00D9"/>
    <w:rsid w:val="64496B13"/>
    <w:rsid w:val="65901886"/>
    <w:rsid w:val="663B5BAC"/>
    <w:rsid w:val="67515B52"/>
    <w:rsid w:val="679373F9"/>
    <w:rsid w:val="67C76FEC"/>
    <w:rsid w:val="68D315E6"/>
    <w:rsid w:val="68DD26EB"/>
    <w:rsid w:val="6906080F"/>
    <w:rsid w:val="6C593635"/>
    <w:rsid w:val="6CF170E1"/>
    <w:rsid w:val="6DBA3F59"/>
    <w:rsid w:val="6DD47E5D"/>
    <w:rsid w:val="6F07667D"/>
    <w:rsid w:val="70A243BE"/>
    <w:rsid w:val="723B2180"/>
    <w:rsid w:val="723E21F7"/>
    <w:rsid w:val="72557773"/>
    <w:rsid w:val="728D341D"/>
    <w:rsid w:val="73812C83"/>
    <w:rsid w:val="73EF00EC"/>
    <w:rsid w:val="7519454F"/>
    <w:rsid w:val="753D4665"/>
    <w:rsid w:val="755A1884"/>
    <w:rsid w:val="75E71F0B"/>
    <w:rsid w:val="75FE25FB"/>
    <w:rsid w:val="76F47A7B"/>
    <w:rsid w:val="778152F1"/>
    <w:rsid w:val="78B15E54"/>
    <w:rsid w:val="7B344A7A"/>
    <w:rsid w:val="7B4253C6"/>
    <w:rsid w:val="7C3370CD"/>
    <w:rsid w:val="7DD31C39"/>
    <w:rsid w:val="7DDD4AD4"/>
    <w:rsid w:val="7E152771"/>
    <w:rsid w:val="7E3F60E7"/>
    <w:rsid w:val="7E7F4C49"/>
    <w:rsid w:val="7EC43C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Hyperlink"/>
    <w:basedOn w:val="7"/>
    <w:qFormat/>
    <w:uiPriority w:val="0"/>
    <w:rPr>
      <w:color w:val="0000FF"/>
      <w:u w:val="single"/>
    </w:rPr>
  </w:style>
  <w:style w:type="character" w:styleId="10">
    <w:name w:val="HTML Code"/>
    <w:basedOn w:val="7"/>
    <w:qFormat/>
    <w:uiPriority w:val="0"/>
    <w:rPr>
      <w:rFonts w:ascii="Courier New" w:hAnsi="Courier New"/>
      <w:sz w:val="20"/>
    </w:rPr>
  </w:style>
  <w:style w:type="paragraph" w:customStyle="1" w:styleId="11">
    <w:name w:val="EndNote Bibliography"/>
    <w:basedOn w:val="1"/>
    <w:autoRedefine/>
    <w:qFormat/>
    <w:uiPriority w:val="0"/>
    <w:rPr>
      <w:rFonts w:hint="default" w:ascii="Calibri" w:hAnsi="Calibri" w:eastAsia="等线" w:cs="Calibri"/>
      <w:sz w:val="20"/>
    </w:rPr>
  </w:style>
  <w:style w:type="paragraph" w:customStyle="1" w:styleId="12">
    <w:name w:val="EndNote Bibliography Title"/>
    <w:qFormat/>
    <w:uiPriority w:val="0"/>
    <w:pPr>
      <w:pBdr>
        <w:top w:val="none" w:color="auto" w:sz="0" w:space="0"/>
        <w:left w:val="none" w:color="auto" w:sz="0" w:space="0"/>
        <w:bottom w:val="none" w:color="auto" w:sz="0" w:space="0"/>
        <w:right w:val="none" w:color="auto" w:sz="0" w:space="0"/>
        <w:between w:val="none" w:color="auto" w:sz="0" w:space="0"/>
      </w:pBdr>
      <w:jc w:val="center"/>
    </w:pPr>
    <w:rPr>
      <w:rFonts w:ascii="Calibri" w:hAnsi="Calibri" w:cs="Calibri" w:eastAsiaTheme="minorEastAsia"/>
      <w:kern w:val="2"/>
      <w:sz w:val="20"/>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emf"/><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2616</Words>
  <Characters>17348</Characters>
  <Lines>0</Lines>
  <Paragraphs>0</Paragraphs>
  <TotalTime>1</TotalTime>
  <ScaleCrop>false</ScaleCrop>
  <LinksUpToDate>false</LinksUpToDate>
  <CharactersWithSpaces>19710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2025-08-07T08:05:00Z</dcterms:created>
  <dc:creator>ZYRLIA</dc:creator>
  <cp:lastModifiedBy>邹钰嵘</cp:lastModifiedBy>
  <dcterms:modified xsi:type="dcterms:W3CDTF">2026-01-26T15:14:54Z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eyJoZGlkIjoiZTZlMmI4ZTAxYzEzZmJkZmYyYzE5N2VkZDcxY2M0ZTMiLCJ1c2VySWQiOiIyNDUwNTc4ODcifQ==</vt:lpwstr>
  </property>
  <property fmtid="{D5CDD505-2E9C-101B-9397-08002B2CF9AE}" pid="4" name="ICV">
    <vt:lpwstr>B56062FFAF204EF1B1FAC307466ECECF_13</vt:lpwstr>
  </property>
</Properties>
</file>