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75255" w14:textId="77777777" w:rsidR="00F6215F" w:rsidRPr="00346CAA" w:rsidRDefault="00F6215F" w:rsidP="00F6215F">
      <w:pPr>
        <w:jc w:val="center"/>
        <w:rPr>
          <w:rFonts w:ascii="Times New Roman" w:hAnsi="Times New Roman" w:cs="Times New Roman"/>
          <w:b/>
          <w:bCs/>
        </w:rPr>
      </w:pPr>
      <w:r w:rsidRPr="00346CAA">
        <w:rPr>
          <w:rFonts w:ascii="Times New Roman" w:hAnsi="Times New Roman" w:cs="Times New Roman"/>
          <w:b/>
          <w:bCs/>
        </w:rPr>
        <w:t>Supplementary Material 1</w:t>
      </w:r>
    </w:p>
    <w:p w14:paraId="4A3E7B2B" w14:textId="77777777" w:rsidR="00F6215F" w:rsidRDefault="00F6215F" w:rsidP="00F6215F">
      <w:pPr>
        <w:jc w:val="center"/>
        <w:rPr>
          <w:rFonts w:ascii="Times New Roman" w:hAnsi="Times New Roman" w:cs="Times New Roman"/>
        </w:rPr>
      </w:pPr>
      <w:r w:rsidRPr="00346CAA">
        <w:rPr>
          <w:rFonts w:ascii="Times New Roman" w:hAnsi="Times New Roman" w:cs="Times New Roman"/>
        </w:rPr>
        <w:t>Monotonicity analysis</w:t>
      </w:r>
    </w:p>
    <w:p w14:paraId="5A07F6DD" w14:textId="77777777" w:rsidR="00F6215F" w:rsidRPr="00491A6D" w:rsidRDefault="00F6215F" w:rsidP="00F6215F">
      <w:pPr>
        <w:pStyle w:val="p1"/>
        <w:spacing w:before="0" w:beforeAutospacing="0" w:after="0" w:afterAutospacing="0" w:line="360" w:lineRule="auto"/>
        <w:ind w:firstLine="720"/>
        <w:jc w:val="both"/>
      </w:pPr>
      <w:r>
        <w:t xml:space="preserve">Monotonicity analysis was performed prior data analysis and was assessed by examining whether conditional item means increased as a function of the rest score. Adjacent violations were defined as decreases in the conditional mean between successive rest-score groups. For each item, the total number of adjacent violations and the maximum observed adjacent drop in conditional means were recorded to quantify the extent and magnitude of local non-monotonicity. For each item, a rest score was computed as the sum of all remaining items within the same scale. Respondents were then grouped by their rest scores, and the conditional mean of the target item was calculated within each rest-score group. To complement the group-based evaluation, rank-order associations between each item and its rest score were estimated using Kendall’s τ and Spearman’s ρ. These coefficients provide scale-free indices of monotonic association that do not assume linearity or normality. </w:t>
      </w:r>
      <w:r w:rsidRPr="51FC7FF5">
        <w:rPr>
          <w:color w:val="0E0E0E"/>
        </w:rPr>
        <w:t xml:space="preserve">Table </w:t>
      </w:r>
      <w:r>
        <w:rPr>
          <w:color w:val="0E0E0E"/>
        </w:rPr>
        <w:t>S1</w:t>
      </w:r>
      <w:r w:rsidRPr="51FC7FF5">
        <w:rPr>
          <w:color w:val="0E0E0E"/>
        </w:rPr>
        <w:t xml:space="preserve"> summarises monotonicity diagnostics across the four AI apprehension scales.</w:t>
      </w:r>
    </w:p>
    <w:p w14:paraId="7E9658BE" w14:textId="77777777" w:rsidR="00F6215F" w:rsidRDefault="00F6215F" w:rsidP="00F6215F">
      <w:pPr>
        <w:pStyle w:val="p1"/>
        <w:spacing w:before="0" w:beforeAutospacing="0" w:after="0" w:afterAutospacing="0" w:line="360" w:lineRule="auto"/>
        <w:rPr>
          <w:rStyle w:val="apple-converted-space"/>
          <w:rFonts w:eastAsiaTheme="majorEastAsia"/>
          <w:b/>
          <w:bCs/>
        </w:rPr>
      </w:pPr>
      <w:r w:rsidRPr="51FC7FF5">
        <w:rPr>
          <w:rStyle w:val="apple-converted-space"/>
          <w:rFonts w:eastAsiaTheme="majorEastAsia"/>
          <w:b/>
          <w:bCs/>
        </w:rPr>
        <w:t xml:space="preserve">Table </w:t>
      </w:r>
      <w:r>
        <w:rPr>
          <w:rStyle w:val="apple-converted-space"/>
          <w:rFonts w:eastAsiaTheme="majorEastAsia"/>
          <w:b/>
          <w:bCs/>
        </w:rPr>
        <w:t>S1</w:t>
      </w:r>
    </w:p>
    <w:p w14:paraId="68D776C5" w14:textId="77777777" w:rsidR="00F6215F" w:rsidRPr="004169EB" w:rsidRDefault="00F6215F" w:rsidP="00F6215F">
      <w:pPr>
        <w:pStyle w:val="p1"/>
        <w:spacing w:before="0" w:beforeAutospacing="0" w:after="0" w:afterAutospacing="0" w:line="360" w:lineRule="auto"/>
      </w:pPr>
      <w:r w:rsidRPr="004169EB">
        <w:rPr>
          <w:rStyle w:val="apple-converted-space"/>
          <w:rFonts w:eastAsiaTheme="majorEastAsia"/>
          <w:b/>
          <w:bCs/>
        </w:rPr>
        <w:t xml:space="preserve"> </w:t>
      </w:r>
      <w:r w:rsidRPr="004169EB">
        <w:t>Monotonicity diagnostics across AI apprehension scales</w:t>
      </w:r>
    </w:p>
    <w:tbl>
      <w:tblPr>
        <w:tblStyle w:val="PlainTable4"/>
        <w:tblW w:w="9072" w:type="dxa"/>
        <w:tblLayout w:type="fixed"/>
        <w:tblLook w:val="04A0" w:firstRow="1" w:lastRow="0" w:firstColumn="1" w:lastColumn="0" w:noHBand="0" w:noVBand="1"/>
      </w:tblPr>
      <w:tblGrid>
        <w:gridCol w:w="1843"/>
        <w:gridCol w:w="1418"/>
        <w:gridCol w:w="1417"/>
        <w:gridCol w:w="1559"/>
        <w:gridCol w:w="1418"/>
        <w:gridCol w:w="1417"/>
      </w:tblGrid>
      <w:tr w:rsidR="00F6215F" w:rsidRPr="004169EB" w14:paraId="042A19A2" w14:textId="77777777" w:rsidTr="008B4BE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bottom w:val="single" w:sz="4" w:space="0" w:color="auto"/>
            </w:tcBorders>
            <w:hideMark/>
          </w:tcPr>
          <w:p w14:paraId="2CF44640" w14:textId="77777777" w:rsidR="00F6215F" w:rsidRPr="004169EB" w:rsidRDefault="00F6215F" w:rsidP="008B4BED">
            <w:pPr>
              <w:pStyle w:val="p1"/>
              <w:jc w:val="center"/>
              <w:rPr>
                <w:sz w:val="22"/>
                <w:szCs w:val="22"/>
              </w:rPr>
            </w:pPr>
            <w:r w:rsidRPr="004169EB">
              <w:rPr>
                <w:sz w:val="22"/>
                <w:szCs w:val="22"/>
              </w:rPr>
              <w:t>Scale</w:t>
            </w:r>
          </w:p>
        </w:tc>
        <w:tc>
          <w:tcPr>
            <w:tcW w:w="1418" w:type="dxa"/>
            <w:tcBorders>
              <w:top w:val="single" w:sz="4" w:space="0" w:color="auto"/>
              <w:bottom w:val="single" w:sz="4" w:space="0" w:color="auto"/>
            </w:tcBorders>
            <w:hideMark/>
          </w:tcPr>
          <w:p w14:paraId="3237C132" w14:textId="77777777" w:rsidR="00F6215F" w:rsidRPr="004169EB" w:rsidRDefault="00F6215F" w:rsidP="008B4BED">
            <w:pPr>
              <w:pStyle w:val="p1"/>
              <w:jc w:val="center"/>
              <w:cnfStyle w:val="100000000000" w:firstRow="1" w:lastRow="0" w:firstColumn="0" w:lastColumn="0" w:oddVBand="0" w:evenVBand="0" w:oddHBand="0" w:evenHBand="0" w:firstRowFirstColumn="0" w:firstRowLastColumn="0" w:lastRowFirstColumn="0" w:lastRowLastColumn="0"/>
              <w:rPr>
                <w:sz w:val="22"/>
                <w:szCs w:val="22"/>
              </w:rPr>
            </w:pPr>
            <w:r w:rsidRPr="004169EB">
              <w:rPr>
                <w:sz w:val="22"/>
                <w:szCs w:val="22"/>
              </w:rPr>
              <w:t>Rest-score groups (range)</w:t>
            </w:r>
          </w:p>
        </w:tc>
        <w:tc>
          <w:tcPr>
            <w:tcW w:w="1417" w:type="dxa"/>
            <w:tcBorders>
              <w:top w:val="single" w:sz="4" w:space="0" w:color="auto"/>
              <w:bottom w:val="single" w:sz="4" w:space="0" w:color="auto"/>
            </w:tcBorders>
            <w:hideMark/>
          </w:tcPr>
          <w:p w14:paraId="1FFB5AA1" w14:textId="77777777" w:rsidR="00F6215F" w:rsidRPr="004169EB" w:rsidRDefault="00F6215F" w:rsidP="008B4BED">
            <w:pPr>
              <w:pStyle w:val="p1"/>
              <w:jc w:val="center"/>
              <w:cnfStyle w:val="100000000000" w:firstRow="1" w:lastRow="0" w:firstColumn="0" w:lastColumn="0" w:oddVBand="0" w:evenVBand="0" w:oddHBand="0" w:evenHBand="0" w:firstRowFirstColumn="0" w:firstRowLastColumn="0" w:lastRowFirstColumn="0" w:lastRowLastColumn="0"/>
              <w:rPr>
                <w:sz w:val="22"/>
                <w:szCs w:val="22"/>
              </w:rPr>
            </w:pPr>
            <w:r w:rsidRPr="004169EB">
              <w:rPr>
                <w:sz w:val="22"/>
                <w:szCs w:val="22"/>
              </w:rPr>
              <w:t>Adjacent violations (range)</w:t>
            </w:r>
          </w:p>
        </w:tc>
        <w:tc>
          <w:tcPr>
            <w:tcW w:w="1559" w:type="dxa"/>
            <w:tcBorders>
              <w:top w:val="single" w:sz="4" w:space="0" w:color="auto"/>
              <w:bottom w:val="single" w:sz="4" w:space="0" w:color="auto"/>
            </w:tcBorders>
            <w:hideMark/>
          </w:tcPr>
          <w:p w14:paraId="08D0A690" w14:textId="77777777" w:rsidR="00F6215F" w:rsidRPr="004169EB" w:rsidRDefault="00F6215F" w:rsidP="008B4BED">
            <w:pPr>
              <w:pStyle w:val="p1"/>
              <w:jc w:val="center"/>
              <w:cnfStyle w:val="100000000000" w:firstRow="1" w:lastRow="0" w:firstColumn="0" w:lastColumn="0" w:oddVBand="0" w:evenVBand="0" w:oddHBand="0" w:evenHBand="0" w:firstRowFirstColumn="0" w:firstRowLastColumn="0" w:lastRowFirstColumn="0" w:lastRowLastColumn="0"/>
              <w:rPr>
                <w:sz w:val="22"/>
                <w:szCs w:val="22"/>
              </w:rPr>
            </w:pPr>
            <w:r w:rsidRPr="004169EB">
              <w:rPr>
                <w:sz w:val="22"/>
                <w:szCs w:val="22"/>
              </w:rPr>
              <w:t>Max adjacent drop (range)</w:t>
            </w:r>
          </w:p>
        </w:tc>
        <w:tc>
          <w:tcPr>
            <w:tcW w:w="1418" w:type="dxa"/>
            <w:tcBorders>
              <w:top w:val="single" w:sz="4" w:space="0" w:color="auto"/>
              <w:bottom w:val="single" w:sz="4" w:space="0" w:color="auto"/>
            </w:tcBorders>
            <w:hideMark/>
          </w:tcPr>
          <w:p w14:paraId="47928E25" w14:textId="77777777" w:rsidR="00F6215F" w:rsidRPr="004169EB" w:rsidRDefault="00F6215F" w:rsidP="008B4BED">
            <w:pPr>
              <w:pStyle w:val="p1"/>
              <w:jc w:val="center"/>
              <w:cnfStyle w:val="100000000000" w:firstRow="1" w:lastRow="0" w:firstColumn="0" w:lastColumn="0" w:oddVBand="0" w:evenVBand="0" w:oddHBand="0" w:evenHBand="0" w:firstRowFirstColumn="0" w:firstRowLastColumn="0" w:lastRowFirstColumn="0" w:lastRowLastColumn="0"/>
              <w:rPr>
                <w:sz w:val="22"/>
                <w:szCs w:val="22"/>
              </w:rPr>
            </w:pPr>
            <w:r w:rsidRPr="004169EB">
              <w:rPr>
                <w:sz w:val="22"/>
                <w:szCs w:val="22"/>
              </w:rPr>
              <w:t>Kendall’s τ (range)</w:t>
            </w:r>
          </w:p>
        </w:tc>
        <w:tc>
          <w:tcPr>
            <w:tcW w:w="1417" w:type="dxa"/>
            <w:tcBorders>
              <w:top w:val="single" w:sz="4" w:space="0" w:color="auto"/>
              <w:bottom w:val="single" w:sz="4" w:space="0" w:color="auto"/>
            </w:tcBorders>
            <w:hideMark/>
          </w:tcPr>
          <w:p w14:paraId="5C64053F" w14:textId="77777777" w:rsidR="00F6215F" w:rsidRPr="004169EB" w:rsidRDefault="00F6215F" w:rsidP="008B4BED">
            <w:pPr>
              <w:pStyle w:val="p1"/>
              <w:jc w:val="center"/>
              <w:cnfStyle w:val="100000000000" w:firstRow="1" w:lastRow="0" w:firstColumn="0" w:lastColumn="0" w:oddVBand="0" w:evenVBand="0" w:oddHBand="0" w:evenHBand="0" w:firstRowFirstColumn="0" w:firstRowLastColumn="0" w:lastRowFirstColumn="0" w:lastRowLastColumn="0"/>
              <w:rPr>
                <w:sz w:val="22"/>
                <w:szCs w:val="22"/>
              </w:rPr>
            </w:pPr>
            <w:r w:rsidRPr="004169EB">
              <w:rPr>
                <w:sz w:val="22"/>
                <w:szCs w:val="22"/>
              </w:rPr>
              <w:t>Spearman’s ρ (range)</w:t>
            </w:r>
          </w:p>
        </w:tc>
      </w:tr>
      <w:tr w:rsidR="00F6215F" w:rsidRPr="004169EB" w14:paraId="213C06D2" w14:textId="77777777" w:rsidTr="008B4B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tcBorders>
            <w:hideMark/>
          </w:tcPr>
          <w:p w14:paraId="5E2603DD" w14:textId="77777777" w:rsidR="00F6215F" w:rsidRPr="004169EB" w:rsidRDefault="00F6215F" w:rsidP="008B4BED">
            <w:pPr>
              <w:pStyle w:val="p1"/>
              <w:rPr>
                <w:b w:val="0"/>
                <w:bCs w:val="0"/>
                <w:sz w:val="22"/>
                <w:szCs w:val="22"/>
              </w:rPr>
            </w:pPr>
            <w:r w:rsidRPr="004169EB">
              <w:rPr>
                <w:b w:val="0"/>
                <w:bCs w:val="0"/>
                <w:sz w:val="22"/>
                <w:szCs w:val="22"/>
              </w:rPr>
              <w:t>General AI</w:t>
            </w:r>
          </w:p>
        </w:tc>
        <w:tc>
          <w:tcPr>
            <w:tcW w:w="1418" w:type="dxa"/>
            <w:tcBorders>
              <w:top w:val="single" w:sz="4" w:space="0" w:color="auto"/>
            </w:tcBorders>
            <w:hideMark/>
          </w:tcPr>
          <w:p w14:paraId="736F0EF9"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41</w:t>
            </w:r>
            <w:r>
              <w:rPr>
                <w:sz w:val="22"/>
                <w:szCs w:val="22"/>
              </w:rPr>
              <w:t>-</w:t>
            </w:r>
            <w:r w:rsidRPr="004169EB">
              <w:rPr>
                <w:sz w:val="22"/>
                <w:szCs w:val="22"/>
              </w:rPr>
              <w:t>44</w:t>
            </w:r>
          </w:p>
        </w:tc>
        <w:tc>
          <w:tcPr>
            <w:tcW w:w="1417" w:type="dxa"/>
            <w:tcBorders>
              <w:top w:val="single" w:sz="4" w:space="0" w:color="auto"/>
            </w:tcBorders>
            <w:hideMark/>
          </w:tcPr>
          <w:p w14:paraId="069E508F"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15</w:t>
            </w:r>
            <w:r>
              <w:rPr>
                <w:sz w:val="22"/>
                <w:szCs w:val="22"/>
              </w:rPr>
              <w:t>-</w:t>
            </w:r>
            <w:r w:rsidRPr="004169EB">
              <w:rPr>
                <w:sz w:val="22"/>
                <w:szCs w:val="22"/>
              </w:rPr>
              <w:t>20</w:t>
            </w:r>
          </w:p>
        </w:tc>
        <w:tc>
          <w:tcPr>
            <w:tcW w:w="1559" w:type="dxa"/>
            <w:tcBorders>
              <w:top w:val="single" w:sz="4" w:space="0" w:color="auto"/>
            </w:tcBorders>
            <w:hideMark/>
          </w:tcPr>
          <w:p w14:paraId="02853939"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1.00</w:t>
            </w:r>
            <w:r>
              <w:rPr>
                <w:sz w:val="22"/>
                <w:szCs w:val="22"/>
              </w:rPr>
              <w:t>-</w:t>
            </w:r>
            <w:r w:rsidRPr="004169EB">
              <w:rPr>
                <w:sz w:val="22"/>
                <w:szCs w:val="22"/>
              </w:rPr>
              <w:t>2.07</w:t>
            </w:r>
          </w:p>
        </w:tc>
        <w:tc>
          <w:tcPr>
            <w:tcW w:w="1418" w:type="dxa"/>
            <w:tcBorders>
              <w:top w:val="single" w:sz="4" w:space="0" w:color="auto"/>
            </w:tcBorders>
            <w:hideMark/>
          </w:tcPr>
          <w:p w14:paraId="4BF0E6D2"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0.44</w:t>
            </w:r>
            <w:r>
              <w:rPr>
                <w:sz w:val="22"/>
                <w:szCs w:val="22"/>
              </w:rPr>
              <w:t>-</w:t>
            </w:r>
            <w:r w:rsidRPr="004169EB">
              <w:rPr>
                <w:sz w:val="22"/>
                <w:szCs w:val="22"/>
              </w:rPr>
              <w:t>0.59</w:t>
            </w:r>
          </w:p>
        </w:tc>
        <w:tc>
          <w:tcPr>
            <w:tcW w:w="1417" w:type="dxa"/>
            <w:tcBorders>
              <w:top w:val="single" w:sz="4" w:space="0" w:color="auto"/>
            </w:tcBorders>
            <w:hideMark/>
          </w:tcPr>
          <w:p w14:paraId="73D3D916"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0.57</w:t>
            </w:r>
            <w:r>
              <w:rPr>
                <w:sz w:val="22"/>
                <w:szCs w:val="22"/>
              </w:rPr>
              <w:t>-</w:t>
            </w:r>
            <w:r w:rsidRPr="004169EB">
              <w:rPr>
                <w:sz w:val="22"/>
                <w:szCs w:val="22"/>
              </w:rPr>
              <w:t>0.74</w:t>
            </w:r>
          </w:p>
        </w:tc>
      </w:tr>
      <w:tr w:rsidR="00F6215F" w:rsidRPr="004169EB" w14:paraId="05F09FF0" w14:textId="77777777" w:rsidTr="008B4BED">
        <w:tc>
          <w:tcPr>
            <w:cnfStyle w:val="001000000000" w:firstRow="0" w:lastRow="0" w:firstColumn="1" w:lastColumn="0" w:oddVBand="0" w:evenVBand="0" w:oddHBand="0" w:evenHBand="0" w:firstRowFirstColumn="0" w:firstRowLastColumn="0" w:lastRowFirstColumn="0" w:lastRowLastColumn="0"/>
            <w:tcW w:w="1843" w:type="dxa"/>
            <w:hideMark/>
          </w:tcPr>
          <w:p w14:paraId="16DE7A70" w14:textId="77777777" w:rsidR="00F6215F" w:rsidRPr="004169EB" w:rsidRDefault="00F6215F" w:rsidP="008B4BED">
            <w:pPr>
              <w:pStyle w:val="p1"/>
              <w:rPr>
                <w:b w:val="0"/>
                <w:bCs w:val="0"/>
                <w:sz w:val="22"/>
                <w:szCs w:val="22"/>
              </w:rPr>
            </w:pPr>
            <w:r w:rsidRPr="004169EB">
              <w:rPr>
                <w:b w:val="0"/>
                <w:bCs w:val="0"/>
                <w:sz w:val="22"/>
                <w:szCs w:val="22"/>
              </w:rPr>
              <w:t>LLM AI</w:t>
            </w:r>
          </w:p>
        </w:tc>
        <w:tc>
          <w:tcPr>
            <w:tcW w:w="1418" w:type="dxa"/>
            <w:hideMark/>
          </w:tcPr>
          <w:p w14:paraId="700BCD7C"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45</w:t>
            </w:r>
            <w:r>
              <w:rPr>
                <w:sz w:val="22"/>
                <w:szCs w:val="22"/>
              </w:rPr>
              <w:t>-</w:t>
            </w:r>
            <w:r w:rsidRPr="004169EB">
              <w:rPr>
                <w:sz w:val="22"/>
                <w:szCs w:val="22"/>
              </w:rPr>
              <w:t>50</w:t>
            </w:r>
          </w:p>
        </w:tc>
        <w:tc>
          <w:tcPr>
            <w:tcW w:w="1417" w:type="dxa"/>
            <w:hideMark/>
          </w:tcPr>
          <w:p w14:paraId="0FD71419"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17</w:t>
            </w:r>
            <w:r>
              <w:rPr>
                <w:sz w:val="22"/>
                <w:szCs w:val="22"/>
              </w:rPr>
              <w:t>-</w:t>
            </w:r>
            <w:r w:rsidRPr="004169EB">
              <w:rPr>
                <w:sz w:val="22"/>
                <w:szCs w:val="22"/>
              </w:rPr>
              <w:t>23</w:t>
            </w:r>
          </w:p>
        </w:tc>
        <w:tc>
          <w:tcPr>
            <w:tcW w:w="1559" w:type="dxa"/>
            <w:hideMark/>
          </w:tcPr>
          <w:p w14:paraId="492AB4E9"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1.20</w:t>
            </w:r>
            <w:r>
              <w:rPr>
                <w:sz w:val="22"/>
                <w:szCs w:val="22"/>
              </w:rPr>
              <w:t>-</w:t>
            </w:r>
            <w:r w:rsidRPr="004169EB">
              <w:rPr>
                <w:sz w:val="22"/>
                <w:szCs w:val="22"/>
              </w:rPr>
              <w:t>2.35</w:t>
            </w:r>
          </w:p>
        </w:tc>
        <w:tc>
          <w:tcPr>
            <w:tcW w:w="1418" w:type="dxa"/>
            <w:hideMark/>
          </w:tcPr>
          <w:p w14:paraId="066B2078"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0.53</w:t>
            </w:r>
            <w:r>
              <w:rPr>
                <w:sz w:val="22"/>
                <w:szCs w:val="22"/>
              </w:rPr>
              <w:t>-</w:t>
            </w:r>
            <w:r w:rsidRPr="004169EB">
              <w:rPr>
                <w:sz w:val="22"/>
                <w:szCs w:val="22"/>
              </w:rPr>
              <w:t>0.63</w:t>
            </w:r>
          </w:p>
        </w:tc>
        <w:tc>
          <w:tcPr>
            <w:tcW w:w="1417" w:type="dxa"/>
            <w:hideMark/>
          </w:tcPr>
          <w:p w14:paraId="56C95C8E"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0.66</w:t>
            </w:r>
            <w:r>
              <w:rPr>
                <w:sz w:val="22"/>
                <w:szCs w:val="22"/>
              </w:rPr>
              <w:t>-</w:t>
            </w:r>
            <w:r w:rsidRPr="004169EB">
              <w:rPr>
                <w:sz w:val="22"/>
                <w:szCs w:val="22"/>
              </w:rPr>
              <w:t>0.79</w:t>
            </w:r>
          </w:p>
        </w:tc>
      </w:tr>
      <w:tr w:rsidR="00F6215F" w:rsidRPr="004169EB" w14:paraId="29F0425B" w14:textId="77777777" w:rsidTr="008B4BE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hideMark/>
          </w:tcPr>
          <w:p w14:paraId="7B346053" w14:textId="77777777" w:rsidR="00F6215F" w:rsidRPr="004169EB" w:rsidRDefault="00F6215F" w:rsidP="008B4BED">
            <w:pPr>
              <w:pStyle w:val="p1"/>
              <w:rPr>
                <w:b w:val="0"/>
                <w:bCs w:val="0"/>
                <w:sz w:val="22"/>
                <w:szCs w:val="22"/>
              </w:rPr>
            </w:pPr>
            <w:r w:rsidRPr="004169EB">
              <w:rPr>
                <w:b w:val="0"/>
                <w:bCs w:val="0"/>
                <w:sz w:val="22"/>
                <w:szCs w:val="22"/>
              </w:rPr>
              <w:t>Personal AI</w:t>
            </w:r>
          </w:p>
        </w:tc>
        <w:tc>
          <w:tcPr>
            <w:tcW w:w="1418" w:type="dxa"/>
            <w:hideMark/>
          </w:tcPr>
          <w:p w14:paraId="23603B74"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48</w:t>
            </w:r>
            <w:r>
              <w:rPr>
                <w:sz w:val="22"/>
                <w:szCs w:val="22"/>
              </w:rPr>
              <w:t>-</w:t>
            </w:r>
            <w:r w:rsidRPr="004169EB">
              <w:rPr>
                <w:sz w:val="22"/>
                <w:szCs w:val="22"/>
              </w:rPr>
              <w:t>55</w:t>
            </w:r>
          </w:p>
        </w:tc>
        <w:tc>
          <w:tcPr>
            <w:tcW w:w="1417" w:type="dxa"/>
            <w:hideMark/>
          </w:tcPr>
          <w:p w14:paraId="3DD588D0"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16</w:t>
            </w:r>
            <w:r>
              <w:rPr>
                <w:sz w:val="22"/>
                <w:szCs w:val="22"/>
              </w:rPr>
              <w:t>-</w:t>
            </w:r>
            <w:r w:rsidRPr="004169EB">
              <w:rPr>
                <w:sz w:val="22"/>
                <w:szCs w:val="22"/>
              </w:rPr>
              <w:t>23</w:t>
            </w:r>
          </w:p>
        </w:tc>
        <w:tc>
          <w:tcPr>
            <w:tcW w:w="1559" w:type="dxa"/>
            <w:hideMark/>
          </w:tcPr>
          <w:p w14:paraId="43EE6BD4"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1.10</w:t>
            </w:r>
            <w:r>
              <w:rPr>
                <w:sz w:val="22"/>
                <w:szCs w:val="22"/>
              </w:rPr>
              <w:t>-</w:t>
            </w:r>
            <w:r w:rsidRPr="004169EB">
              <w:rPr>
                <w:sz w:val="22"/>
                <w:szCs w:val="22"/>
              </w:rPr>
              <w:t>2.70</w:t>
            </w:r>
          </w:p>
        </w:tc>
        <w:tc>
          <w:tcPr>
            <w:tcW w:w="1418" w:type="dxa"/>
            <w:hideMark/>
          </w:tcPr>
          <w:p w14:paraId="2CAB7CCF"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0.56</w:t>
            </w:r>
            <w:r>
              <w:rPr>
                <w:sz w:val="22"/>
                <w:szCs w:val="22"/>
              </w:rPr>
              <w:t>-</w:t>
            </w:r>
            <w:r w:rsidRPr="004169EB">
              <w:rPr>
                <w:sz w:val="22"/>
                <w:szCs w:val="22"/>
              </w:rPr>
              <w:t>0.68</w:t>
            </w:r>
          </w:p>
        </w:tc>
        <w:tc>
          <w:tcPr>
            <w:tcW w:w="1417" w:type="dxa"/>
            <w:hideMark/>
          </w:tcPr>
          <w:p w14:paraId="49DFCE0A" w14:textId="77777777" w:rsidR="00F6215F" w:rsidRPr="004169EB" w:rsidRDefault="00F6215F" w:rsidP="008B4BED">
            <w:pPr>
              <w:pStyle w:val="p1"/>
              <w:jc w:val="center"/>
              <w:cnfStyle w:val="000000100000" w:firstRow="0" w:lastRow="0" w:firstColumn="0" w:lastColumn="0" w:oddVBand="0" w:evenVBand="0" w:oddHBand="1" w:evenHBand="0" w:firstRowFirstColumn="0" w:firstRowLastColumn="0" w:lastRowFirstColumn="0" w:lastRowLastColumn="0"/>
              <w:rPr>
                <w:sz w:val="22"/>
                <w:szCs w:val="22"/>
              </w:rPr>
            </w:pPr>
            <w:r w:rsidRPr="004169EB">
              <w:rPr>
                <w:sz w:val="22"/>
                <w:szCs w:val="22"/>
              </w:rPr>
              <w:t>0.71</w:t>
            </w:r>
            <w:r>
              <w:rPr>
                <w:sz w:val="22"/>
                <w:szCs w:val="22"/>
              </w:rPr>
              <w:t>-</w:t>
            </w:r>
            <w:r w:rsidRPr="004169EB">
              <w:rPr>
                <w:sz w:val="22"/>
                <w:szCs w:val="22"/>
              </w:rPr>
              <w:t>0.83</w:t>
            </w:r>
          </w:p>
        </w:tc>
      </w:tr>
      <w:tr w:rsidR="00F6215F" w:rsidRPr="004169EB" w14:paraId="6620E12D" w14:textId="77777777" w:rsidTr="008B4BED">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tcBorders>
            <w:hideMark/>
          </w:tcPr>
          <w:p w14:paraId="012E660B" w14:textId="77777777" w:rsidR="00F6215F" w:rsidRPr="004169EB" w:rsidRDefault="00F6215F" w:rsidP="008B4BED">
            <w:pPr>
              <w:pStyle w:val="p1"/>
              <w:rPr>
                <w:b w:val="0"/>
                <w:bCs w:val="0"/>
                <w:sz w:val="22"/>
                <w:szCs w:val="22"/>
              </w:rPr>
            </w:pPr>
            <w:r w:rsidRPr="004169EB">
              <w:rPr>
                <w:b w:val="0"/>
                <w:bCs w:val="0"/>
                <w:sz w:val="22"/>
                <w:szCs w:val="22"/>
              </w:rPr>
              <w:t>Institutional</w:t>
            </w:r>
            <w:r>
              <w:rPr>
                <w:b w:val="0"/>
                <w:bCs w:val="0"/>
                <w:sz w:val="22"/>
                <w:szCs w:val="22"/>
              </w:rPr>
              <w:t xml:space="preserve"> </w:t>
            </w:r>
            <w:r w:rsidRPr="004169EB">
              <w:rPr>
                <w:b w:val="0"/>
                <w:bCs w:val="0"/>
                <w:sz w:val="22"/>
                <w:szCs w:val="22"/>
              </w:rPr>
              <w:t>AI</w:t>
            </w:r>
          </w:p>
        </w:tc>
        <w:tc>
          <w:tcPr>
            <w:tcW w:w="1418" w:type="dxa"/>
            <w:tcBorders>
              <w:bottom w:val="single" w:sz="4" w:space="0" w:color="auto"/>
            </w:tcBorders>
            <w:hideMark/>
          </w:tcPr>
          <w:p w14:paraId="6C0D6453"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48</w:t>
            </w:r>
            <w:r>
              <w:rPr>
                <w:sz w:val="22"/>
                <w:szCs w:val="22"/>
              </w:rPr>
              <w:t>-</w:t>
            </w:r>
            <w:r w:rsidRPr="004169EB">
              <w:rPr>
                <w:sz w:val="22"/>
                <w:szCs w:val="22"/>
              </w:rPr>
              <w:t>53</w:t>
            </w:r>
          </w:p>
        </w:tc>
        <w:tc>
          <w:tcPr>
            <w:tcW w:w="1417" w:type="dxa"/>
            <w:tcBorders>
              <w:bottom w:val="single" w:sz="4" w:space="0" w:color="auto"/>
            </w:tcBorders>
            <w:hideMark/>
          </w:tcPr>
          <w:p w14:paraId="58CEA40F"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15</w:t>
            </w:r>
            <w:r>
              <w:rPr>
                <w:sz w:val="22"/>
                <w:szCs w:val="22"/>
              </w:rPr>
              <w:t>-</w:t>
            </w:r>
            <w:r w:rsidRPr="004169EB">
              <w:rPr>
                <w:sz w:val="22"/>
                <w:szCs w:val="22"/>
              </w:rPr>
              <w:t>21</w:t>
            </w:r>
          </w:p>
        </w:tc>
        <w:tc>
          <w:tcPr>
            <w:tcW w:w="1559" w:type="dxa"/>
            <w:tcBorders>
              <w:bottom w:val="single" w:sz="4" w:space="0" w:color="auto"/>
            </w:tcBorders>
            <w:hideMark/>
          </w:tcPr>
          <w:p w14:paraId="0A78CC03"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1.40</w:t>
            </w:r>
            <w:r>
              <w:rPr>
                <w:sz w:val="22"/>
                <w:szCs w:val="22"/>
              </w:rPr>
              <w:t>-</w:t>
            </w:r>
            <w:r w:rsidRPr="004169EB">
              <w:rPr>
                <w:sz w:val="22"/>
                <w:szCs w:val="22"/>
              </w:rPr>
              <w:t>2.77</w:t>
            </w:r>
          </w:p>
        </w:tc>
        <w:tc>
          <w:tcPr>
            <w:tcW w:w="1418" w:type="dxa"/>
            <w:tcBorders>
              <w:bottom w:val="single" w:sz="4" w:space="0" w:color="auto"/>
            </w:tcBorders>
            <w:hideMark/>
          </w:tcPr>
          <w:p w14:paraId="57374C88"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0.62</w:t>
            </w:r>
            <w:r>
              <w:rPr>
                <w:sz w:val="22"/>
                <w:szCs w:val="22"/>
              </w:rPr>
              <w:t>-</w:t>
            </w:r>
            <w:r w:rsidRPr="004169EB">
              <w:rPr>
                <w:sz w:val="22"/>
                <w:szCs w:val="22"/>
              </w:rPr>
              <w:t>0.69</w:t>
            </w:r>
          </w:p>
        </w:tc>
        <w:tc>
          <w:tcPr>
            <w:tcW w:w="1417" w:type="dxa"/>
            <w:tcBorders>
              <w:bottom w:val="single" w:sz="4" w:space="0" w:color="auto"/>
            </w:tcBorders>
            <w:hideMark/>
          </w:tcPr>
          <w:p w14:paraId="7F7FD525" w14:textId="77777777" w:rsidR="00F6215F" w:rsidRPr="004169EB" w:rsidRDefault="00F6215F" w:rsidP="008B4BED">
            <w:pPr>
              <w:pStyle w:val="p1"/>
              <w:jc w:val="center"/>
              <w:cnfStyle w:val="000000000000" w:firstRow="0" w:lastRow="0" w:firstColumn="0" w:lastColumn="0" w:oddVBand="0" w:evenVBand="0" w:oddHBand="0" w:evenHBand="0" w:firstRowFirstColumn="0" w:firstRowLastColumn="0" w:lastRowFirstColumn="0" w:lastRowLastColumn="0"/>
              <w:rPr>
                <w:sz w:val="22"/>
                <w:szCs w:val="22"/>
              </w:rPr>
            </w:pPr>
            <w:r w:rsidRPr="004169EB">
              <w:rPr>
                <w:sz w:val="22"/>
                <w:szCs w:val="22"/>
              </w:rPr>
              <w:t>0.76</w:t>
            </w:r>
            <w:r>
              <w:rPr>
                <w:sz w:val="22"/>
                <w:szCs w:val="22"/>
              </w:rPr>
              <w:t>-</w:t>
            </w:r>
            <w:r w:rsidRPr="004169EB">
              <w:rPr>
                <w:sz w:val="22"/>
                <w:szCs w:val="22"/>
              </w:rPr>
              <w:t>0.83</w:t>
            </w:r>
          </w:p>
        </w:tc>
      </w:tr>
    </w:tbl>
    <w:p w14:paraId="166B7B67" w14:textId="77777777" w:rsidR="00F6215F" w:rsidRPr="009575D2" w:rsidRDefault="00F6215F" w:rsidP="00F6215F">
      <w:pPr>
        <w:pStyle w:val="p1"/>
        <w:spacing w:before="0" w:beforeAutospacing="0" w:after="0" w:afterAutospacing="0"/>
        <w:rPr>
          <w:sz w:val="18"/>
          <w:szCs w:val="18"/>
        </w:rPr>
      </w:pPr>
      <w:r w:rsidRPr="009575D2">
        <w:rPr>
          <w:sz w:val="18"/>
          <w:szCs w:val="18"/>
        </w:rPr>
        <w:t xml:space="preserve">Note. </w:t>
      </w:r>
      <w:r w:rsidRPr="009575D2">
        <w:rPr>
          <w:i/>
          <w:iCs/>
          <w:sz w:val="18"/>
          <w:szCs w:val="18"/>
        </w:rPr>
        <w:t>Rest-score groups</w:t>
      </w:r>
      <w:r w:rsidRPr="009575D2">
        <w:rPr>
          <w:sz w:val="18"/>
          <w:szCs w:val="18"/>
        </w:rPr>
        <w:t xml:space="preserve"> indicate the number of distinct summed rest-score values used to estimate conditional item means within each scale. </w:t>
      </w:r>
      <w:r w:rsidRPr="009575D2">
        <w:rPr>
          <w:i/>
          <w:iCs/>
          <w:sz w:val="18"/>
          <w:szCs w:val="18"/>
        </w:rPr>
        <w:t>Adjacent violations</w:t>
      </w:r>
      <w:r w:rsidRPr="009575D2">
        <w:rPr>
          <w:sz w:val="18"/>
          <w:szCs w:val="18"/>
        </w:rPr>
        <w:t xml:space="preserve"> refer to the number of decreases in conditional item means between neighbouring rest-score groups. </w:t>
      </w:r>
      <w:r w:rsidRPr="009575D2">
        <w:rPr>
          <w:i/>
          <w:iCs/>
          <w:sz w:val="18"/>
          <w:szCs w:val="18"/>
        </w:rPr>
        <w:t>Maximum adjacent drop</w:t>
      </w:r>
      <w:r w:rsidRPr="009575D2">
        <w:rPr>
          <w:sz w:val="18"/>
          <w:szCs w:val="18"/>
        </w:rPr>
        <w:t xml:space="preserve"> represents the largest observed decrease in conditional item means between adjacent groups. Kendall’s τ and Spearman’s ρ summarise the strength of the monotonic association between item scores and their corresponding rest scores. All values are reported as ranges across items within each scale</w:t>
      </w:r>
    </w:p>
    <w:p w14:paraId="3469E227" w14:textId="77777777" w:rsidR="00F6215F" w:rsidRDefault="00F6215F" w:rsidP="00F6215F">
      <w:pPr>
        <w:rPr>
          <w:rFonts w:ascii="Times New Roman" w:hAnsi="Times New Roman" w:cs="Times New Roman"/>
        </w:rPr>
      </w:pPr>
    </w:p>
    <w:p w14:paraId="5D15D3CC" w14:textId="77777777" w:rsidR="00F6215F" w:rsidRPr="004C1424" w:rsidRDefault="00F6215F" w:rsidP="00F6215F">
      <w:pPr>
        <w:spacing w:line="360" w:lineRule="auto"/>
        <w:ind w:firstLine="720"/>
        <w:jc w:val="both"/>
        <w:rPr>
          <w:rFonts w:ascii="Times New Roman" w:hAnsi="Times New Roman" w:cs="Times New Roman"/>
        </w:rPr>
      </w:pPr>
      <w:r w:rsidRPr="004C1424">
        <w:rPr>
          <w:rFonts w:ascii="Times New Roman" w:hAnsi="Times New Roman" w:cs="Times New Roman"/>
          <w:color w:val="0E0E0E"/>
        </w:rPr>
        <w:t>Across all scales, items showed positive monotonic associations with their rest scores, with Kendall’s τ ranging from 0.44 to 0.69 and Spearman’s ρ from 0.57 to 0.83. Adjacent monotonicity violations were observed for all scales, reflecting the fine-grained rest-score partitioning, but maximum adjacent drops were limited in magnitude (1-3 points on a 0-10 scale). Institutional and personal AI scales showed the strongest monotonic structure, followed by the LLM and general AI scales. Overall, departures from monotonicity were not systematic, supporting the ordinal coherence of all four scales (see Supplementary Material 1 for complete report).</w:t>
      </w:r>
    </w:p>
    <w:p w14:paraId="4A15256E" w14:textId="77777777" w:rsidR="00F6215F" w:rsidRPr="00530D61" w:rsidRDefault="00F6215F" w:rsidP="00F6215F">
      <w:pPr>
        <w:jc w:val="center"/>
        <w:rPr>
          <w:rFonts w:ascii="Times New Roman" w:hAnsi="Times New Roman" w:cs="Times New Roman"/>
          <w:b/>
          <w:bCs/>
        </w:rPr>
      </w:pPr>
      <w:r w:rsidRPr="00530D61">
        <w:rPr>
          <w:rFonts w:ascii="Times New Roman" w:hAnsi="Times New Roman" w:cs="Times New Roman"/>
          <w:b/>
          <w:bCs/>
        </w:rPr>
        <w:t xml:space="preserve">Supplementary Material </w:t>
      </w:r>
      <w:r>
        <w:rPr>
          <w:rFonts w:ascii="Times New Roman" w:hAnsi="Times New Roman" w:cs="Times New Roman"/>
          <w:b/>
          <w:bCs/>
        </w:rPr>
        <w:t>2</w:t>
      </w:r>
    </w:p>
    <w:p w14:paraId="2849C6E0" w14:textId="77777777" w:rsidR="00F6215F" w:rsidRPr="00530D61" w:rsidRDefault="00F6215F" w:rsidP="00F6215F">
      <w:pPr>
        <w:rPr>
          <w:rFonts w:ascii="Times New Roman" w:hAnsi="Times New Roman" w:cs="Times New Roman"/>
        </w:rPr>
      </w:pPr>
      <w:r w:rsidRPr="00530D61">
        <w:rPr>
          <w:rFonts w:ascii="Times New Roman" w:hAnsi="Times New Roman" w:cs="Times New Roman"/>
        </w:rPr>
        <w:lastRenderedPageBreak/>
        <w:t>Table S</w:t>
      </w:r>
      <w:r>
        <w:rPr>
          <w:rFonts w:ascii="Times New Roman" w:hAnsi="Times New Roman" w:cs="Times New Roman"/>
        </w:rPr>
        <w:t>2_1</w:t>
      </w:r>
      <w:r w:rsidRPr="00530D61">
        <w:rPr>
          <w:rFonts w:ascii="Times New Roman" w:hAnsi="Times New Roman" w:cs="Times New Roman"/>
        </w:rPr>
        <w:t>. Distributions of items of Apprehension general AI scale</w:t>
      </w:r>
    </w:p>
    <w:p w14:paraId="315F5804" w14:textId="77777777" w:rsidR="00F6215F" w:rsidRDefault="00F6215F" w:rsidP="00F6215F">
      <w:r>
        <w:rPr>
          <w:noProof/>
        </w:rPr>
        <w:drawing>
          <wp:inline distT="0" distB="0" distL="0" distR="0" wp14:anchorId="72E66C24" wp14:editId="0CCFA927">
            <wp:extent cx="5731510" cy="3343275"/>
            <wp:effectExtent l="0" t="0" r="0" b="0"/>
            <wp:docPr id="1063679125" name="Picture 1" descr="A graph of different size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679125" name="Picture 1" descr="A graph of different sizes and shape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343275"/>
                    </a:xfrm>
                    <a:prstGeom prst="rect">
                      <a:avLst/>
                    </a:prstGeom>
                  </pic:spPr>
                </pic:pic>
              </a:graphicData>
            </a:graphic>
          </wp:inline>
        </w:drawing>
      </w:r>
    </w:p>
    <w:p w14:paraId="31C066B9" w14:textId="77777777" w:rsidR="00F6215F" w:rsidRPr="00530D61" w:rsidRDefault="00F6215F" w:rsidP="00F6215F">
      <w:pPr>
        <w:rPr>
          <w:rFonts w:ascii="Times New Roman" w:hAnsi="Times New Roman" w:cs="Times New Roman"/>
        </w:rPr>
      </w:pPr>
      <w:r w:rsidRPr="00530D61">
        <w:rPr>
          <w:rFonts w:ascii="Times New Roman" w:hAnsi="Times New Roman" w:cs="Times New Roman"/>
        </w:rPr>
        <w:t>Table S2</w:t>
      </w:r>
      <w:r>
        <w:rPr>
          <w:rFonts w:ascii="Times New Roman" w:hAnsi="Times New Roman" w:cs="Times New Roman"/>
        </w:rPr>
        <w:t>_2</w:t>
      </w:r>
      <w:r w:rsidRPr="00530D61">
        <w:rPr>
          <w:rFonts w:ascii="Times New Roman" w:hAnsi="Times New Roman" w:cs="Times New Roman"/>
        </w:rPr>
        <w:t>. Distributions of items of Apprehension institutional AI scale</w:t>
      </w:r>
    </w:p>
    <w:p w14:paraId="3D3195CF" w14:textId="77777777" w:rsidR="00F6215F" w:rsidRDefault="00F6215F" w:rsidP="00F6215F">
      <w:r>
        <w:rPr>
          <w:noProof/>
        </w:rPr>
        <w:drawing>
          <wp:inline distT="0" distB="0" distL="0" distR="0" wp14:anchorId="1598EB40" wp14:editId="2685C4ED">
            <wp:extent cx="5731510" cy="3343275"/>
            <wp:effectExtent l="0" t="0" r="0" b="0"/>
            <wp:docPr id="278068735" name="Picture 2" descr="A graph of different sizes and lev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068735" name="Picture 2" descr="A graph of different sizes and level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3343275"/>
                    </a:xfrm>
                    <a:prstGeom prst="rect">
                      <a:avLst/>
                    </a:prstGeom>
                  </pic:spPr>
                </pic:pic>
              </a:graphicData>
            </a:graphic>
          </wp:inline>
        </w:drawing>
      </w:r>
    </w:p>
    <w:p w14:paraId="324CEE6E" w14:textId="77777777" w:rsidR="00F6215F" w:rsidRPr="00530D61" w:rsidRDefault="00F6215F" w:rsidP="00F6215F">
      <w:pPr>
        <w:rPr>
          <w:rFonts w:ascii="Times New Roman" w:hAnsi="Times New Roman" w:cs="Times New Roman"/>
        </w:rPr>
      </w:pPr>
      <w:r w:rsidRPr="00530D61">
        <w:rPr>
          <w:rFonts w:ascii="Times New Roman" w:hAnsi="Times New Roman" w:cs="Times New Roman"/>
        </w:rPr>
        <w:t>Table S</w:t>
      </w:r>
      <w:r>
        <w:rPr>
          <w:rFonts w:ascii="Times New Roman" w:hAnsi="Times New Roman" w:cs="Times New Roman"/>
        </w:rPr>
        <w:t>2_3</w:t>
      </w:r>
      <w:r w:rsidRPr="00530D61">
        <w:rPr>
          <w:rFonts w:ascii="Times New Roman" w:hAnsi="Times New Roman" w:cs="Times New Roman"/>
        </w:rPr>
        <w:t>. Distributions of items of Apprehension personal AI scale</w:t>
      </w:r>
    </w:p>
    <w:p w14:paraId="4C63CFB2" w14:textId="77777777" w:rsidR="00F6215F" w:rsidRDefault="00F6215F" w:rsidP="00F6215F">
      <w:r>
        <w:rPr>
          <w:noProof/>
        </w:rPr>
        <w:lastRenderedPageBreak/>
        <w:drawing>
          <wp:inline distT="0" distB="0" distL="0" distR="0" wp14:anchorId="74E0874B" wp14:editId="64B34839">
            <wp:extent cx="5731510" cy="3343275"/>
            <wp:effectExtent l="0" t="0" r="0" b="0"/>
            <wp:docPr id="962269424" name="Picture 3" descr="A graph of different sizes an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269424" name="Picture 3" descr="A graph of different sizes and shap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343275"/>
                    </a:xfrm>
                    <a:prstGeom prst="rect">
                      <a:avLst/>
                    </a:prstGeom>
                  </pic:spPr>
                </pic:pic>
              </a:graphicData>
            </a:graphic>
          </wp:inline>
        </w:drawing>
      </w:r>
    </w:p>
    <w:p w14:paraId="2C23C26C" w14:textId="77777777" w:rsidR="00F6215F" w:rsidRPr="00530D61" w:rsidRDefault="00F6215F" w:rsidP="00F6215F">
      <w:pPr>
        <w:rPr>
          <w:rFonts w:ascii="Times New Roman" w:hAnsi="Times New Roman" w:cs="Times New Roman"/>
        </w:rPr>
      </w:pPr>
      <w:r w:rsidRPr="00530D61">
        <w:rPr>
          <w:rFonts w:ascii="Times New Roman" w:hAnsi="Times New Roman" w:cs="Times New Roman"/>
        </w:rPr>
        <w:t>Table S</w:t>
      </w:r>
      <w:r>
        <w:rPr>
          <w:rFonts w:ascii="Times New Roman" w:hAnsi="Times New Roman" w:cs="Times New Roman"/>
        </w:rPr>
        <w:t>2_4</w:t>
      </w:r>
      <w:r w:rsidRPr="00530D61">
        <w:rPr>
          <w:rFonts w:ascii="Times New Roman" w:hAnsi="Times New Roman" w:cs="Times New Roman"/>
        </w:rPr>
        <w:t>. Distributions of items of Apprehension LLM AI scale</w:t>
      </w:r>
    </w:p>
    <w:p w14:paraId="6933D376" w14:textId="7F46A49F" w:rsidR="00C4199F" w:rsidRDefault="00F6215F">
      <w:r>
        <w:rPr>
          <w:noProof/>
        </w:rPr>
        <w:drawing>
          <wp:inline distT="0" distB="0" distL="0" distR="0" wp14:anchorId="54265455" wp14:editId="4EB5B3F8">
            <wp:extent cx="5731510" cy="3343275"/>
            <wp:effectExtent l="0" t="0" r="0" b="0"/>
            <wp:docPr id="1477068107" name="Picture 4" descr="A graph of different lev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068107" name="Picture 4" descr="A graph of different level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343275"/>
                    </a:xfrm>
                    <a:prstGeom prst="rect">
                      <a:avLst/>
                    </a:prstGeom>
                  </pic:spPr>
                </pic:pic>
              </a:graphicData>
            </a:graphic>
          </wp:inline>
        </w:drawing>
      </w:r>
    </w:p>
    <w:p w14:paraId="6B1369F9" w14:textId="77777777" w:rsidR="00F6215F" w:rsidRPr="00735EC3" w:rsidRDefault="00F6215F" w:rsidP="00F6215F">
      <w:pPr>
        <w:pStyle w:val="Heading1"/>
        <w:jc w:val="center"/>
        <w:rPr>
          <w:rFonts w:ascii="Times New Roman" w:hAnsi="Times New Roman" w:cs="Times New Roman"/>
          <w:color w:val="000000" w:themeColor="text1"/>
          <w:sz w:val="24"/>
          <w:szCs w:val="24"/>
        </w:rPr>
      </w:pPr>
      <w:r w:rsidRPr="00735EC3">
        <w:rPr>
          <w:rFonts w:ascii="Times New Roman" w:hAnsi="Times New Roman" w:cs="Times New Roman"/>
          <w:color w:val="000000" w:themeColor="text1"/>
          <w:sz w:val="24"/>
          <w:szCs w:val="24"/>
        </w:rPr>
        <w:t xml:space="preserve">Supplementary Material </w:t>
      </w:r>
      <w:r>
        <w:rPr>
          <w:rFonts w:ascii="Times New Roman" w:hAnsi="Times New Roman" w:cs="Times New Roman"/>
          <w:color w:val="000000" w:themeColor="text1"/>
          <w:sz w:val="24"/>
          <w:szCs w:val="24"/>
        </w:rPr>
        <w:t>3</w:t>
      </w:r>
    </w:p>
    <w:p w14:paraId="62D56121" w14:textId="77777777" w:rsidR="00F6215F" w:rsidRPr="00735EC3" w:rsidRDefault="00F6215F" w:rsidP="00F6215F">
      <w:pPr>
        <w:pStyle w:val="Heading1"/>
        <w:rPr>
          <w:rFonts w:ascii="Times New Roman" w:hAnsi="Times New Roman" w:cs="Times New Roman"/>
          <w:b/>
          <w:bCs/>
          <w:color w:val="000000" w:themeColor="text1"/>
          <w:sz w:val="24"/>
          <w:szCs w:val="24"/>
        </w:rPr>
      </w:pPr>
      <w:r w:rsidRPr="00735EC3">
        <w:rPr>
          <w:rFonts w:ascii="Times New Roman" w:hAnsi="Times New Roman" w:cs="Times New Roman"/>
          <w:color w:val="000000" w:themeColor="text1"/>
          <w:sz w:val="24"/>
          <w:szCs w:val="24"/>
        </w:rPr>
        <w:t>Table S</w:t>
      </w:r>
      <w:r>
        <w:rPr>
          <w:rFonts w:ascii="Times New Roman" w:hAnsi="Times New Roman" w:cs="Times New Roman"/>
          <w:color w:val="000000" w:themeColor="text1"/>
          <w:sz w:val="24"/>
          <w:szCs w:val="24"/>
        </w:rPr>
        <w:t>3</w:t>
      </w:r>
      <w:r w:rsidRPr="00735EC3">
        <w:rPr>
          <w:rFonts w:ascii="Times New Roman" w:hAnsi="Times New Roman" w:cs="Times New Roman"/>
          <w:color w:val="000000" w:themeColor="text1"/>
          <w:sz w:val="24"/>
          <w:szCs w:val="24"/>
        </w:rPr>
        <w:t xml:space="preserve">. Reliability indices by factor and AI </w:t>
      </w:r>
      <w:r>
        <w:rPr>
          <w:rFonts w:ascii="Times New Roman" w:hAnsi="Times New Roman" w:cs="Times New Roman"/>
          <w:color w:val="000000" w:themeColor="text1"/>
          <w:sz w:val="24"/>
          <w:szCs w:val="24"/>
        </w:rPr>
        <w:t>type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3"/>
        <w:gridCol w:w="1527"/>
        <w:gridCol w:w="745"/>
        <w:gridCol w:w="725"/>
        <w:gridCol w:w="752"/>
        <w:gridCol w:w="725"/>
        <w:gridCol w:w="1194"/>
        <w:gridCol w:w="725"/>
        <w:gridCol w:w="725"/>
        <w:gridCol w:w="725"/>
      </w:tblGrid>
      <w:tr w:rsidR="00F6215F" w:rsidRPr="00735EC3" w14:paraId="78ABE2C1" w14:textId="77777777" w:rsidTr="008B4BED">
        <w:tc>
          <w:tcPr>
            <w:tcW w:w="864" w:type="dxa"/>
            <w:tcBorders>
              <w:top w:val="single" w:sz="4" w:space="0" w:color="auto"/>
              <w:bottom w:val="single" w:sz="4" w:space="0" w:color="auto"/>
            </w:tcBorders>
          </w:tcPr>
          <w:p w14:paraId="2EFC0994" w14:textId="77777777" w:rsidR="00F6215F" w:rsidRPr="00735EC3" w:rsidRDefault="00F6215F" w:rsidP="008B4BED">
            <w:pPr>
              <w:rPr>
                <w:rFonts w:ascii="Times New Roman" w:hAnsi="Times New Roman" w:cs="Times New Roman"/>
                <w:b/>
                <w:bCs/>
                <w:sz w:val="20"/>
                <w:szCs w:val="20"/>
              </w:rPr>
            </w:pPr>
            <w:r w:rsidRPr="00735EC3">
              <w:rPr>
                <w:rFonts w:ascii="Times New Roman" w:hAnsi="Times New Roman" w:cs="Times New Roman"/>
                <w:b/>
                <w:bCs/>
                <w:sz w:val="20"/>
                <w:szCs w:val="20"/>
              </w:rPr>
              <w:t xml:space="preserve">AI </w:t>
            </w:r>
          </w:p>
        </w:tc>
        <w:tc>
          <w:tcPr>
            <w:tcW w:w="864" w:type="dxa"/>
            <w:tcBorders>
              <w:top w:val="single" w:sz="4" w:space="0" w:color="auto"/>
              <w:bottom w:val="single" w:sz="4" w:space="0" w:color="auto"/>
            </w:tcBorders>
          </w:tcPr>
          <w:p w14:paraId="16083D66" w14:textId="77777777" w:rsidR="00F6215F" w:rsidRPr="00735EC3" w:rsidRDefault="00F6215F" w:rsidP="008B4BED">
            <w:pPr>
              <w:rPr>
                <w:rFonts w:ascii="Times New Roman" w:hAnsi="Times New Roman" w:cs="Times New Roman"/>
                <w:b/>
                <w:bCs/>
                <w:sz w:val="20"/>
                <w:szCs w:val="20"/>
              </w:rPr>
            </w:pPr>
            <w:r w:rsidRPr="00735EC3">
              <w:rPr>
                <w:rFonts w:ascii="Times New Roman" w:hAnsi="Times New Roman" w:cs="Times New Roman"/>
                <w:b/>
                <w:bCs/>
                <w:sz w:val="20"/>
                <w:szCs w:val="20"/>
              </w:rPr>
              <w:t>Factor</w:t>
            </w:r>
          </w:p>
        </w:tc>
        <w:tc>
          <w:tcPr>
            <w:tcW w:w="864" w:type="dxa"/>
            <w:tcBorders>
              <w:top w:val="single" w:sz="4" w:space="0" w:color="auto"/>
              <w:bottom w:val="single" w:sz="4" w:space="0" w:color="auto"/>
            </w:tcBorders>
          </w:tcPr>
          <w:p w14:paraId="5528223C"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Items</w:t>
            </w:r>
          </w:p>
        </w:tc>
        <w:tc>
          <w:tcPr>
            <w:tcW w:w="864" w:type="dxa"/>
            <w:tcBorders>
              <w:top w:val="single" w:sz="4" w:space="0" w:color="auto"/>
              <w:bottom w:val="single" w:sz="4" w:space="0" w:color="auto"/>
            </w:tcBorders>
          </w:tcPr>
          <w:p w14:paraId="7FB629C4"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α</w:t>
            </w:r>
          </w:p>
        </w:tc>
        <w:tc>
          <w:tcPr>
            <w:tcW w:w="864" w:type="dxa"/>
            <w:tcBorders>
              <w:top w:val="single" w:sz="4" w:space="0" w:color="auto"/>
              <w:bottom w:val="single" w:sz="4" w:space="0" w:color="auto"/>
            </w:tcBorders>
          </w:tcPr>
          <w:p w14:paraId="0A6D3978"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Mean r</w:t>
            </w:r>
          </w:p>
        </w:tc>
        <w:tc>
          <w:tcPr>
            <w:tcW w:w="864" w:type="dxa"/>
            <w:tcBorders>
              <w:top w:val="single" w:sz="4" w:space="0" w:color="auto"/>
              <w:bottom w:val="single" w:sz="4" w:space="0" w:color="auto"/>
            </w:tcBorders>
          </w:tcPr>
          <w:p w14:paraId="1B426E6A"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r (2-item)</w:t>
            </w:r>
          </w:p>
        </w:tc>
        <w:tc>
          <w:tcPr>
            <w:tcW w:w="864" w:type="dxa"/>
            <w:tcBorders>
              <w:top w:val="single" w:sz="4" w:space="0" w:color="auto"/>
              <w:bottom w:val="single" w:sz="4" w:space="0" w:color="auto"/>
            </w:tcBorders>
          </w:tcPr>
          <w:p w14:paraId="5E92865D"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Spearman–Brown</w:t>
            </w:r>
          </w:p>
        </w:tc>
        <w:tc>
          <w:tcPr>
            <w:tcW w:w="864" w:type="dxa"/>
            <w:tcBorders>
              <w:top w:val="single" w:sz="4" w:space="0" w:color="auto"/>
              <w:bottom w:val="single" w:sz="4" w:space="0" w:color="auto"/>
            </w:tcBorders>
          </w:tcPr>
          <w:p w14:paraId="36397DEB"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CR (</w:t>
            </w:r>
            <w:proofErr w:type="spellStart"/>
            <w:r w:rsidRPr="00735EC3">
              <w:rPr>
                <w:rFonts w:ascii="Times New Roman" w:hAnsi="Times New Roman" w:cs="Times New Roman"/>
                <w:b/>
                <w:bCs/>
                <w:sz w:val="20"/>
                <w:szCs w:val="20"/>
              </w:rPr>
              <w:t>ωc</w:t>
            </w:r>
            <w:proofErr w:type="spellEnd"/>
            <w:r w:rsidRPr="00735EC3">
              <w:rPr>
                <w:rFonts w:ascii="Times New Roman" w:hAnsi="Times New Roman" w:cs="Times New Roman"/>
                <w:b/>
                <w:bCs/>
                <w:sz w:val="20"/>
                <w:szCs w:val="20"/>
              </w:rPr>
              <w:t>)</w:t>
            </w:r>
          </w:p>
        </w:tc>
        <w:tc>
          <w:tcPr>
            <w:tcW w:w="864" w:type="dxa"/>
            <w:tcBorders>
              <w:top w:val="single" w:sz="4" w:space="0" w:color="auto"/>
              <w:bottom w:val="single" w:sz="4" w:space="0" w:color="auto"/>
            </w:tcBorders>
          </w:tcPr>
          <w:p w14:paraId="56A07BEF"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AVE</w:t>
            </w:r>
          </w:p>
        </w:tc>
        <w:tc>
          <w:tcPr>
            <w:tcW w:w="864" w:type="dxa"/>
            <w:tcBorders>
              <w:top w:val="single" w:sz="4" w:space="0" w:color="auto"/>
              <w:bottom w:val="single" w:sz="4" w:space="0" w:color="auto"/>
            </w:tcBorders>
          </w:tcPr>
          <w:p w14:paraId="65BF5850" w14:textId="77777777" w:rsidR="00F6215F" w:rsidRPr="00735EC3" w:rsidRDefault="00F6215F" w:rsidP="008B4BED">
            <w:pPr>
              <w:jc w:val="center"/>
              <w:rPr>
                <w:rFonts w:ascii="Times New Roman" w:hAnsi="Times New Roman" w:cs="Times New Roman"/>
                <w:b/>
                <w:bCs/>
                <w:sz w:val="20"/>
                <w:szCs w:val="20"/>
              </w:rPr>
            </w:pPr>
            <w:r w:rsidRPr="00735EC3">
              <w:rPr>
                <w:rFonts w:ascii="Times New Roman" w:hAnsi="Times New Roman" w:cs="Times New Roman"/>
                <w:b/>
                <w:bCs/>
                <w:sz w:val="20"/>
                <w:szCs w:val="20"/>
              </w:rPr>
              <w:t>H</w:t>
            </w:r>
          </w:p>
        </w:tc>
      </w:tr>
      <w:tr w:rsidR="00F6215F" w:rsidRPr="00735EC3" w14:paraId="0CEB6396" w14:textId="77777777" w:rsidTr="008B4BED">
        <w:tc>
          <w:tcPr>
            <w:tcW w:w="864" w:type="dxa"/>
            <w:tcBorders>
              <w:top w:val="single" w:sz="4" w:space="0" w:color="auto"/>
            </w:tcBorders>
          </w:tcPr>
          <w:p w14:paraId="75270351"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General AI</w:t>
            </w:r>
          </w:p>
        </w:tc>
        <w:tc>
          <w:tcPr>
            <w:tcW w:w="864" w:type="dxa"/>
            <w:tcBorders>
              <w:top w:val="single" w:sz="4" w:space="0" w:color="auto"/>
            </w:tcBorders>
          </w:tcPr>
          <w:p w14:paraId="74B72858"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Implied Malice</w:t>
            </w:r>
          </w:p>
        </w:tc>
        <w:tc>
          <w:tcPr>
            <w:tcW w:w="864" w:type="dxa"/>
            <w:tcBorders>
              <w:top w:val="single" w:sz="4" w:space="0" w:color="auto"/>
            </w:tcBorders>
          </w:tcPr>
          <w:p w14:paraId="3193A3C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2</w:t>
            </w:r>
          </w:p>
        </w:tc>
        <w:tc>
          <w:tcPr>
            <w:tcW w:w="864" w:type="dxa"/>
            <w:tcBorders>
              <w:top w:val="single" w:sz="4" w:space="0" w:color="auto"/>
            </w:tcBorders>
          </w:tcPr>
          <w:p w14:paraId="07FF64E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0.864</w:t>
            </w:r>
          </w:p>
        </w:tc>
        <w:tc>
          <w:tcPr>
            <w:tcW w:w="864" w:type="dxa"/>
            <w:tcBorders>
              <w:top w:val="single" w:sz="4" w:space="0" w:color="auto"/>
            </w:tcBorders>
          </w:tcPr>
          <w:p w14:paraId="6BCF0107"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0.761</w:t>
            </w:r>
          </w:p>
        </w:tc>
        <w:tc>
          <w:tcPr>
            <w:tcW w:w="864" w:type="dxa"/>
            <w:tcBorders>
              <w:top w:val="single" w:sz="4" w:space="0" w:color="auto"/>
            </w:tcBorders>
          </w:tcPr>
          <w:p w14:paraId="7F676732"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0.761</w:t>
            </w:r>
          </w:p>
        </w:tc>
        <w:tc>
          <w:tcPr>
            <w:tcW w:w="864" w:type="dxa"/>
            <w:tcBorders>
              <w:top w:val="single" w:sz="4" w:space="0" w:color="auto"/>
            </w:tcBorders>
          </w:tcPr>
          <w:p w14:paraId="3CEEDA88"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0.864</w:t>
            </w:r>
          </w:p>
        </w:tc>
        <w:tc>
          <w:tcPr>
            <w:tcW w:w="864" w:type="dxa"/>
            <w:tcBorders>
              <w:top w:val="single" w:sz="4" w:space="0" w:color="auto"/>
            </w:tcBorders>
          </w:tcPr>
          <w:p w14:paraId="3242668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0.864</w:t>
            </w:r>
          </w:p>
        </w:tc>
        <w:tc>
          <w:tcPr>
            <w:tcW w:w="864" w:type="dxa"/>
            <w:tcBorders>
              <w:top w:val="single" w:sz="4" w:space="0" w:color="auto"/>
            </w:tcBorders>
          </w:tcPr>
          <w:p w14:paraId="38632733"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0.761</w:t>
            </w:r>
          </w:p>
        </w:tc>
        <w:tc>
          <w:tcPr>
            <w:tcW w:w="864" w:type="dxa"/>
            <w:tcBorders>
              <w:top w:val="single" w:sz="4" w:space="0" w:color="auto"/>
            </w:tcBorders>
          </w:tcPr>
          <w:p w14:paraId="4EE39C2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0.568</w:t>
            </w:r>
          </w:p>
        </w:tc>
      </w:tr>
      <w:tr w:rsidR="00F6215F" w:rsidRPr="00735EC3" w14:paraId="725CC325" w14:textId="77777777" w:rsidTr="008B4BED">
        <w:tc>
          <w:tcPr>
            <w:tcW w:w="864" w:type="dxa"/>
          </w:tcPr>
          <w:p w14:paraId="3D5820EC" w14:textId="77777777" w:rsidR="00F6215F" w:rsidRPr="00735EC3" w:rsidRDefault="00F6215F" w:rsidP="008B4BED">
            <w:pPr>
              <w:rPr>
                <w:rFonts w:ascii="Times New Roman" w:hAnsi="Times New Roman" w:cs="Times New Roman"/>
                <w:sz w:val="20"/>
                <w:szCs w:val="20"/>
              </w:rPr>
            </w:pPr>
          </w:p>
        </w:tc>
        <w:tc>
          <w:tcPr>
            <w:tcW w:w="864" w:type="dxa"/>
          </w:tcPr>
          <w:p w14:paraId="78F3D6BF"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Undesirability</w:t>
            </w:r>
          </w:p>
        </w:tc>
        <w:tc>
          <w:tcPr>
            <w:tcW w:w="864" w:type="dxa"/>
          </w:tcPr>
          <w:p w14:paraId="3D82557F"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Pr>
          <w:p w14:paraId="4C16C992"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0.942</w:t>
            </w:r>
          </w:p>
        </w:tc>
        <w:tc>
          <w:tcPr>
            <w:tcW w:w="864" w:type="dxa"/>
          </w:tcPr>
          <w:p w14:paraId="213FB71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0.843</w:t>
            </w:r>
          </w:p>
        </w:tc>
        <w:tc>
          <w:tcPr>
            <w:tcW w:w="864" w:type="dxa"/>
          </w:tcPr>
          <w:p w14:paraId="24609B8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293BEC54"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7AE61B45"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0.943</w:t>
            </w:r>
          </w:p>
        </w:tc>
        <w:tc>
          <w:tcPr>
            <w:tcW w:w="864" w:type="dxa"/>
          </w:tcPr>
          <w:p w14:paraId="68B10E37"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0.845</w:t>
            </w:r>
          </w:p>
        </w:tc>
        <w:tc>
          <w:tcPr>
            <w:tcW w:w="864" w:type="dxa"/>
          </w:tcPr>
          <w:p w14:paraId="6B7B4040"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0.683</w:t>
            </w:r>
          </w:p>
        </w:tc>
      </w:tr>
      <w:tr w:rsidR="00F6215F" w:rsidRPr="00735EC3" w14:paraId="5CCFDD68" w14:textId="77777777" w:rsidTr="008B4BED">
        <w:tc>
          <w:tcPr>
            <w:tcW w:w="864" w:type="dxa"/>
            <w:tcBorders>
              <w:bottom w:val="single" w:sz="4" w:space="0" w:color="auto"/>
            </w:tcBorders>
          </w:tcPr>
          <w:p w14:paraId="6BB751DC" w14:textId="77777777" w:rsidR="00F6215F" w:rsidRPr="00735EC3" w:rsidRDefault="00F6215F" w:rsidP="008B4BED">
            <w:pPr>
              <w:rPr>
                <w:rFonts w:ascii="Times New Roman" w:hAnsi="Times New Roman" w:cs="Times New Roman"/>
                <w:sz w:val="20"/>
                <w:szCs w:val="20"/>
              </w:rPr>
            </w:pPr>
          </w:p>
        </w:tc>
        <w:tc>
          <w:tcPr>
            <w:tcW w:w="864" w:type="dxa"/>
            <w:tcBorders>
              <w:bottom w:val="single" w:sz="4" w:space="0" w:color="auto"/>
            </w:tcBorders>
          </w:tcPr>
          <w:p w14:paraId="72CC42A8"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Unpredictability</w:t>
            </w:r>
          </w:p>
        </w:tc>
        <w:tc>
          <w:tcPr>
            <w:tcW w:w="864" w:type="dxa"/>
            <w:tcBorders>
              <w:bottom w:val="single" w:sz="4" w:space="0" w:color="auto"/>
            </w:tcBorders>
          </w:tcPr>
          <w:p w14:paraId="212609D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Borders>
              <w:bottom w:val="single" w:sz="4" w:space="0" w:color="auto"/>
            </w:tcBorders>
          </w:tcPr>
          <w:p w14:paraId="4B552D3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0.889</w:t>
            </w:r>
          </w:p>
        </w:tc>
        <w:tc>
          <w:tcPr>
            <w:tcW w:w="864" w:type="dxa"/>
            <w:tcBorders>
              <w:bottom w:val="single" w:sz="4" w:space="0" w:color="auto"/>
            </w:tcBorders>
          </w:tcPr>
          <w:p w14:paraId="1DB561B7"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0.727</w:t>
            </w:r>
          </w:p>
        </w:tc>
        <w:tc>
          <w:tcPr>
            <w:tcW w:w="864" w:type="dxa"/>
            <w:tcBorders>
              <w:bottom w:val="single" w:sz="4" w:space="0" w:color="auto"/>
            </w:tcBorders>
          </w:tcPr>
          <w:p w14:paraId="52727A2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0CC6023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2350BB9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0.895</w:t>
            </w:r>
          </w:p>
        </w:tc>
        <w:tc>
          <w:tcPr>
            <w:tcW w:w="864" w:type="dxa"/>
            <w:tcBorders>
              <w:bottom w:val="single" w:sz="4" w:space="0" w:color="auto"/>
            </w:tcBorders>
          </w:tcPr>
          <w:p w14:paraId="6B39A376"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0.736</w:t>
            </w:r>
          </w:p>
        </w:tc>
        <w:tc>
          <w:tcPr>
            <w:tcW w:w="864" w:type="dxa"/>
            <w:tcBorders>
              <w:bottom w:val="single" w:sz="4" w:space="0" w:color="auto"/>
            </w:tcBorders>
          </w:tcPr>
          <w:p w14:paraId="1D40DFA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0.597</w:t>
            </w:r>
          </w:p>
        </w:tc>
      </w:tr>
      <w:tr w:rsidR="00F6215F" w:rsidRPr="00735EC3" w14:paraId="6D369B55" w14:textId="77777777" w:rsidTr="008B4BED">
        <w:tc>
          <w:tcPr>
            <w:tcW w:w="864" w:type="dxa"/>
            <w:tcBorders>
              <w:top w:val="single" w:sz="4" w:space="0" w:color="auto"/>
            </w:tcBorders>
          </w:tcPr>
          <w:p w14:paraId="2D6DC848"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lastRenderedPageBreak/>
              <w:t>LLM</w:t>
            </w:r>
          </w:p>
        </w:tc>
        <w:tc>
          <w:tcPr>
            <w:tcW w:w="864" w:type="dxa"/>
            <w:tcBorders>
              <w:top w:val="single" w:sz="4" w:space="0" w:color="auto"/>
            </w:tcBorders>
          </w:tcPr>
          <w:p w14:paraId="67A94267"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Implied Malice</w:t>
            </w:r>
          </w:p>
        </w:tc>
        <w:tc>
          <w:tcPr>
            <w:tcW w:w="864" w:type="dxa"/>
            <w:tcBorders>
              <w:top w:val="single" w:sz="4" w:space="0" w:color="auto"/>
            </w:tcBorders>
          </w:tcPr>
          <w:p w14:paraId="636557DC"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2</w:t>
            </w:r>
          </w:p>
        </w:tc>
        <w:tc>
          <w:tcPr>
            <w:tcW w:w="864" w:type="dxa"/>
            <w:tcBorders>
              <w:top w:val="single" w:sz="4" w:space="0" w:color="auto"/>
            </w:tcBorders>
          </w:tcPr>
          <w:p w14:paraId="41E88916"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0.891</w:t>
            </w:r>
          </w:p>
        </w:tc>
        <w:tc>
          <w:tcPr>
            <w:tcW w:w="864" w:type="dxa"/>
            <w:tcBorders>
              <w:top w:val="single" w:sz="4" w:space="0" w:color="auto"/>
            </w:tcBorders>
          </w:tcPr>
          <w:p w14:paraId="10DFD5A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0.804</w:t>
            </w:r>
          </w:p>
        </w:tc>
        <w:tc>
          <w:tcPr>
            <w:tcW w:w="864" w:type="dxa"/>
            <w:tcBorders>
              <w:top w:val="single" w:sz="4" w:space="0" w:color="auto"/>
            </w:tcBorders>
          </w:tcPr>
          <w:p w14:paraId="761343A6"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0.804</w:t>
            </w:r>
          </w:p>
        </w:tc>
        <w:tc>
          <w:tcPr>
            <w:tcW w:w="864" w:type="dxa"/>
            <w:tcBorders>
              <w:top w:val="single" w:sz="4" w:space="0" w:color="auto"/>
            </w:tcBorders>
          </w:tcPr>
          <w:p w14:paraId="5C17200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0.892</w:t>
            </w:r>
          </w:p>
        </w:tc>
        <w:tc>
          <w:tcPr>
            <w:tcW w:w="864" w:type="dxa"/>
            <w:tcBorders>
              <w:top w:val="single" w:sz="4" w:space="0" w:color="auto"/>
            </w:tcBorders>
          </w:tcPr>
          <w:p w14:paraId="7E359060"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0.891</w:t>
            </w:r>
          </w:p>
        </w:tc>
        <w:tc>
          <w:tcPr>
            <w:tcW w:w="864" w:type="dxa"/>
            <w:tcBorders>
              <w:top w:val="single" w:sz="4" w:space="0" w:color="auto"/>
            </w:tcBorders>
          </w:tcPr>
          <w:p w14:paraId="67F0A42A"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0.804</w:t>
            </w:r>
          </w:p>
        </w:tc>
        <w:tc>
          <w:tcPr>
            <w:tcW w:w="864" w:type="dxa"/>
            <w:tcBorders>
              <w:top w:val="single" w:sz="4" w:space="0" w:color="auto"/>
            </w:tcBorders>
          </w:tcPr>
          <w:p w14:paraId="15D6D1A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0.561</w:t>
            </w:r>
          </w:p>
        </w:tc>
      </w:tr>
      <w:tr w:rsidR="00F6215F" w:rsidRPr="00735EC3" w14:paraId="3B702C3A" w14:textId="77777777" w:rsidTr="008B4BED">
        <w:tc>
          <w:tcPr>
            <w:tcW w:w="864" w:type="dxa"/>
          </w:tcPr>
          <w:p w14:paraId="62F202A3" w14:textId="77777777" w:rsidR="00F6215F" w:rsidRPr="00735EC3" w:rsidRDefault="00F6215F" w:rsidP="008B4BED">
            <w:pPr>
              <w:rPr>
                <w:rFonts w:ascii="Times New Roman" w:hAnsi="Times New Roman" w:cs="Times New Roman"/>
                <w:sz w:val="20"/>
                <w:szCs w:val="20"/>
              </w:rPr>
            </w:pPr>
          </w:p>
        </w:tc>
        <w:tc>
          <w:tcPr>
            <w:tcW w:w="864" w:type="dxa"/>
          </w:tcPr>
          <w:p w14:paraId="795C23AB"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Undesirability</w:t>
            </w:r>
          </w:p>
        </w:tc>
        <w:tc>
          <w:tcPr>
            <w:tcW w:w="864" w:type="dxa"/>
          </w:tcPr>
          <w:p w14:paraId="5ED14C02"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Pr>
          <w:p w14:paraId="1E5DD05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0.969</w:t>
            </w:r>
          </w:p>
        </w:tc>
        <w:tc>
          <w:tcPr>
            <w:tcW w:w="864" w:type="dxa"/>
          </w:tcPr>
          <w:p w14:paraId="100EEE8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0.913</w:t>
            </w:r>
          </w:p>
        </w:tc>
        <w:tc>
          <w:tcPr>
            <w:tcW w:w="864" w:type="dxa"/>
          </w:tcPr>
          <w:p w14:paraId="27E2799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365FF5B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1A6349F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0.970</w:t>
            </w:r>
          </w:p>
        </w:tc>
        <w:tc>
          <w:tcPr>
            <w:tcW w:w="864" w:type="dxa"/>
          </w:tcPr>
          <w:p w14:paraId="6E19A807"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0.914</w:t>
            </w:r>
          </w:p>
        </w:tc>
        <w:tc>
          <w:tcPr>
            <w:tcW w:w="864" w:type="dxa"/>
          </w:tcPr>
          <w:p w14:paraId="694FF4D3"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0.798</w:t>
            </w:r>
          </w:p>
        </w:tc>
      </w:tr>
      <w:tr w:rsidR="00F6215F" w:rsidRPr="00735EC3" w14:paraId="1F02778F" w14:textId="77777777" w:rsidTr="008B4BED">
        <w:tc>
          <w:tcPr>
            <w:tcW w:w="864" w:type="dxa"/>
            <w:tcBorders>
              <w:bottom w:val="single" w:sz="4" w:space="0" w:color="auto"/>
            </w:tcBorders>
          </w:tcPr>
          <w:p w14:paraId="595D8449" w14:textId="77777777" w:rsidR="00F6215F" w:rsidRPr="00735EC3" w:rsidRDefault="00F6215F" w:rsidP="008B4BED">
            <w:pPr>
              <w:rPr>
                <w:rFonts w:ascii="Times New Roman" w:hAnsi="Times New Roman" w:cs="Times New Roman"/>
                <w:sz w:val="20"/>
                <w:szCs w:val="20"/>
              </w:rPr>
            </w:pPr>
          </w:p>
        </w:tc>
        <w:tc>
          <w:tcPr>
            <w:tcW w:w="864" w:type="dxa"/>
            <w:tcBorders>
              <w:bottom w:val="single" w:sz="4" w:space="0" w:color="auto"/>
            </w:tcBorders>
          </w:tcPr>
          <w:p w14:paraId="73A8CED7"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Unpredictability</w:t>
            </w:r>
          </w:p>
        </w:tc>
        <w:tc>
          <w:tcPr>
            <w:tcW w:w="864" w:type="dxa"/>
            <w:tcBorders>
              <w:bottom w:val="single" w:sz="4" w:space="0" w:color="auto"/>
            </w:tcBorders>
          </w:tcPr>
          <w:p w14:paraId="2E1404A5"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Borders>
              <w:bottom w:val="single" w:sz="4" w:space="0" w:color="auto"/>
            </w:tcBorders>
          </w:tcPr>
          <w:p w14:paraId="5102EF0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0.914</w:t>
            </w:r>
          </w:p>
        </w:tc>
        <w:tc>
          <w:tcPr>
            <w:tcW w:w="864" w:type="dxa"/>
            <w:tcBorders>
              <w:bottom w:val="single" w:sz="4" w:space="0" w:color="auto"/>
            </w:tcBorders>
          </w:tcPr>
          <w:p w14:paraId="7899C00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0.779</w:t>
            </w:r>
          </w:p>
        </w:tc>
        <w:tc>
          <w:tcPr>
            <w:tcW w:w="864" w:type="dxa"/>
            <w:tcBorders>
              <w:bottom w:val="single" w:sz="4" w:space="0" w:color="auto"/>
            </w:tcBorders>
          </w:tcPr>
          <w:p w14:paraId="3D67D0F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52C93FA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0D9C6116"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0.924</w:t>
            </w:r>
          </w:p>
        </w:tc>
        <w:tc>
          <w:tcPr>
            <w:tcW w:w="864" w:type="dxa"/>
            <w:tcBorders>
              <w:bottom w:val="single" w:sz="4" w:space="0" w:color="auto"/>
            </w:tcBorders>
          </w:tcPr>
          <w:p w14:paraId="434533E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0.796</w:t>
            </w:r>
          </w:p>
        </w:tc>
        <w:tc>
          <w:tcPr>
            <w:tcW w:w="864" w:type="dxa"/>
            <w:tcBorders>
              <w:bottom w:val="single" w:sz="4" w:space="0" w:color="auto"/>
            </w:tcBorders>
          </w:tcPr>
          <w:p w14:paraId="50E5E802"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0.629</w:t>
            </w:r>
          </w:p>
        </w:tc>
      </w:tr>
      <w:tr w:rsidR="00F6215F" w:rsidRPr="00735EC3" w14:paraId="30CE9F62" w14:textId="77777777" w:rsidTr="008B4BED">
        <w:tc>
          <w:tcPr>
            <w:tcW w:w="864" w:type="dxa"/>
            <w:tcBorders>
              <w:top w:val="single" w:sz="4" w:space="0" w:color="auto"/>
            </w:tcBorders>
          </w:tcPr>
          <w:p w14:paraId="3CB172D4"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Personal AI</w:t>
            </w:r>
          </w:p>
        </w:tc>
        <w:tc>
          <w:tcPr>
            <w:tcW w:w="864" w:type="dxa"/>
            <w:tcBorders>
              <w:top w:val="single" w:sz="4" w:space="0" w:color="auto"/>
            </w:tcBorders>
          </w:tcPr>
          <w:p w14:paraId="7E8F0C99"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Implied Malice</w:t>
            </w:r>
          </w:p>
        </w:tc>
        <w:tc>
          <w:tcPr>
            <w:tcW w:w="864" w:type="dxa"/>
            <w:tcBorders>
              <w:top w:val="single" w:sz="4" w:space="0" w:color="auto"/>
            </w:tcBorders>
          </w:tcPr>
          <w:p w14:paraId="50E344C3"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2</w:t>
            </w:r>
          </w:p>
        </w:tc>
        <w:tc>
          <w:tcPr>
            <w:tcW w:w="864" w:type="dxa"/>
            <w:tcBorders>
              <w:top w:val="single" w:sz="4" w:space="0" w:color="auto"/>
            </w:tcBorders>
          </w:tcPr>
          <w:p w14:paraId="39D1DE5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0.917</w:t>
            </w:r>
          </w:p>
        </w:tc>
        <w:tc>
          <w:tcPr>
            <w:tcW w:w="864" w:type="dxa"/>
            <w:tcBorders>
              <w:top w:val="single" w:sz="4" w:space="0" w:color="auto"/>
            </w:tcBorders>
          </w:tcPr>
          <w:p w14:paraId="434C2A04"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0.846</w:t>
            </w:r>
          </w:p>
        </w:tc>
        <w:tc>
          <w:tcPr>
            <w:tcW w:w="864" w:type="dxa"/>
            <w:tcBorders>
              <w:top w:val="single" w:sz="4" w:space="0" w:color="auto"/>
            </w:tcBorders>
          </w:tcPr>
          <w:p w14:paraId="5BF4B6F0"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0.846</w:t>
            </w:r>
          </w:p>
        </w:tc>
        <w:tc>
          <w:tcPr>
            <w:tcW w:w="864" w:type="dxa"/>
            <w:tcBorders>
              <w:top w:val="single" w:sz="4" w:space="0" w:color="auto"/>
            </w:tcBorders>
          </w:tcPr>
          <w:p w14:paraId="561B0D12"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0.917</w:t>
            </w:r>
          </w:p>
        </w:tc>
        <w:tc>
          <w:tcPr>
            <w:tcW w:w="864" w:type="dxa"/>
            <w:tcBorders>
              <w:top w:val="single" w:sz="4" w:space="0" w:color="auto"/>
            </w:tcBorders>
          </w:tcPr>
          <w:p w14:paraId="66D15D5A"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0.917</w:t>
            </w:r>
          </w:p>
        </w:tc>
        <w:tc>
          <w:tcPr>
            <w:tcW w:w="864" w:type="dxa"/>
            <w:tcBorders>
              <w:top w:val="single" w:sz="4" w:space="0" w:color="auto"/>
            </w:tcBorders>
          </w:tcPr>
          <w:p w14:paraId="08F74288"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0.847</w:t>
            </w:r>
          </w:p>
        </w:tc>
        <w:tc>
          <w:tcPr>
            <w:tcW w:w="864" w:type="dxa"/>
            <w:tcBorders>
              <w:top w:val="single" w:sz="4" w:space="0" w:color="auto"/>
            </w:tcBorders>
          </w:tcPr>
          <w:p w14:paraId="10C0000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0.595</w:t>
            </w:r>
          </w:p>
        </w:tc>
      </w:tr>
      <w:tr w:rsidR="00F6215F" w:rsidRPr="00735EC3" w14:paraId="231B0A90" w14:textId="77777777" w:rsidTr="008B4BED">
        <w:tc>
          <w:tcPr>
            <w:tcW w:w="864" w:type="dxa"/>
          </w:tcPr>
          <w:p w14:paraId="01C52FF9" w14:textId="77777777" w:rsidR="00F6215F" w:rsidRPr="00735EC3" w:rsidRDefault="00F6215F" w:rsidP="008B4BED">
            <w:pPr>
              <w:rPr>
                <w:rFonts w:ascii="Times New Roman" w:hAnsi="Times New Roman" w:cs="Times New Roman"/>
                <w:sz w:val="20"/>
                <w:szCs w:val="20"/>
              </w:rPr>
            </w:pPr>
          </w:p>
        </w:tc>
        <w:tc>
          <w:tcPr>
            <w:tcW w:w="864" w:type="dxa"/>
          </w:tcPr>
          <w:p w14:paraId="04CE0DDF"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Undesirability</w:t>
            </w:r>
          </w:p>
        </w:tc>
        <w:tc>
          <w:tcPr>
            <w:tcW w:w="864" w:type="dxa"/>
          </w:tcPr>
          <w:p w14:paraId="6FF6D025"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Pr>
          <w:p w14:paraId="6A9C0BC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0.973</w:t>
            </w:r>
          </w:p>
        </w:tc>
        <w:tc>
          <w:tcPr>
            <w:tcW w:w="864" w:type="dxa"/>
          </w:tcPr>
          <w:p w14:paraId="7F7BC81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0.924</w:t>
            </w:r>
          </w:p>
        </w:tc>
        <w:tc>
          <w:tcPr>
            <w:tcW w:w="864" w:type="dxa"/>
          </w:tcPr>
          <w:p w14:paraId="4AB850E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1C03B3D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5517DCE2"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0.974</w:t>
            </w:r>
          </w:p>
        </w:tc>
        <w:tc>
          <w:tcPr>
            <w:tcW w:w="864" w:type="dxa"/>
          </w:tcPr>
          <w:p w14:paraId="0F819B67"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0.924</w:t>
            </w:r>
          </w:p>
        </w:tc>
        <w:tc>
          <w:tcPr>
            <w:tcW w:w="864" w:type="dxa"/>
          </w:tcPr>
          <w:p w14:paraId="7A3374F6"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0.807</w:t>
            </w:r>
          </w:p>
        </w:tc>
      </w:tr>
      <w:tr w:rsidR="00F6215F" w:rsidRPr="00735EC3" w14:paraId="1E607D70" w14:textId="77777777" w:rsidTr="008B4BED">
        <w:tc>
          <w:tcPr>
            <w:tcW w:w="864" w:type="dxa"/>
            <w:tcBorders>
              <w:bottom w:val="single" w:sz="4" w:space="0" w:color="auto"/>
            </w:tcBorders>
          </w:tcPr>
          <w:p w14:paraId="5F710044" w14:textId="77777777" w:rsidR="00F6215F" w:rsidRPr="00735EC3" w:rsidRDefault="00F6215F" w:rsidP="008B4BED">
            <w:pPr>
              <w:rPr>
                <w:rFonts w:ascii="Times New Roman" w:hAnsi="Times New Roman" w:cs="Times New Roman"/>
                <w:sz w:val="20"/>
                <w:szCs w:val="20"/>
              </w:rPr>
            </w:pPr>
          </w:p>
        </w:tc>
        <w:tc>
          <w:tcPr>
            <w:tcW w:w="864" w:type="dxa"/>
            <w:tcBorders>
              <w:bottom w:val="single" w:sz="4" w:space="0" w:color="auto"/>
            </w:tcBorders>
          </w:tcPr>
          <w:p w14:paraId="0D241543"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Unpredictability</w:t>
            </w:r>
          </w:p>
        </w:tc>
        <w:tc>
          <w:tcPr>
            <w:tcW w:w="864" w:type="dxa"/>
            <w:tcBorders>
              <w:bottom w:val="single" w:sz="4" w:space="0" w:color="auto"/>
            </w:tcBorders>
          </w:tcPr>
          <w:p w14:paraId="3C5055A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Borders>
              <w:bottom w:val="single" w:sz="4" w:space="0" w:color="auto"/>
            </w:tcBorders>
          </w:tcPr>
          <w:p w14:paraId="70F3995F"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0.936</w:t>
            </w:r>
          </w:p>
        </w:tc>
        <w:tc>
          <w:tcPr>
            <w:tcW w:w="864" w:type="dxa"/>
            <w:tcBorders>
              <w:bottom w:val="single" w:sz="4" w:space="0" w:color="auto"/>
            </w:tcBorders>
          </w:tcPr>
          <w:p w14:paraId="4C4FD54F"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0.830</w:t>
            </w:r>
          </w:p>
        </w:tc>
        <w:tc>
          <w:tcPr>
            <w:tcW w:w="864" w:type="dxa"/>
            <w:tcBorders>
              <w:bottom w:val="single" w:sz="4" w:space="0" w:color="auto"/>
            </w:tcBorders>
          </w:tcPr>
          <w:p w14:paraId="2DB72505"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66140B2E"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29FDBFC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0.944</w:t>
            </w:r>
          </w:p>
        </w:tc>
        <w:tc>
          <w:tcPr>
            <w:tcW w:w="864" w:type="dxa"/>
            <w:tcBorders>
              <w:bottom w:val="single" w:sz="4" w:space="0" w:color="auto"/>
            </w:tcBorders>
          </w:tcPr>
          <w:p w14:paraId="06B3D805"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0.840</w:t>
            </w:r>
          </w:p>
        </w:tc>
        <w:tc>
          <w:tcPr>
            <w:tcW w:w="864" w:type="dxa"/>
            <w:tcBorders>
              <w:bottom w:val="single" w:sz="4" w:space="0" w:color="auto"/>
            </w:tcBorders>
          </w:tcPr>
          <w:p w14:paraId="3C72E24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0.666</w:t>
            </w:r>
          </w:p>
        </w:tc>
      </w:tr>
      <w:tr w:rsidR="00F6215F" w:rsidRPr="00735EC3" w14:paraId="0F329BD5" w14:textId="77777777" w:rsidTr="008B4BED">
        <w:tc>
          <w:tcPr>
            <w:tcW w:w="864" w:type="dxa"/>
            <w:tcBorders>
              <w:top w:val="single" w:sz="4" w:space="0" w:color="auto"/>
            </w:tcBorders>
          </w:tcPr>
          <w:p w14:paraId="76B906E1"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Institutional AI</w:t>
            </w:r>
          </w:p>
        </w:tc>
        <w:tc>
          <w:tcPr>
            <w:tcW w:w="864" w:type="dxa"/>
            <w:tcBorders>
              <w:top w:val="single" w:sz="4" w:space="0" w:color="auto"/>
            </w:tcBorders>
          </w:tcPr>
          <w:p w14:paraId="3349D3BC"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Implied Malice</w:t>
            </w:r>
          </w:p>
        </w:tc>
        <w:tc>
          <w:tcPr>
            <w:tcW w:w="864" w:type="dxa"/>
            <w:tcBorders>
              <w:top w:val="single" w:sz="4" w:space="0" w:color="auto"/>
            </w:tcBorders>
          </w:tcPr>
          <w:p w14:paraId="324C9FA6"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2</w:t>
            </w:r>
          </w:p>
        </w:tc>
        <w:tc>
          <w:tcPr>
            <w:tcW w:w="864" w:type="dxa"/>
            <w:tcBorders>
              <w:top w:val="single" w:sz="4" w:space="0" w:color="auto"/>
            </w:tcBorders>
          </w:tcPr>
          <w:p w14:paraId="409580AA"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0.941</w:t>
            </w:r>
          </w:p>
        </w:tc>
        <w:tc>
          <w:tcPr>
            <w:tcW w:w="864" w:type="dxa"/>
            <w:tcBorders>
              <w:top w:val="single" w:sz="4" w:space="0" w:color="auto"/>
            </w:tcBorders>
          </w:tcPr>
          <w:p w14:paraId="4275E00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0.889</w:t>
            </w:r>
          </w:p>
        </w:tc>
        <w:tc>
          <w:tcPr>
            <w:tcW w:w="864" w:type="dxa"/>
            <w:tcBorders>
              <w:top w:val="single" w:sz="4" w:space="0" w:color="auto"/>
            </w:tcBorders>
          </w:tcPr>
          <w:p w14:paraId="3F2090C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0.889</w:t>
            </w:r>
          </w:p>
        </w:tc>
        <w:tc>
          <w:tcPr>
            <w:tcW w:w="864" w:type="dxa"/>
            <w:tcBorders>
              <w:top w:val="single" w:sz="4" w:space="0" w:color="auto"/>
            </w:tcBorders>
          </w:tcPr>
          <w:p w14:paraId="5F5F4EDA"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0.941</w:t>
            </w:r>
          </w:p>
        </w:tc>
        <w:tc>
          <w:tcPr>
            <w:tcW w:w="864" w:type="dxa"/>
            <w:tcBorders>
              <w:top w:val="single" w:sz="4" w:space="0" w:color="auto"/>
            </w:tcBorders>
          </w:tcPr>
          <w:p w14:paraId="6660E73F"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0.941</w:t>
            </w:r>
          </w:p>
        </w:tc>
        <w:tc>
          <w:tcPr>
            <w:tcW w:w="864" w:type="dxa"/>
            <w:tcBorders>
              <w:top w:val="single" w:sz="4" w:space="0" w:color="auto"/>
            </w:tcBorders>
          </w:tcPr>
          <w:p w14:paraId="2E9444D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0.889</w:t>
            </w:r>
          </w:p>
        </w:tc>
        <w:tc>
          <w:tcPr>
            <w:tcW w:w="864" w:type="dxa"/>
            <w:tcBorders>
              <w:top w:val="single" w:sz="4" w:space="0" w:color="auto"/>
            </w:tcBorders>
          </w:tcPr>
          <w:p w14:paraId="0922981F"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0.677</w:t>
            </w:r>
          </w:p>
        </w:tc>
      </w:tr>
      <w:tr w:rsidR="00F6215F" w:rsidRPr="00735EC3" w14:paraId="6AFDF89F" w14:textId="77777777" w:rsidTr="008B4BED">
        <w:tc>
          <w:tcPr>
            <w:tcW w:w="864" w:type="dxa"/>
          </w:tcPr>
          <w:p w14:paraId="2390E132" w14:textId="77777777" w:rsidR="00F6215F" w:rsidRPr="00735EC3" w:rsidRDefault="00F6215F" w:rsidP="008B4BED">
            <w:pPr>
              <w:rPr>
                <w:rFonts w:ascii="Times New Roman" w:hAnsi="Times New Roman" w:cs="Times New Roman"/>
                <w:sz w:val="20"/>
                <w:szCs w:val="20"/>
              </w:rPr>
            </w:pPr>
          </w:p>
        </w:tc>
        <w:tc>
          <w:tcPr>
            <w:tcW w:w="864" w:type="dxa"/>
          </w:tcPr>
          <w:p w14:paraId="081BF217"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Undesirability</w:t>
            </w:r>
          </w:p>
        </w:tc>
        <w:tc>
          <w:tcPr>
            <w:tcW w:w="864" w:type="dxa"/>
          </w:tcPr>
          <w:p w14:paraId="3323154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Pr>
          <w:p w14:paraId="63F5069C"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0.947</w:t>
            </w:r>
          </w:p>
        </w:tc>
        <w:tc>
          <w:tcPr>
            <w:tcW w:w="864" w:type="dxa"/>
          </w:tcPr>
          <w:p w14:paraId="4A0B6E21"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0.856</w:t>
            </w:r>
          </w:p>
        </w:tc>
        <w:tc>
          <w:tcPr>
            <w:tcW w:w="864" w:type="dxa"/>
          </w:tcPr>
          <w:p w14:paraId="338CD190"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3C505888"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Pr>
          <w:p w14:paraId="71611D5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0.951</w:t>
            </w:r>
          </w:p>
        </w:tc>
        <w:tc>
          <w:tcPr>
            <w:tcW w:w="864" w:type="dxa"/>
          </w:tcPr>
          <w:p w14:paraId="35B06F53"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0.860</w:t>
            </w:r>
          </w:p>
        </w:tc>
        <w:tc>
          <w:tcPr>
            <w:tcW w:w="864" w:type="dxa"/>
          </w:tcPr>
          <w:p w14:paraId="4CAB8444"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0.674</w:t>
            </w:r>
          </w:p>
        </w:tc>
      </w:tr>
      <w:tr w:rsidR="00F6215F" w:rsidRPr="00735EC3" w14:paraId="4A4E32DA" w14:textId="77777777" w:rsidTr="008B4BED">
        <w:tc>
          <w:tcPr>
            <w:tcW w:w="864" w:type="dxa"/>
            <w:tcBorders>
              <w:bottom w:val="single" w:sz="4" w:space="0" w:color="auto"/>
            </w:tcBorders>
          </w:tcPr>
          <w:p w14:paraId="2C37D663" w14:textId="77777777" w:rsidR="00F6215F" w:rsidRPr="00735EC3" w:rsidRDefault="00F6215F" w:rsidP="008B4BED">
            <w:pPr>
              <w:rPr>
                <w:rFonts w:ascii="Times New Roman" w:hAnsi="Times New Roman" w:cs="Times New Roman"/>
                <w:sz w:val="20"/>
                <w:szCs w:val="20"/>
              </w:rPr>
            </w:pPr>
          </w:p>
        </w:tc>
        <w:tc>
          <w:tcPr>
            <w:tcW w:w="864" w:type="dxa"/>
            <w:tcBorders>
              <w:bottom w:val="single" w:sz="4" w:space="0" w:color="auto"/>
            </w:tcBorders>
          </w:tcPr>
          <w:p w14:paraId="752859B8" w14:textId="77777777" w:rsidR="00F6215F" w:rsidRPr="00735EC3" w:rsidRDefault="00F6215F" w:rsidP="008B4BED">
            <w:pPr>
              <w:rPr>
                <w:rFonts w:ascii="Times New Roman" w:hAnsi="Times New Roman" w:cs="Times New Roman"/>
                <w:sz w:val="20"/>
                <w:szCs w:val="20"/>
              </w:rPr>
            </w:pPr>
            <w:r w:rsidRPr="00735EC3">
              <w:rPr>
                <w:rFonts w:ascii="Times New Roman" w:hAnsi="Times New Roman" w:cs="Times New Roman"/>
                <w:sz w:val="20"/>
                <w:szCs w:val="20"/>
              </w:rPr>
              <w:t>Unpredictability</w:t>
            </w:r>
          </w:p>
        </w:tc>
        <w:tc>
          <w:tcPr>
            <w:tcW w:w="864" w:type="dxa"/>
            <w:tcBorders>
              <w:bottom w:val="single" w:sz="4" w:space="0" w:color="auto"/>
            </w:tcBorders>
          </w:tcPr>
          <w:p w14:paraId="2806EC2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3</w:t>
            </w:r>
          </w:p>
        </w:tc>
        <w:tc>
          <w:tcPr>
            <w:tcW w:w="864" w:type="dxa"/>
            <w:tcBorders>
              <w:bottom w:val="single" w:sz="4" w:space="0" w:color="auto"/>
            </w:tcBorders>
          </w:tcPr>
          <w:p w14:paraId="2C9EFEE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0.942</w:t>
            </w:r>
          </w:p>
        </w:tc>
        <w:tc>
          <w:tcPr>
            <w:tcW w:w="864" w:type="dxa"/>
            <w:tcBorders>
              <w:bottom w:val="single" w:sz="4" w:space="0" w:color="auto"/>
            </w:tcBorders>
          </w:tcPr>
          <w:p w14:paraId="6AA65A48"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0.843</w:t>
            </w:r>
          </w:p>
        </w:tc>
        <w:tc>
          <w:tcPr>
            <w:tcW w:w="864" w:type="dxa"/>
            <w:tcBorders>
              <w:bottom w:val="single" w:sz="4" w:space="0" w:color="auto"/>
            </w:tcBorders>
          </w:tcPr>
          <w:p w14:paraId="0AE25EFD"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2962D9CB"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w:t>
            </w:r>
          </w:p>
        </w:tc>
        <w:tc>
          <w:tcPr>
            <w:tcW w:w="864" w:type="dxa"/>
            <w:tcBorders>
              <w:bottom w:val="single" w:sz="4" w:space="0" w:color="auto"/>
            </w:tcBorders>
          </w:tcPr>
          <w:p w14:paraId="5049F7F8"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0.948</w:t>
            </w:r>
          </w:p>
        </w:tc>
        <w:tc>
          <w:tcPr>
            <w:tcW w:w="864" w:type="dxa"/>
            <w:tcBorders>
              <w:bottom w:val="single" w:sz="4" w:space="0" w:color="auto"/>
            </w:tcBorders>
          </w:tcPr>
          <w:p w14:paraId="40BAB9EA"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0.853</w:t>
            </w:r>
          </w:p>
        </w:tc>
        <w:tc>
          <w:tcPr>
            <w:tcW w:w="864" w:type="dxa"/>
            <w:tcBorders>
              <w:bottom w:val="single" w:sz="4" w:space="0" w:color="auto"/>
            </w:tcBorders>
          </w:tcPr>
          <w:p w14:paraId="567B1129" w14:textId="77777777" w:rsidR="00F6215F" w:rsidRPr="00735EC3" w:rsidRDefault="00F6215F" w:rsidP="008B4BED">
            <w:pPr>
              <w:jc w:val="center"/>
              <w:rPr>
                <w:rFonts w:ascii="Times New Roman" w:hAnsi="Times New Roman" w:cs="Times New Roman"/>
                <w:sz w:val="20"/>
                <w:szCs w:val="20"/>
              </w:rPr>
            </w:pPr>
            <w:r w:rsidRPr="00735EC3">
              <w:rPr>
                <w:rFonts w:ascii="Times New Roman" w:hAnsi="Times New Roman" w:cs="Times New Roman"/>
                <w:sz w:val="20"/>
                <w:szCs w:val="20"/>
              </w:rPr>
              <w:t>0.697</w:t>
            </w:r>
          </w:p>
        </w:tc>
      </w:tr>
    </w:tbl>
    <w:p w14:paraId="3501B0AF" w14:textId="77777777" w:rsidR="00F6215F" w:rsidRPr="008E113D" w:rsidRDefault="00F6215F" w:rsidP="00F6215F">
      <w:pPr>
        <w:pStyle w:val="p1"/>
        <w:spacing w:before="0" w:beforeAutospacing="0" w:after="0" w:afterAutospacing="0"/>
        <w:rPr>
          <w:sz w:val="22"/>
          <w:szCs w:val="22"/>
        </w:rPr>
      </w:pPr>
      <w:r w:rsidRPr="008E113D">
        <w:rPr>
          <w:sz w:val="22"/>
          <w:szCs w:val="22"/>
        </w:rPr>
        <w:t>Note. α = Cronbach’s alpha; Mean r = mean inter-item correlation; r (2-item) = Pearson inter-item correlation for two-item factors; Spearman–Brown = Spearman–Brown reliability coefficient; CR (</w:t>
      </w:r>
      <w:proofErr w:type="spellStart"/>
      <w:r w:rsidRPr="008E113D">
        <w:rPr>
          <w:sz w:val="22"/>
          <w:szCs w:val="22"/>
        </w:rPr>
        <w:t>ωc</w:t>
      </w:r>
      <w:proofErr w:type="spellEnd"/>
      <w:r w:rsidRPr="008E113D">
        <w:rPr>
          <w:sz w:val="22"/>
          <w:szCs w:val="22"/>
        </w:rPr>
        <w:t>) = composite reliability derived from confirmatory factor analysis; AVE = average variance extracted; H = construct replicability (</w:t>
      </w:r>
      <w:proofErr w:type="spellStart"/>
      <w:r w:rsidRPr="008E113D">
        <w:rPr>
          <w:sz w:val="22"/>
          <w:szCs w:val="22"/>
        </w:rPr>
        <w:t>MaxR</w:t>
      </w:r>
      <w:proofErr w:type="spellEnd"/>
      <w:r w:rsidRPr="008E113D">
        <w:rPr>
          <w:sz w:val="22"/>
          <w:szCs w:val="22"/>
        </w:rPr>
        <w:t>(H)). Spearman–Brown and r (2-item) are reported only for two-item factors; dashes indicate indices not applicable to three-item factors</w:t>
      </w:r>
    </w:p>
    <w:p w14:paraId="1CE3FB19" w14:textId="77777777" w:rsidR="00F6215F" w:rsidRDefault="00F6215F" w:rsidP="00F6215F"/>
    <w:p w14:paraId="61675D5E" w14:textId="77777777" w:rsidR="00F6215F" w:rsidRPr="00902750" w:rsidRDefault="00F6215F" w:rsidP="00F6215F">
      <w:pPr>
        <w:jc w:val="center"/>
        <w:rPr>
          <w:rFonts w:ascii="Times New Roman" w:hAnsi="Times New Roman" w:cs="Times New Roman"/>
          <w:b/>
          <w:bCs/>
        </w:rPr>
      </w:pPr>
      <w:r w:rsidRPr="00902750">
        <w:rPr>
          <w:rFonts w:ascii="Times New Roman" w:hAnsi="Times New Roman" w:cs="Times New Roman"/>
          <w:b/>
          <w:bCs/>
        </w:rPr>
        <w:t>Supplementary Material 4</w:t>
      </w:r>
    </w:p>
    <w:p w14:paraId="5575D5C2" w14:textId="77777777" w:rsidR="00F6215F" w:rsidRPr="00902750" w:rsidRDefault="00F6215F" w:rsidP="00F6215F">
      <w:pPr>
        <w:jc w:val="center"/>
        <w:rPr>
          <w:rFonts w:ascii="Times New Roman" w:hAnsi="Times New Roman" w:cs="Times New Roman"/>
          <w:b/>
          <w:bCs/>
        </w:rPr>
      </w:pPr>
      <w:r w:rsidRPr="00902750">
        <w:rPr>
          <w:rFonts w:ascii="Times New Roman" w:hAnsi="Times New Roman" w:cs="Times New Roman"/>
          <w:b/>
          <w:bCs/>
        </w:rPr>
        <w:t>Demographic correlates of apprehension toward four AI types</w:t>
      </w:r>
    </w:p>
    <w:p w14:paraId="249661EC" w14:textId="77777777" w:rsidR="00F6215F" w:rsidRPr="00902750" w:rsidRDefault="00F6215F" w:rsidP="00F6215F">
      <w:pPr>
        <w:spacing w:line="240" w:lineRule="auto"/>
        <w:rPr>
          <w:rFonts w:ascii="Times New Roman" w:hAnsi="Times New Roman" w:cs="Times New Roman"/>
          <w:b/>
          <w:bCs/>
          <w:i/>
          <w:iCs/>
        </w:rPr>
      </w:pPr>
      <w:r w:rsidRPr="00902750">
        <w:rPr>
          <w:rFonts w:ascii="Times New Roman" w:hAnsi="Times New Roman" w:cs="Times New Roman"/>
          <w:b/>
          <w:bCs/>
          <w:i/>
          <w:iCs/>
        </w:rPr>
        <w:t>Method</w:t>
      </w:r>
    </w:p>
    <w:p w14:paraId="38376A89" w14:textId="77777777" w:rsidR="00F6215F" w:rsidRPr="006D4A4D" w:rsidRDefault="00F6215F" w:rsidP="00F6215F">
      <w:pPr>
        <w:pStyle w:val="p1"/>
        <w:spacing w:before="0" w:beforeAutospacing="0" w:after="0" w:afterAutospacing="0"/>
        <w:ind w:firstLine="567"/>
        <w:jc w:val="both"/>
      </w:pPr>
      <w:r>
        <w:t>The aim of this analysis was to estimate the associations between demographic characteristics (age group, gender, education level, religious beliefs) and total scores on four types of AI apprehension (General AI,</w:t>
      </w:r>
      <w:r>
        <w:rPr>
          <w:lang w:val="en-US"/>
        </w:rPr>
        <w:t xml:space="preserve"> </w:t>
      </w:r>
      <w:r>
        <w:t xml:space="preserve">LLMs, Personal AI, and Institutional AI), using robust regression models. Single-predictor models were used because several demographic variables were </w:t>
      </w:r>
      <w:r w:rsidRPr="7899749D">
        <w:rPr>
          <w:rStyle w:val="s1"/>
          <w:rFonts w:eastAsiaTheme="majorEastAsia"/>
        </w:rPr>
        <w:t>categorical with multiple levels and uneven group sizes</w:t>
      </w:r>
      <w:r>
        <w:t xml:space="preserve">, and combining predictors in a single model would have resulted in </w:t>
      </w:r>
      <w:r w:rsidRPr="7899749D">
        <w:rPr>
          <w:rStyle w:val="s1"/>
          <w:rFonts w:eastAsiaTheme="majorEastAsia"/>
        </w:rPr>
        <w:t xml:space="preserve">sparse or unstable cross-classified cells. </w:t>
      </w:r>
    </w:p>
    <w:p w14:paraId="40FECE67" w14:textId="77777777" w:rsidR="00F6215F" w:rsidRPr="00902750" w:rsidRDefault="00F6215F" w:rsidP="00F6215F">
      <w:pPr>
        <w:pStyle w:val="p1"/>
        <w:spacing w:before="0" w:beforeAutospacing="0" w:after="0" w:afterAutospacing="0"/>
        <w:ind w:firstLine="567"/>
        <w:jc w:val="both"/>
      </w:pPr>
      <w:r>
        <w:t xml:space="preserve">Prior to analysis, the demographic data were screened and re-coded to ensure </w:t>
      </w:r>
      <w:r w:rsidRPr="00902750">
        <w:t xml:space="preserve">interpretability and robustness of the models. Four participants who identified as non-binary were excluded from gender analyses due to the very small cell size. For education, respondents reporting no formal education were excluded for the same reason (N=9). Responses about religion believes were merged intro 2 categories (religion believes (N=159) and no religion believes (n=366), and 34 participants with missing responses were excluded from the education analysis). Age was recoded into three categories (18-24 (N=138), 25-34 (n=235), and 35-44 (N=186) years). </w:t>
      </w:r>
    </w:p>
    <w:p w14:paraId="0A412DF2" w14:textId="77777777" w:rsidR="00F6215F" w:rsidRPr="00902750" w:rsidRDefault="00F6215F" w:rsidP="00F6215F">
      <w:pPr>
        <w:spacing w:line="240" w:lineRule="auto"/>
        <w:ind w:firstLine="567"/>
        <w:jc w:val="both"/>
        <w:rPr>
          <w:rFonts w:ascii="Times New Roman" w:hAnsi="Times New Roman" w:cs="Times New Roman"/>
        </w:rPr>
      </w:pPr>
      <w:r w:rsidRPr="00902750">
        <w:rPr>
          <w:rFonts w:ascii="Times New Roman" w:hAnsi="Times New Roman" w:cs="Times New Roman"/>
        </w:rPr>
        <w:t xml:space="preserve">All models were estimated using ordinary least squares with </w:t>
      </w:r>
      <w:r w:rsidRPr="00902750">
        <w:rPr>
          <w:rStyle w:val="s1"/>
          <w:rFonts w:ascii="Times New Roman" w:eastAsiaTheme="majorEastAsia" w:hAnsi="Times New Roman" w:cs="Times New Roman"/>
        </w:rPr>
        <w:t>heteroskedasticity-consistent (HC3) robust standard errors</w:t>
      </w:r>
      <w:r w:rsidRPr="00902750">
        <w:rPr>
          <w:rFonts w:ascii="Times New Roman" w:hAnsi="Times New Roman" w:cs="Times New Roman"/>
        </w:rPr>
        <w:t xml:space="preserve">. Regression coefficients were reported with robust standard errors, </w:t>
      </w:r>
      <w:r w:rsidRPr="00902750">
        <w:rPr>
          <w:rFonts w:ascii="Times New Roman" w:hAnsi="Times New Roman" w:cs="Times New Roman"/>
          <w:i/>
          <w:iCs/>
        </w:rPr>
        <w:t>t</w:t>
      </w:r>
      <w:r w:rsidRPr="00902750">
        <w:rPr>
          <w:rFonts w:ascii="Times New Roman" w:hAnsi="Times New Roman" w:cs="Times New Roman"/>
        </w:rPr>
        <w:t xml:space="preserve"> statistics, </w:t>
      </w:r>
      <w:r w:rsidRPr="00902750">
        <w:rPr>
          <w:rFonts w:ascii="Times New Roman" w:hAnsi="Times New Roman" w:cs="Times New Roman"/>
          <w:i/>
          <w:iCs/>
        </w:rPr>
        <w:t>p</w:t>
      </w:r>
      <w:r w:rsidRPr="00902750">
        <w:rPr>
          <w:rFonts w:ascii="Times New Roman" w:hAnsi="Times New Roman" w:cs="Times New Roman"/>
        </w:rPr>
        <w:t xml:space="preserve"> values, and 95% confidence intervals. For predictors with more than two levels, </w:t>
      </w:r>
      <w:r w:rsidRPr="00902750">
        <w:rPr>
          <w:rStyle w:val="s1"/>
          <w:rFonts w:ascii="Times New Roman" w:eastAsiaTheme="majorEastAsia" w:hAnsi="Times New Roman" w:cs="Times New Roman"/>
        </w:rPr>
        <w:t>HC3-based robust Wald tests</w:t>
      </w:r>
      <w:r w:rsidRPr="00902750">
        <w:rPr>
          <w:rFonts w:ascii="Times New Roman" w:hAnsi="Times New Roman" w:cs="Times New Roman"/>
        </w:rPr>
        <w:t xml:space="preserve"> were used to evaluate overall associations. Model fit was summarised using R² and adjusted R². For the religious-beliefs analyses, </w:t>
      </w:r>
      <w:r w:rsidRPr="00902750">
        <w:rPr>
          <w:rStyle w:val="s1"/>
          <w:rFonts w:ascii="Times New Roman" w:eastAsiaTheme="majorEastAsia" w:hAnsi="Times New Roman" w:cs="Times New Roman"/>
        </w:rPr>
        <w:t>non-parametric bootstrap percentile confidence intervals</w:t>
      </w:r>
      <w:r w:rsidRPr="00902750">
        <w:rPr>
          <w:rFonts w:ascii="Times New Roman" w:hAnsi="Times New Roman" w:cs="Times New Roman"/>
        </w:rPr>
        <w:t xml:space="preserve"> (5,000 resamples) were computed as a robustness check.</w:t>
      </w:r>
    </w:p>
    <w:p w14:paraId="018C5F4E" w14:textId="77777777" w:rsidR="00F6215F" w:rsidRDefault="00F6215F" w:rsidP="00F6215F">
      <w:pPr>
        <w:spacing w:line="240" w:lineRule="auto"/>
      </w:pPr>
    </w:p>
    <w:p w14:paraId="0130E445" w14:textId="77777777" w:rsidR="00F6215F" w:rsidRDefault="00F6215F" w:rsidP="00F6215F">
      <w:pPr>
        <w:spacing w:line="240" w:lineRule="auto"/>
        <w:rPr>
          <w:rFonts w:ascii="Times New Roman" w:hAnsi="Times New Roman" w:cs="Times New Roman"/>
          <w:b/>
          <w:bCs/>
          <w:i/>
          <w:iCs/>
        </w:rPr>
      </w:pPr>
      <w:r w:rsidRPr="00902750">
        <w:rPr>
          <w:rFonts w:ascii="Times New Roman" w:hAnsi="Times New Roman" w:cs="Times New Roman"/>
          <w:b/>
          <w:bCs/>
          <w:i/>
          <w:iCs/>
        </w:rPr>
        <w:t>Results</w:t>
      </w:r>
    </w:p>
    <w:p w14:paraId="4BB1CFA2" w14:textId="77777777" w:rsidR="00F6215F" w:rsidRPr="00902750" w:rsidRDefault="00F6215F" w:rsidP="00F6215F">
      <w:pPr>
        <w:spacing w:line="240" w:lineRule="auto"/>
        <w:rPr>
          <w:rFonts w:ascii="Times New Roman" w:hAnsi="Times New Roman" w:cs="Times New Roman"/>
          <w:b/>
          <w:bCs/>
          <w:i/>
          <w:iCs/>
        </w:rPr>
      </w:pPr>
      <w:r w:rsidRPr="00902750">
        <w:rPr>
          <w:rFonts w:ascii="Times New Roman" w:hAnsi="Times New Roman" w:cs="Times New Roman"/>
          <w:i/>
          <w:iCs/>
        </w:rPr>
        <w:t>Gender</w:t>
      </w:r>
    </w:p>
    <w:p w14:paraId="7F775166" w14:textId="77777777" w:rsidR="00F6215F" w:rsidRDefault="00F6215F" w:rsidP="00F6215F">
      <w:pPr>
        <w:pStyle w:val="p1"/>
        <w:spacing w:before="0" w:beforeAutospacing="0" w:after="0" w:afterAutospacing="0"/>
        <w:ind w:firstLine="720"/>
        <w:jc w:val="both"/>
        <w:rPr>
          <w:rStyle w:val="s1"/>
          <w:rFonts w:eastAsiaTheme="majorEastAsia"/>
        </w:rPr>
      </w:pPr>
      <w:r>
        <w:t xml:space="preserve">Gender differences across four AI apprehension scales were examined using four separate robust linear regression models with gender coded as a continuous variable (0 = female, 1 = male). The analyses were conducted on a sample of </w:t>
      </w:r>
      <w:r w:rsidRPr="51FC7FF5">
        <w:rPr>
          <w:rStyle w:val="s1"/>
          <w:rFonts w:eastAsiaTheme="majorEastAsia"/>
        </w:rPr>
        <w:t>55</w:t>
      </w:r>
      <w:r>
        <w:rPr>
          <w:rStyle w:val="s1"/>
          <w:rFonts w:eastAsiaTheme="majorEastAsia"/>
        </w:rPr>
        <w:t>5</w:t>
      </w:r>
      <w:r w:rsidRPr="51FC7FF5">
        <w:rPr>
          <w:rStyle w:val="s1"/>
          <w:rFonts w:eastAsiaTheme="majorEastAsia"/>
        </w:rPr>
        <w:t xml:space="preserve"> participants</w:t>
      </w:r>
      <w:r>
        <w:t xml:space="preserve">, comprising </w:t>
      </w:r>
      <w:r w:rsidRPr="51FC7FF5">
        <w:rPr>
          <w:rStyle w:val="s1"/>
          <w:rFonts w:eastAsiaTheme="majorEastAsia"/>
        </w:rPr>
        <w:t>27</w:t>
      </w:r>
      <w:r>
        <w:rPr>
          <w:rStyle w:val="s1"/>
          <w:rFonts w:eastAsiaTheme="majorEastAsia"/>
        </w:rPr>
        <w:t>6</w:t>
      </w:r>
      <w:r w:rsidRPr="51FC7FF5">
        <w:rPr>
          <w:rStyle w:val="s1"/>
          <w:rFonts w:eastAsiaTheme="majorEastAsia"/>
        </w:rPr>
        <w:t xml:space="preserve"> females and 27</w:t>
      </w:r>
      <w:r>
        <w:rPr>
          <w:rStyle w:val="s1"/>
          <w:rFonts w:eastAsiaTheme="majorEastAsia"/>
        </w:rPr>
        <w:t>9</w:t>
      </w:r>
      <w:r w:rsidRPr="51FC7FF5">
        <w:rPr>
          <w:rStyle w:val="s1"/>
          <w:rFonts w:eastAsiaTheme="majorEastAsia"/>
        </w:rPr>
        <w:t xml:space="preserve"> males.</w:t>
      </w:r>
    </w:p>
    <w:p w14:paraId="1F7ABBF4" w14:textId="77777777" w:rsidR="00F6215F" w:rsidRDefault="00F6215F" w:rsidP="00F6215F">
      <w:pPr>
        <w:pStyle w:val="p1"/>
        <w:spacing w:before="0" w:beforeAutospacing="0" w:after="120" w:afterAutospacing="0"/>
        <w:ind w:firstLine="720"/>
        <w:jc w:val="both"/>
      </w:pPr>
      <w:r>
        <w:lastRenderedPageBreak/>
        <w:t>The Wald tests indicated significant gender effects for General AI and LLMs apprehension, but not for Personal AI or Institutional AI apprehension. Specifically, male participants reported lower levels of General AI and LLMs apprehension relative to female participants. No evidence of a gender difference was observed for Institutional and Personal AI apprehension (</w:t>
      </w:r>
      <w:r w:rsidRPr="51FC7FF5">
        <w:rPr>
          <w:rStyle w:val="s1"/>
          <w:rFonts w:eastAsiaTheme="majorEastAsia"/>
        </w:rPr>
        <w:t xml:space="preserve">Table </w:t>
      </w:r>
      <w:r>
        <w:rPr>
          <w:rStyle w:val="s1"/>
          <w:rFonts w:eastAsiaTheme="majorEastAsia"/>
        </w:rPr>
        <w:t>S4-1)</w:t>
      </w:r>
      <w:r>
        <w:t>. Across all four models, the proportion of variance explained by gender was small (R² range = .001-.018), indicating that while statistically detectable gender differences were present for some AI domains, gender accounted for only a modest share of overall variability in AI apprehension.</w:t>
      </w:r>
    </w:p>
    <w:p w14:paraId="428949E5" w14:textId="77777777" w:rsidR="00F6215F" w:rsidRPr="00902750" w:rsidRDefault="00F6215F" w:rsidP="00F6215F">
      <w:pPr>
        <w:spacing w:line="240" w:lineRule="auto"/>
        <w:outlineLvl w:val="1"/>
        <w:rPr>
          <w:rFonts w:ascii="Times New Roman" w:hAnsi="Times New Roman" w:cs="Times New Roman"/>
          <w:b/>
          <w:bCs/>
        </w:rPr>
      </w:pPr>
      <w:r w:rsidRPr="00902750">
        <w:rPr>
          <w:rFonts w:ascii="Times New Roman" w:hAnsi="Times New Roman" w:cs="Times New Roman"/>
          <w:b/>
          <w:bCs/>
        </w:rPr>
        <w:t>Table S4-1</w:t>
      </w:r>
    </w:p>
    <w:p w14:paraId="27E4B042" w14:textId="77777777" w:rsidR="00F6215F" w:rsidRPr="00902750" w:rsidRDefault="00F6215F" w:rsidP="00F6215F">
      <w:pPr>
        <w:spacing w:line="240" w:lineRule="auto"/>
        <w:outlineLvl w:val="1"/>
        <w:rPr>
          <w:rFonts w:ascii="Times New Roman" w:hAnsi="Times New Roman" w:cs="Times New Roman"/>
        </w:rPr>
      </w:pPr>
      <w:r w:rsidRPr="00902750">
        <w:rPr>
          <w:rFonts w:ascii="Times New Roman" w:hAnsi="Times New Roman" w:cs="Times New Roman"/>
        </w:rPr>
        <w:t>Gender differences across AI apprehension scales</w:t>
      </w:r>
    </w:p>
    <w:tbl>
      <w:tblPr>
        <w:tblW w:w="8606" w:type="dxa"/>
        <w:tblCellSpacing w:w="15" w:type="dxa"/>
        <w:tblCellMar>
          <w:top w:w="15" w:type="dxa"/>
          <w:left w:w="15" w:type="dxa"/>
          <w:bottom w:w="15" w:type="dxa"/>
          <w:right w:w="15" w:type="dxa"/>
        </w:tblCellMar>
        <w:tblLook w:val="04A0" w:firstRow="1" w:lastRow="0" w:firstColumn="1" w:lastColumn="0" w:noHBand="0" w:noVBand="1"/>
      </w:tblPr>
      <w:tblGrid>
        <w:gridCol w:w="2863"/>
        <w:gridCol w:w="1988"/>
        <w:gridCol w:w="1714"/>
        <w:gridCol w:w="1232"/>
        <w:gridCol w:w="809"/>
      </w:tblGrid>
      <w:tr w:rsidR="00F6215F" w14:paraId="2594F97E" w14:textId="77777777" w:rsidTr="008B4BED">
        <w:trPr>
          <w:tblHeader/>
          <w:tblCellSpacing w:w="15" w:type="dxa"/>
        </w:trPr>
        <w:tc>
          <w:tcPr>
            <w:tcW w:w="2818" w:type="dxa"/>
            <w:tcBorders>
              <w:top w:val="single" w:sz="4" w:space="0" w:color="auto"/>
              <w:bottom w:val="single" w:sz="4" w:space="0" w:color="auto"/>
            </w:tcBorders>
            <w:vAlign w:val="center"/>
            <w:hideMark/>
          </w:tcPr>
          <w:p w14:paraId="0B4A9432" w14:textId="77777777" w:rsidR="00F6215F" w:rsidRDefault="00F6215F" w:rsidP="008B4BED">
            <w:pPr>
              <w:pStyle w:val="p1"/>
              <w:jc w:val="center"/>
              <w:rPr>
                <w:b/>
                <w:bCs/>
              </w:rPr>
            </w:pPr>
            <w:r>
              <w:rPr>
                <w:b/>
                <w:bCs/>
              </w:rPr>
              <w:t>Outcome</w:t>
            </w:r>
          </w:p>
        </w:tc>
        <w:tc>
          <w:tcPr>
            <w:tcW w:w="1958" w:type="dxa"/>
            <w:tcBorders>
              <w:top w:val="single" w:sz="4" w:space="0" w:color="auto"/>
              <w:bottom w:val="single" w:sz="4" w:space="0" w:color="auto"/>
            </w:tcBorders>
            <w:vAlign w:val="center"/>
            <w:hideMark/>
          </w:tcPr>
          <w:p w14:paraId="4723E8D4" w14:textId="77777777" w:rsidR="00F6215F" w:rsidRDefault="00F6215F" w:rsidP="008B4BED">
            <w:pPr>
              <w:pStyle w:val="p1"/>
              <w:jc w:val="center"/>
              <w:rPr>
                <w:b/>
                <w:bCs/>
              </w:rPr>
            </w:pPr>
            <w:r>
              <w:rPr>
                <w:b/>
                <w:bCs/>
              </w:rPr>
              <w:t>β (male vs female)</w:t>
            </w:r>
          </w:p>
        </w:tc>
        <w:tc>
          <w:tcPr>
            <w:tcW w:w="1684" w:type="dxa"/>
            <w:tcBorders>
              <w:top w:val="single" w:sz="4" w:space="0" w:color="auto"/>
              <w:bottom w:val="single" w:sz="4" w:space="0" w:color="auto"/>
            </w:tcBorders>
            <w:vAlign w:val="center"/>
            <w:hideMark/>
          </w:tcPr>
          <w:p w14:paraId="47A7DC5D" w14:textId="77777777" w:rsidR="00F6215F" w:rsidRDefault="00F6215F" w:rsidP="008B4BED">
            <w:pPr>
              <w:pStyle w:val="p1"/>
              <w:jc w:val="center"/>
              <w:rPr>
                <w:b/>
                <w:bCs/>
              </w:rPr>
            </w:pPr>
            <w:r>
              <w:rPr>
                <w:b/>
                <w:bCs/>
              </w:rPr>
              <w:t>95% CI</w:t>
            </w:r>
          </w:p>
        </w:tc>
        <w:tc>
          <w:tcPr>
            <w:tcW w:w="1202" w:type="dxa"/>
            <w:tcBorders>
              <w:top w:val="single" w:sz="4" w:space="0" w:color="auto"/>
              <w:bottom w:val="single" w:sz="4" w:space="0" w:color="auto"/>
            </w:tcBorders>
            <w:vAlign w:val="center"/>
            <w:hideMark/>
          </w:tcPr>
          <w:p w14:paraId="0DBDC357" w14:textId="77777777" w:rsidR="00F6215F" w:rsidRDefault="00F6215F" w:rsidP="008B4BED">
            <w:pPr>
              <w:pStyle w:val="p1"/>
              <w:ind w:right="-243"/>
              <w:jc w:val="center"/>
              <w:rPr>
                <w:b/>
                <w:bCs/>
              </w:rPr>
            </w:pPr>
            <w:r>
              <w:rPr>
                <w:b/>
                <w:bCs/>
              </w:rPr>
              <w:t>p</w:t>
            </w:r>
          </w:p>
        </w:tc>
        <w:tc>
          <w:tcPr>
            <w:tcW w:w="764" w:type="dxa"/>
            <w:tcBorders>
              <w:top w:val="single" w:sz="4" w:space="0" w:color="auto"/>
              <w:bottom w:val="single" w:sz="4" w:space="0" w:color="auto"/>
            </w:tcBorders>
            <w:vAlign w:val="center"/>
            <w:hideMark/>
          </w:tcPr>
          <w:p w14:paraId="43FB9521" w14:textId="77777777" w:rsidR="00F6215F" w:rsidRDefault="00F6215F" w:rsidP="008B4BED">
            <w:pPr>
              <w:pStyle w:val="p1"/>
              <w:jc w:val="center"/>
              <w:rPr>
                <w:b/>
                <w:bCs/>
              </w:rPr>
            </w:pPr>
            <w:r>
              <w:rPr>
                <w:b/>
                <w:bCs/>
              </w:rPr>
              <w:t>R²</w:t>
            </w:r>
          </w:p>
        </w:tc>
      </w:tr>
      <w:tr w:rsidR="00F6215F" w14:paraId="00E7ACF2" w14:textId="77777777" w:rsidTr="008B4BED">
        <w:trPr>
          <w:tblCellSpacing w:w="15" w:type="dxa"/>
        </w:trPr>
        <w:tc>
          <w:tcPr>
            <w:tcW w:w="2818" w:type="dxa"/>
            <w:vAlign w:val="center"/>
            <w:hideMark/>
          </w:tcPr>
          <w:p w14:paraId="5F341CD4" w14:textId="77777777" w:rsidR="00F6215F" w:rsidRPr="00C963E6" w:rsidRDefault="00F6215F" w:rsidP="008B4BED">
            <w:pPr>
              <w:pStyle w:val="p1"/>
              <w:rPr>
                <w:b/>
                <w:bCs/>
              </w:rPr>
            </w:pPr>
            <w:r w:rsidRPr="00C963E6">
              <w:rPr>
                <w:b/>
                <w:bCs/>
              </w:rPr>
              <w:t xml:space="preserve">General AI </w:t>
            </w:r>
          </w:p>
        </w:tc>
        <w:tc>
          <w:tcPr>
            <w:tcW w:w="1958" w:type="dxa"/>
            <w:vAlign w:val="center"/>
            <w:hideMark/>
          </w:tcPr>
          <w:p w14:paraId="6D42EAD9" w14:textId="77777777" w:rsidR="00F6215F" w:rsidRDefault="00F6215F" w:rsidP="008B4BED">
            <w:pPr>
              <w:pStyle w:val="p1"/>
              <w:jc w:val="center"/>
            </w:pPr>
            <w:r>
              <w:t>−3.24</w:t>
            </w:r>
          </w:p>
        </w:tc>
        <w:tc>
          <w:tcPr>
            <w:tcW w:w="1684" w:type="dxa"/>
            <w:vAlign w:val="center"/>
            <w:hideMark/>
          </w:tcPr>
          <w:p w14:paraId="3B386E02" w14:textId="77777777" w:rsidR="00F6215F" w:rsidRDefault="00F6215F" w:rsidP="008B4BED">
            <w:pPr>
              <w:pStyle w:val="p1"/>
              <w:jc w:val="center"/>
            </w:pPr>
            <w:r>
              <w:t>[−5.81, −0.67]</w:t>
            </w:r>
          </w:p>
        </w:tc>
        <w:tc>
          <w:tcPr>
            <w:tcW w:w="1202" w:type="dxa"/>
            <w:vAlign w:val="center"/>
            <w:hideMark/>
          </w:tcPr>
          <w:p w14:paraId="7EE12135" w14:textId="77777777" w:rsidR="00F6215F" w:rsidRDefault="00F6215F" w:rsidP="008B4BED">
            <w:pPr>
              <w:pStyle w:val="p1"/>
              <w:jc w:val="center"/>
            </w:pPr>
            <w:r>
              <w:t>.014</w:t>
            </w:r>
          </w:p>
        </w:tc>
        <w:tc>
          <w:tcPr>
            <w:tcW w:w="764" w:type="dxa"/>
            <w:vAlign w:val="center"/>
            <w:hideMark/>
          </w:tcPr>
          <w:p w14:paraId="1DC3F055" w14:textId="77777777" w:rsidR="00F6215F" w:rsidRDefault="00F6215F" w:rsidP="008B4BED">
            <w:pPr>
              <w:pStyle w:val="p1"/>
              <w:jc w:val="center"/>
            </w:pPr>
            <w:r>
              <w:t>.011</w:t>
            </w:r>
          </w:p>
        </w:tc>
      </w:tr>
      <w:tr w:rsidR="00F6215F" w14:paraId="063CAA1C" w14:textId="77777777" w:rsidTr="008B4BED">
        <w:trPr>
          <w:tblCellSpacing w:w="15" w:type="dxa"/>
        </w:trPr>
        <w:tc>
          <w:tcPr>
            <w:tcW w:w="2818" w:type="dxa"/>
            <w:vAlign w:val="center"/>
            <w:hideMark/>
          </w:tcPr>
          <w:p w14:paraId="52E27F01" w14:textId="77777777" w:rsidR="00F6215F" w:rsidRPr="00C963E6" w:rsidRDefault="00F6215F" w:rsidP="008B4BED">
            <w:pPr>
              <w:pStyle w:val="p1"/>
              <w:rPr>
                <w:b/>
                <w:bCs/>
              </w:rPr>
            </w:pPr>
            <w:r w:rsidRPr="00C963E6">
              <w:rPr>
                <w:b/>
                <w:bCs/>
              </w:rPr>
              <w:t xml:space="preserve">LLMs </w:t>
            </w:r>
          </w:p>
        </w:tc>
        <w:tc>
          <w:tcPr>
            <w:tcW w:w="1958" w:type="dxa"/>
            <w:vAlign w:val="center"/>
            <w:hideMark/>
          </w:tcPr>
          <w:p w14:paraId="562F20F4" w14:textId="77777777" w:rsidR="00F6215F" w:rsidRDefault="00F6215F" w:rsidP="008B4BED">
            <w:pPr>
              <w:pStyle w:val="p1"/>
              <w:jc w:val="center"/>
            </w:pPr>
            <w:r>
              <w:t>−4.76</w:t>
            </w:r>
          </w:p>
        </w:tc>
        <w:tc>
          <w:tcPr>
            <w:tcW w:w="1684" w:type="dxa"/>
            <w:vAlign w:val="center"/>
            <w:hideMark/>
          </w:tcPr>
          <w:p w14:paraId="691022E7" w14:textId="77777777" w:rsidR="00F6215F" w:rsidRDefault="00F6215F" w:rsidP="008B4BED">
            <w:pPr>
              <w:pStyle w:val="p1"/>
              <w:jc w:val="center"/>
            </w:pPr>
            <w:r>
              <w:t>[−7.68, −1.84]</w:t>
            </w:r>
          </w:p>
        </w:tc>
        <w:tc>
          <w:tcPr>
            <w:tcW w:w="1202" w:type="dxa"/>
            <w:vAlign w:val="center"/>
            <w:hideMark/>
          </w:tcPr>
          <w:p w14:paraId="2B17F832" w14:textId="77777777" w:rsidR="00F6215F" w:rsidRDefault="00F6215F" w:rsidP="008B4BED">
            <w:pPr>
              <w:pStyle w:val="p1"/>
              <w:jc w:val="center"/>
            </w:pPr>
            <w:r>
              <w:t>.001</w:t>
            </w:r>
          </w:p>
        </w:tc>
        <w:tc>
          <w:tcPr>
            <w:tcW w:w="764" w:type="dxa"/>
            <w:vAlign w:val="center"/>
            <w:hideMark/>
          </w:tcPr>
          <w:p w14:paraId="51996ECE" w14:textId="77777777" w:rsidR="00F6215F" w:rsidRDefault="00F6215F" w:rsidP="008B4BED">
            <w:pPr>
              <w:pStyle w:val="p1"/>
              <w:jc w:val="center"/>
            </w:pPr>
            <w:r>
              <w:t>.018</w:t>
            </w:r>
          </w:p>
        </w:tc>
      </w:tr>
      <w:tr w:rsidR="00F6215F" w14:paraId="4BE2479C" w14:textId="77777777" w:rsidTr="008B4BED">
        <w:trPr>
          <w:tblCellSpacing w:w="15" w:type="dxa"/>
        </w:trPr>
        <w:tc>
          <w:tcPr>
            <w:tcW w:w="2818" w:type="dxa"/>
            <w:vAlign w:val="center"/>
            <w:hideMark/>
          </w:tcPr>
          <w:p w14:paraId="60569C68" w14:textId="77777777" w:rsidR="00F6215F" w:rsidRPr="00C963E6" w:rsidRDefault="00F6215F" w:rsidP="008B4BED">
            <w:pPr>
              <w:pStyle w:val="p1"/>
              <w:rPr>
                <w:b/>
                <w:bCs/>
              </w:rPr>
            </w:pPr>
            <w:r w:rsidRPr="00C963E6">
              <w:rPr>
                <w:b/>
                <w:bCs/>
              </w:rPr>
              <w:t>Personal AI</w:t>
            </w:r>
          </w:p>
        </w:tc>
        <w:tc>
          <w:tcPr>
            <w:tcW w:w="1958" w:type="dxa"/>
            <w:vAlign w:val="center"/>
            <w:hideMark/>
          </w:tcPr>
          <w:p w14:paraId="75BB305F" w14:textId="77777777" w:rsidR="00F6215F" w:rsidRDefault="00F6215F" w:rsidP="008B4BED">
            <w:pPr>
              <w:pStyle w:val="p1"/>
              <w:jc w:val="center"/>
            </w:pPr>
            <w:r>
              <w:t>−3.07</w:t>
            </w:r>
          </w:p>
        </w:tc>
        <w:tc>
          <w:tcPr>
            <w:tcW w:w="1684" w:type="dxa"/>
            <w:vAlign w:val="center"/>
            <w:hideMark/>
          </w:tcPr>
          <w:p w14:paraId="293BB09D" w14:textId="77777777" w:rsidR="00F6215F" w:rsidRDefault="00F6215F" w:rsidP="008B4BED">
            <w:pPr>
              <w:pStyle w:val="p1"/>
              <w:jc w:val="center"/>
            </w:pPr>
            <w:r>
              <w:t>[−6.29, 0.15]</w:t>
            </w:r>
          </w:p>
        </w:tc>
        <w:tc>
          <w:tcPr>
            <w:tcW w:w="1202" w:type="dxa"/>
            <w:vAlign w:val="center"/>
            <w:hideMark/>
          </w:tcPr>
          <w:p w14:paraId="71F33380" w14:textId="77777777" w:rsidR="00F6215F" w:rsidRDefault="00F6215F" w:rsidP="008B4BED">
            <w:pPr>
              <w:pStyle w:val="p1"/>
              <w:jc w:val="center"/>
            </w:pPr>
            <w:r>
              <w:t>.062</w:t>
            </w:r>
          </w:p>
        </w:tc>
        <w:tc>
          <w:tcPr>
            <w:tcW w:w="764" w:type="dxa"/>
            <w:vAlign w:val="center"/>
            <w:hideMark/>
          </w:tcPr>
          <w:p w14:paraId="1A0BA5BF" w14:textId="77777777" w:rsidR="00F6215F" w:rsidRDefault="00F6215F" w:rsidP="008B4BED">
            <w:pPr>
              <w:pStyle w:val="p1"/>
              <w:jc w:val="center"/>
            </w:pPr>
            <w:r>
              <w:t>.006</w:t>
            </w:r>
          </w:p>
        </w:tc>
      </w:tr>
      <w:tr w:rsidR="00F6215F" w14:paraId="53EDC08D" w14:textId="77777777" w:rsidTr="008B4BED">
        <w:trPr>
          <w:tblCellSpacing w:w="15" w:type="dxa"/>
        </w:trPr>
        <w:tc>
          <w:tcPr>
            <w:tcW w:w="2818" w:type="dxa"/>
            <w:tcBorders>
              <w:bottom w:val="single" w:sz="4" w:space="0" w:color="auto"/>
            </w:tcBorders>
            <w:vAlign w:val="center"/>
            <w:hideMark/>
          </w:tcPr>
          <w:p w14:paraId="42E2007E" w14:textId="77777777" w:rsidR="00F6215F" w:rsidRPr="00C963E6" w:rsidRDefault="00F6215F" w:rsidP="008B4BED">
            <w:pPr>
              <w:pStyle w:val="p1"/>
              <w:rPr>
                <w:b/>
                <w:bCs/>
              </w:rPr>
            </w:pPr>
            <w:r w:rsidRPr="00C963E6">
              <w:rPr>
                <w:b/>
                <w:bCs/>
              </w:rPr>
              <w:t xml:space="preserve">Institutional AI </w:t>
            </w:r>
          </w:p>
        </w:tc>
        <w:tc>
          <w:tcPr>
            <w:tcW w:w="1958" w:type="dxa"/>
            <w:tcBorders>
              <w:bottom w:val="single" w:sz="4" w:space="0" w:color="auto"/>
            </w:tcBorders>
            <w:vAlign w:val="center"/>
            <w:hideMark/>
          </w:tcPr>
          <w:p w14:paraId="7339ACEC" w14:textId="77777777" w:rsidR="00F6215F" w:rsidRDefault="00F6215F" w:rsidP="008B4BED">
            <w:pPr>
              <w:pStyle w:val="p1"/>
              <w:jc w:val="center"/>
            </w:pPr>
            <w:r>
              <w:t>−0.97</w:t>
            </w:r>
          </w:p>
        </w:tc>
        <w:tc>
          <w:tcPr>
            <w:tcW w:w="1684" w:type="dxa"/>
            <w:tcBorders>
              <w:bottom w:val="single" w:sz="4" w:space="0" w:color="auto"/>
            </w:tcBorders>
            <w:vAlign w:val="center"/>
            <w:hideMark/>
          </w:tcPr>
          <w:p w14:paraId="06ABE10F" w14:textId="77777777" w:rsidR="00F6215F" w:rsidRDefault="00F6215F" w:rsidP="008B4BED">
            <w:pPr>
              <w:pStyle w:val="p1"/>
              <w:jc w:val="center"/>
            </w:pPr>
            <w:r>
              <w:t>[−4.23, 2.28]</w:t>
            </w:r>
          </w:p>
        </w:tc>
        <w:tc>
          <w:tcPr>
            <w:tcW w:w="1202" w:type="dxa"/>
            <w:tcBorders>
              <w:bottom w:val="single" w:sz="4" w:space="0" w:color="auto"/>
            </w:tcBorders>
            <w:vAlign w:val="center"/>
            <w:hideMark/>
          </w:tcPr>
          <w:p w14:paraId="0AE5B194" w14:textId="77777777" w:rsidR="00F6215F" w:rsidRDefault="00F6215F" w:rsidP="008B4BED">
            <w:pPr>
              <w:pStyle w:val="p1"/>
              <w:jc w:val="center"/>
            </w:pPr>
            <w:r>
              <w:t>.558</w:t>
            </w:r>
          </w:p>
        </w:tc>
        <w:tc>
          <w:tcPr>
            <w:tcW w:w="764" w:type="dxa"/>
            <w:tcBorders>
              <w:bottom w:val="single" w:sz="4" w:space="0" w:color="auto"/>
            </w:tcBorders>
            <w:vAlign w:val="center"/>
            <w:hideMark/>
          </w:tcPr>
          <w:p w14:paraId="28DA25ED" w14:textId="77777777" w:rsidR="00F6215F" w:rsidRDefault="00F6215F" w:rsidP="008B4BED">
            <w:pPr>
              <w:pStyle w:val="p1"/>
              <w:jc w:val="center"/>
            </w:pPr>
            <w:r>
              <w:t>.001</w:t>
            </w:r>
          </w:p>
        </w:tc>
      </w:tr>
    </w:tbl>
    <w:p w14:paraId="6300B7B0" w14:textId="77777777" w:rsidR="00F6215F" w:rsidRPr="00043CAA" w:rsidRDefault="00F6215F" w:rsidP="00F6215F">
      <w:pPr>
        <w:pStyle w:val="p1"/>
        <w:spacing w:before="0" w:beforeAutospacing="0" w:after="0" w:afterAutospacing="0"/>
        <w:rPr>
          <w:sz w:val="20"/>
          <w:szCs w:val="20"/>
        </w:rPr>
      </w:pPr>
      <w:r w:rsidRPr="00043CAA">
        <w:rPr>
          <w:b/>
          <w:bCs/>
          <w:i/>
          <w:iCs/>
          <w:sz w:val="20"/>
          <w:szCs w:val="20"/>
        </w:rPr>
        <w:t>Note.</w:t>
      </w:r>
      <w:r w:rsidRPr="00043CAA">
        <w:rPr>
          <w:b/>
          <w:bCs/>
          <w:sz w:val="20"/>
          <w:szCs w:val="20"/>
        </w:rPr>
        <w:t xml:space="preserve"> </w:t>
      </w:r>
      <w:r w:rsidRPr="00043CAA">
        <w:rPr>
          <w:sz w:val="20"/>
          <w:szCs w:val="20"/>
        </w:rPr>
        <w:t>Gender coded as 0 = female, 1 = male. Estimates reflect the difference for male relative to female participants. Robust standard errors (HC3) used throughout.</w:t>
      </w:r>
    </w:p>
    <w:p w14:paraId="2D93CC4E" w14:textId="77777777" w:rsidR="00F6215F" w:rsidRDefault="00F6215F" w:rsidP="00F6215F">
      <w:pPr>
        <w:pStyle w:val="p1"/>
        <w:spacing w:before="0" w:beforeAutospacing="0" w:after="0" w:afterAutospacing="0" w:line="360" w:lineRule="auto"/>
      </w:pPr>
    </w:p>
    <w:p w14:paraId="1A119F5C" w14:textId="77777777" w:rsidR="00F6215F" w:rsidRPr="0076218C" w:rsidRDefault="00F6215F" w:rsidP="00F6215F">
      <w:pPr>
        <w:pStyle w:val="p1"/>
        <w:spacing w:before="0" w:beforeAutospacing="0" w:after="120" w:afterAutospacing="0" w:line="360" w:lineRule="auto"/>
        <w:rPr>
          <w:i/>
          <w:iCs/>
        </w:rPr>
      </w:pPr>
      <w:r w:rsidRPr="0076218C">
        <w:rPr>
          <w:i/>
          <w:iCs/>
        </w:rPr>
        <w:t>Age</w:t>
      </w:r>
    </w:p>
    <w:p w14:paraId="311B49CA" w14:textId="77777777" w:rsidR="00F6215F" w:rsidRDefault="00F6215F" w:rsidP="00F6215F">
      <w:pPr>
        <w:pStyle w:val="p1"/>
        <w:spacing w:before="0" w:beforeAutospacing="0" w:after="0" w:afterAutospacing="0"/>
        <w:ind w:firstLine="720"/>
        <w:jc w:val="both"/>
      </w:pPr>
      <w:r>
        <w:t xml:space="preserve">Age was examined first as a continuous predictor in </w:t>
      </w:r>
      <w:r w:rsidRPr="7899749D">
        <w:rPr>
          <w:rStyle w:val="s1"/>
          <w:rFonts w:eastAsiaTheme="majorEastAsia"/>
        </w:rPr>
        <w:t>robust linear regression models</w:t>
      </w:r>
      <w:r>
        <w:t xml:space="preserve"> (HC3 standard errors), estimated separately for each of the four apprehension scales (N = 550 for each model). Across the four models, there was </w:t>
      </w:r>
      <w:r w:rsidRPr="7899749D">
        <w:rPr>
          <w:rStyle w:val="s1"/>
          <w:rFonts w:eastAsiaTheme="majorEastAsia"/>
        </w:rPr>
        <w:t>no evidence</w:t>
      </w:r>
      <w:r>
        <w:t xml:space="preserve"> that age was associated with any apprehension domain: General AI apprehension (</w:t>
      </w:r>
      <w:r w:rsidRPr="7899749D">
        <w:rPr>
          <w:i/>
          <w:iCs/>
        </w:rPr>
        <w:t>p</w:t>
      </w:r>
      <w:r>
        <w:t xml:space="preserve"> = .964), LLMs apprehension (</w:t>
      </w:r>
      <w:r w:rsidRPr="7899749D">
        <w:rPr>
          <w:i/>
          <w:iCs/>
        </w:rPr>
        <w:t>p</w:t>
      </w:r>
      <w:r>
        <w:t xml:space="preserve"> = .506), Personal AI apprehension (</w:t>
      </w:r>
      <w:proofErr w:type="gramStart"/>
      <w:r>
        <w:t>F(</w:t>
      </w:r>
      <w:proofErr w:type="gramEnd"/>
      <w:r>
        <w:t xml:space="preserve">1, 548) = 0.12, </w:t>
      </w:r>
      <w:r w:rsidRPr="7899749D">
        <w:rPr>
          <w:i/>
          <w:iCs/>
        </w:rPr>
        <w:t>p</w:t>
      </w:r>
      <w:r>
        <w:t xml:space="preserve"> = .730), or Institutional AI apprehension (</w:t>
      </w:r>
      <w:r w:rsidRPr="7899749D">
        <w:rPr>
          <w:i/>
          <w:iCs/>
        </w:rPr>
        <w:t>p</w:t>
      </w:r>
      <w:r>
        <w:t xml:space="preserve"> = .198). Model fit was negligible across outcomes (R² = .000-.003), indicating that age alone explained little variance in any of the four scales (Table S4-2).</w:t>
      </w:r>
    </w:p>
    <w:p w14:paraId="7EEA9B27" w14:textId="77777777" w:rsidR="00F6215F" w:rsidRPr="00566759" w:rsidRDefault="00F6215F" w:rsidP="00F6215F">
      <w:pPr>
        <w:pStyle w:val="p1"/>
      </w:pPr>
      <w:r w:rsidRPr="00566759">
        <w:rPr>
          <w:b/>
          <w:bCs/>
        </w:rPr>
        <w:t>Table S</w:t>
      </w:r>
      <w:r>
        <w:rPr>
          <w:b/>
          <w:bCs/>
        </w:rPr>
        <w:t>4-2</w:t>
      </w:r>
      <w:r>
        <w:t xml:space="preserve">. </w:t>
      </w:r>
      <w:r w:rsidRPr="00566759">
        <w:t>Associations between age and AI apprehension across four AI types</w:t>
      </w:r>
    </w:p>
    <w:tbl>
      <w:tblPr>
        <w:tblStyle w:val="TableGrid"/>
        <w:tblW w:w="0" w:type="auto"/>
        <w:tblLook w:val="04A0" w:firstRow="1" w:lastRow="0" w:firstColumn="1" w:lastColumn="0" w:noHBand="0" w:noVBand="1"/>
      </w:tblPr>
      <w:tblGrid>
        <w:gridCol w:w="2795"/>
        <w:gridCol w:w="1502"/>
        <w:gridCol w:w="1912"/>
        <w:gridCol w:w="601"/>
      </w:tblGrid>
      <w:tr w:rsidR="00F6215F" w:rsidRPr="00566759" w14:paraId="0FE48A4D" w14:textId="77777777" w:rsidTr="008B4BED">
        <w:tc>
          <w:tcPr>
            <w:tcW w:w="0" w:type="auto"/>
            <w:hideMark/>
          </w:tcPr>
          <w:p w14:paraId="094F2008" w14:textId="77777777" w:rsidR="00F6215F" w:rsidRPr="00566759" w:rsidRDefault="00F6215F" w:rsidP="008B4BED">
            <w:pPr>
              <w:spacing w:before="100" w:beforeAutospacing="1" w:after="100" w:afterAutospacing="1"/>
              <w:jc w:val="center"/>
              <w:rPr>
                <w:rFonts w:ascii="Times New Roman" w:eastAsia="Times New Roman" w:hAnsi="Times New Roman" w:cs="Times New Roman"/>
                <w:b/>
                <w:bCs/>
                <w:lang w:eastAsia="en-GB"/>
              </w:rPr>
            </w:pPr>
            <w:r w:rsidRPr="00566759">
              <w:rPr>
                <w:rFonts w:ascii="Times New Roman" w:eastAsia="Times New Roman" w:hAnsi="Times New Roman" w:cs="Times New Roman"/>
                <w:b/>
                <w:bCs/>
                <w:lang w:eastAsia="en-GB"/>
              </w:rPr>
              <w:t>AI type</w:t>
            </w:r>
          </w:p>
        </w:tc>
        <w:tc>
          <w:tcPr>
            <w:tcW w:w="1502" w:type="dxa"/>
            <w:hideMark/>
          </w:tcPr>
          <w:p w14:paraId="3B8C85EF" w14:textId="77777777" w:rsidR="00F6215F" w:rsidRPr="00566759" w:rsidRDefault="00F6215F" w:rsidP="008B4BED">
            <w:pPr>
              <w:spacing w:before="100" w:beforeAutospacing="1" w:after="100" w:afterAutospacing="1"/>
              <w:jc w:val="center"/>
              <w:rPr>
                <w:rFonts w:ascii="Times New Roman" w:eastAsia="Times New Roman" w:hAnsi="Times New Roman" w:cs="Times New Roman"/>
                <w:b/>
                <w:bCs/>
                <w:lang w:eastAsia="en-GB"/>
              </w:rPr>
            </w:pPr>
            <w:r w:rsidRPr="00566759">
              <w:rPr>
                <w:rFonts w:ascii="Times New Roman" w:eastAsia="Times New Roman" w:hAnsi="Times New Roman" w:cs="Times New Roman"/>
                <w:b/>
                <w:bCs/>
                <w:lang w:eastAsia="en-GB"/>
              </w:rPr>
              <w:t>β (age)</w:t>
            </w:r>
          </w:p>
        </w:tc>
        <w:tc>
          <w:tcPr>
            <w:tcW w:w="1912" w:type="dxa"/>
            <w:hideMark/>
          </w:tcPr>
          <w:p w14:paraId="18FAF00D" w14:textId="77777777" w:rsidR="00F6215F" w:rsidRPr="00566759" w:rsidRDefault="00F6215F" w:rsidP="008B4BED">
            <w:pPr>
              <w:spacing w:before="100" w:beforeAutospacing="1" w:after="100" w:afterAutospacing="1"/>
              <w:jc w:val="center"/>
              <w:rPr>
                <w:rFonts w:ascii="Times New Roman" w:eastAsia="Times New Roman" w:hAnsi="Times New Roman" w:cs="Times New Roman"/>
                <w:b/>
                <w:bCs/>
                <w:lang w:eastAsia="en-GB"/>
              </w:rPr>
            </w:pPr>
            <w:r w:rsidRPr="00566759">
              <w:rPr>
                <w:rFonts w:ascii="Times New Roman" w:eastAsia="Times New Roman" w:hAnsi="Times New Roman" w:cs="Times New Roman"/>
                <w:b/>
                <w:bCs/>
                <w:lang w:eastAsia="en-GB"/>
              </w:rPr>
              <w:t>p</w:t>
            </w:r>
          </w:p>
        </w:tc>
        <w:tc>
          <w:tcPr>
            <w:tcW w:w="0" w:type="auto"/>
            <w:hideMark/>
          </w:tcPr>
          <w:p w14:paraId="6DD7EE79" w14:textId="77777777" w:rsidR="00F6215F" w:rsidRPr="00566759" w:rsidRDefault="00F6215F" w:rsidP="008B4BED">
            <w:pPr>
              <w:spacing w:before="100" w:beforeAutospacing="1" w:after="100" w:afterAutospacing="1"/>
              <w:jc w:val="center"/>
              <w:rPr>
                <w:rFonts w:ascii="Times New Roman" w:eastAsia="Times New Roman" w:hAnsi="Times New Roman" w:cs="Times New Roman"/>
                <w:b/>
                <w:bCs/>
                <w:lang w:eastAsia="en-GB"/>
              </w:rPr>
            </w:pPr>
            <w:r w:rsidRPr="00566759">
              <w:rPr>
                <w:rFonts w:ascii="Times New Roman" w:eastAsia="Times New Roman" w:hAnsi="Times New Roman" w:cs="Times New Roman"/>
                <w:b/>
                <w:bCs/>
                <w:lang w:eastAsia="en-GB"/>
              </w:rPr>
              <w:t>R²</w:t>
            </w:r>
          </w:p>
        </w:tc>
      </w:tr>
      <w:tr w:rsidR="00F6215F" w:rsidRPr="00566759" w14:paraId="76B29544" w14:textId="77777777" w:rsidTr="008B4BED">
        <w:tc>
          <w:tcPr>
            <w:tcW w:w="0" w:type="auto"/>
            <w:hideMark/>
          </w:tcPr>
          <w:p w14:paraId="4D9A667E" w14:textId="77777777" w:rsidR="00F6215F" w:rsidRPr="00566759" w:rsidRDefault="00F6215F" w:rsidP="008B4BED">
            <w:pPr>
              <w:spacing w:before="100" w:beforeAutospacing="1" w:after="100" w:afterAutospacing="1"/>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General AI apprehension</w:t>
            </w:r>
          </w:p>
        </w:tc>
        <w:tc>
          <w:tcPr>
            <w:tcW w:w="1502" w:type="dxa"/>
            <w:hideMark/>
          </w:tcPr>
          <w:p w14:paraId="375AC44B"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−0.005</w:t>
            </w:r>
          </w:p>
        </w:tc>
        <w:tc>
          <w:tcPr>
            <w:tcW w:w="1912" w:type="dxa"/>
            <w:hideMark/>
          </w:tcPr>
          <w:p w14:paraId="302946E4"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.964</w:t>
            </w:r>
          </w:p>
        </w:tc>
        <w:tc>
          <w:tcPr>
            <w:tcW w:w="0" w:type="auto"/>
            <w:hideMark/>
          </w:tcPr>
          <w:p w14:paraId="3A9163E8"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.000</w:t>
            </w:r>
          </w:p>
        </w:tc>
      </w:tr>
      <w:tr w:rsidR="00F6215F" w:rsidRPr="00566759" w14:paraId="31114C85" w14:textId="77777777" w:rsidTr="008B4BED">
        <w:tc>
          <w:tcPr>
            <w:tcW w:w="0" w:type="auto"/>
            <w:hideMark/>
          </w:tcPr>
          <w:p w14:paraId="3C1557AD" w14:textId="77777777" w:rsidR="00F6215F" w:rsidRPr="00566759" w:rsidRDefault="00F6215F" w:rsidP="008B4BED">
            <w:pPr>
              <w:spacing w:before="100" w:beforeAutospacing="1" w:after="100" w:afterAutospacing="1"/>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LLM AI apprehension</w:t>
            </w:r>
          </w:p>
        </w:tc>
        <w:tc>
          <w:tcPr>
            <w:tcW w:w="1502" w:type="dxa"/>
            <w:hideMark/>
          </w:tcPr>
          <w:p w14:paraId="19D158FF"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−0.074</w:t>
            </w:r>
          </w:p>
        </w:tc>
        <w:tc>
          <w:tcPr>
            <w:tcW w:w="1912" w:type="dxa"/>
            <w:hideMark/>
          </w:tcPr>
          <w:p w14:paraId="0F4FFD9D"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.506</w:t>
            </w:r>
          </w:p>
        </w:tc>
        <w:tc>
          <w:tcPr>
            <w:tcW w:w="0" w:type="auto"/>
            <w:hideMark/>
          </w:tcPr>
          <w:p w14:paraId="0AC134BF"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.001</w:t>
            </w:r>
          </w:p>
        </w:tc>
      </w:tr>
      <w:tr w:rsidR="00F6215F" w:rsidRPr="00566759" w14:paraId="113D9391" w14:textId="77777777" w:rsidTr="008B4BED">
        <w:tc>
          <w:tcPr>
            <w:tcW w:w="0" w:type="auto"/>
            <w:hideMark/>
          </w:tcPr>
          <w:p w14:paraId="7FB14894" w14:textId="77777777" w:rsidR="00F6215F" w:rsidRPr="00566759" w:rsidRDefault="00F6215F" w:rsidP="008B4BED">
            <w:pPr>
              <w:spacing w:before="100" w:beforeAutospacing="1" w:after="100" w:afterAutospacing="1"/>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Personal AI apprehension</w:t>
            </w:r>
          </w:p>
        </w:tc>
        <w:tc>
          <w:tcPr>
            <w:tcW w:w="1502" w:type="dxa"/>
            <w:hideMark/>
          </w:tcPr>
          <w:p w14:paraId="4F3A53CB"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−0.043</w:t>
            </w:r>
          </w:p>
        </w:tc>
        <w:tc>
          <w:tcPr>
            <w:tcW w:w="1912" w:type="dxa"/>
            <w:hideMark/>
          </w:tcPr>
          <w:p w14:paraId="0BAD8085"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.730</w:t>
            </w:r>
          </w:p>
        </w:tc>
        <w:tc>
          <w:tcPr>
            <w:tcW w:w="0" w:type="auto"/>
            <w:hideMark/>
          </w:tcPr>
          <w:p w14:paraId="1A2825C4"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.000</w:t>
            </w:r>
          </w:p>
        </w:tc>
      </w:tr>
      <w:tr w:rsidR="00F6215F" w:rsidRPr="00566759" w14:paraId="2668858E" w14:textId="77777777" w:rsidTr="008B4BED">
        <w:tc>
          <w:tcPr>
            <w:tcW w:w="0" w:type="auto"/>
            <w:hideMark/>
          </w:tcPr>
          <w:p w14:paraId="0252E078" w14:textId="77777777" w:rsidR="00F6215F" w:rsidRPr="00566759" w:rsidRDefault="00F6215F" w:rsidP="008B4BED">
            <w:pPr>
              <w:spacing w:before="100" w:beforeAutospacing="1" w:after="100" w:afterAutospacing="1"/>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Institutional AI apprehension</w:t>
            </w:r>
          </w:p>
        </w:tc>
        <w:tc>
          <w:tcPr>
            <w:tcW w:w="1502" w:type="dxa"/>
            <w:hideMark/>
          </w:tcPr>
          <w:p w14:paraId="407A1750"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0.153</w:t>
            </w:r>
          </w:p>
        </w:tc>
        <w:tc>
          <w:tcPr>
            <w:tcW w:w="1912" w:type="dxa"/>
            <w:hideMark/>
          </w:tcPr>
          <w:p w14:paraId="26DD28FD"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.198</w:t>
            </w:r>
          </w:p>
        </w:tc>
        <w:tc>
          <w:tcPr>
            <w:tcW w:w="0" w:type="auto"/>
            <w:hideMark/>
          </w:tcPr>
          <w:p w14:paraId="0D7A42FC" w14:textId="77777777" w:rsidR="00F6215F" w:rsidRPr="00566759" w:rsidRDefault="00F6215F" w:rsidP="008B4BED">
            <w:pPr>
              <w:spacing w:before="100" w:beforeAutospacing="1" w:after="100" w:afterAutospacing="1"/>
              <w:jc w:val="center"/>
              <w:rPr>
                <w:rFonts w:ascii="Times New Roman" w:eastAsia="Times New Roman" w:hAnsi="Times New Roman" w:cs="Times New Roman"/>
                <w:lang w:eastAsia="en-GB"/>
              </w:rPr>
            </w:pPr>
            <w:r w:rsidRPr="00566759">
              <w:rPr>
                <w:rFonts w:ascii="Times New Roman" w:eastAsia="Times New Roman" w:hAnsi="Times New Roman" w:cs="Times New Roman"/>
                <w:lang w:eastAsia="en-GB"/>
              </w:rPr>
              <w:t>.003</w:t>
            </w:r>
          </w:p>
        </w:tc>
      </w:tr>
    </w:tbl>
    <w:p w14:paraId="12D8616B" w14:textId="77777777" w:rsidR="00F6215F" w:rsidRDefault="00F6215F" w:rsidP="00F6215F">
      <w:pPr>
        <w:pStyle w:val="p1"/>
        <w:spacing w:before="0" w:beforeAutospacing="0" w:after="0" w:afterAutospacing="0"/>
      </w:pPr>
      <w:r w:rsidRPr="000D6941">
        <w:rPr>
          <w:b/>
          <w:bCs/>
          <w:i/>
          <w:iCs/>
        </w:rPr>
        <w:t>Note</w:t>
      </w:r>
      <w:r>
        <w:t>. Age was entered as a continuous predictor in age-only robust linear regression models (HC3 standard errors)</w:t>
      </w:r>
    </w:p>
    <w:p w14:paraId="121E0EA1" w14:textId="77777777" w:rsidR="00F6215F" w:rsidRPr="00F37B17" w:rsidRDefault="00F6215F" w:rsidP="00F6215F">
      <w:pPr>
        <w:pStyle w:val="p1"/>
        <w:spacing w:before="0" w:beforeAutospacing="0" w:after="0" w:afterAutospacing="0" w:line="360" w:lineRule="auto"/>
        <w:ind w:firstLine="720"/>
        <w:jc w:val="both"/>
      </w:pPr>
    </w:p>
    <w:p w14:paraId="2623F847" w14:textId="77777777" w:rsidR="00F6215F" w:rsidRPr="00F37B17" w:rsidRDefault="00F6215F" w:rsidP="00F6215F">
      <w:pPr>
        <w:pStyle w:val="p1"/>
        <w:spacing w:before="0" w:beforeAutospacing="0" w:after="120" w:afterAutospacing="0"/>
        <w:ind w:firstLine="720"/>
        <w:jc w:val="both"/>
      </w:pPr>
      <w:r>
        <w:t xml:space="preserve">Age was also examined as a categorical variable using three groups: </w:t>
      </w:r>
      <w:r w:rsidRPr="7899749D">
        <w:rPr>
          <w:rStyle w:val="s1"/>
          <w:rFonts w:eastAsiaTheme="majorEastAsia"/>
        </w:rPr>
        <w:t>18-24 years (n = 136)</w:t>
      </w:r>
      <w:r>
        <w:t xml:space="preserve">, </w:t>
      </w:r>
      <w:r w:rsidRPr="7899749D">
        <w:rPr>
          <w:rStyle w:val="s1"/>
          <w:rFonts w:eastAsiaTheme="majorEastAsia"/>
        </w:rPr>
        <w:t>25-34 years (n = 231)</w:t>
      </w:r>
      <w:r>
        <w:t xml:space="preserve">, and </w:t>
      </w:r>
      <w:r w:rsidRPr="7899749D">
        <w:rPr>
          <w:rStyle w:val="s1"/>
          <w:rFonts w:eastAsiaTheme="majorEastAsia"/>
        </w:rPr>
        <w:t>35-44 years (n = 183)</w:t>
      </w:r>
      <w:r>
        <w:t xml:space="preserve">. Across all four AI types, age group explained a negligible proportion of variance. Specifically, age group accounted for little variance in </w:t>
      </w:r>
      <w:r>
        <w:rPr>
          <w:rStyle w:val="s1"/>
          <w:rFonts w:eastAsiaTheme="majorEastAsia"/>
        </w:rPr>
        <w:t>G</w:t>
      </w:r>
      <w:r w:rsidRPr="7899749D">
        <w:rPr>
          <w:rStyle w:val="s1"/>
          <w:rFonts w:eastAsiaTheme="majorEastAsia"/>
        </w:rPr>
        <w:t>eneral AI apprehension</w:t>
      </w:r>
      <w:r>
        <w:t xml:space="preserve"> (R² = .003), </w:t>
      </w:r>
      <w:r w:rsidRPr="7899749D">
        <w:rPr>
          <w:rStyle w:val="s1"/>
          <w:rFonts w:eastAsiaTheme="majorEastAsia"/>
        </w:rPr>
        <w:t>LLM</w:t>
      </w:r>
      <w:r>
        <w:rPr>
          <w:rStyle w:val="s1"/>
          <w:rFonts w:eastAsiaTheme="majorEastAsia"/>
        </w:rPr>
        <w:t>s</w:t>
      </w:r>
      <w:r w:rsidRPr="7899749D">
        <w:rPr>
          <w:rStyle w:val="s1"/>
          <w:rFonts w:eastAsiaTheme="majorEastAsia"/>
        </w:rPr>
        <w:t xml:space="preserve"> apprehension</w:t>
      </w:r>
      <w:r>
        <w:t xml:space="preserve"> (R² = .005), </w:t>
      </w:r>
      <w:r>
        <w:rPr>
          <w:rStyle w:val="s1"/>
          <w:rFonts w:eastAsiaTheme="majorEastAsia"/>
        </w:rPr>
        <w:t>P</w:t>
      </w:r>
      <w:r w:rsidRPr="7899749D">
        <w:rPr>
          <w:rStyle w:val="s1"/>
          <w:rFonts w:eastAsiaTheme="majorEastAsia"/>
        </w:rPr>
        <w:t>ersonal AI apprehension</w:t>
      </w:r>
      <w:r>
        <w:t xml:space="preserve"> (R² = .003) and </w:t>
      </w:r>
      <w:r>
        <w:rPr>
          <w:rStyle w:val="s1"/>
          <w:rFonts w:eastAsiaTheme="majorEastAsia"/>
        </w:rPr>
        <w:t>I</w:t>
      </w:r>
      <w:r w:rsidRPr="7899749D">
        <w:rPr>
          <w:rStyle w:val="s1"/>
          <w:rFonts w:eastAsiaTheme="majorEastAsia"/>
        </w:rPr>
        <w:t>nstitutional AI apprehension</w:t>
      </w:r>
      <w:r>
        <w:t xml:space="preserve"> (R² = .003) with adjusted R² values close to or below zero in all cases. These results indicate that categorising age into groups did not reveal meaningful differences in AI apprehension scores. </w:t>
      </w:r>
    </w:p>
    <w:p w14:paraId="4CF881B3" w14:textId="77777777" w:rsidR="00F6215F" w:rsidRPr="00F90327" w:rsidRDefault="00F6215F" w:rsidP="00F6215F">
      <w:pPr>
        <w:pStyle w:val="p1"/>
        <w:spacing w:before="0" w:beforeAutospacing="0" w:after="120" w:afterAutospacing="0"/>
        <w:rPr>
          <w:i/>
          <w:iCs/>
        </w:rPr>
      </w:pPr>
      <w:r w:rsidRPr="00F90327">
        <w:rPr>
          <w:i/>
          <w:iCs/>
        </w:rPr>
        <w:t>Education</w:t>
      </w:r>
    </w:p>
    <w:p w14:paraId="74949BEC" w14:textId="77777777" w:rsidR="00F6215F" w:rsidRDefault="00F6215F" w:rsidP="00F6215F">
      <w:pPr>
        <w:pStyle w:val="p1"/>
        <w:spacing w:before="0" w:beforeAutospacing="0" w:after="120" w:afterAutospacing="0"/>
        <w:ind w:firstLine="720"/>
        <w:jc w:val="both"/>
      </w:pPr>
      <w:r>
        <w:lastRenderedPageBreak/>
        <w:t xml:space="preserve">Associations between </w:t>
      </w:r>
      <w:r w:rsidRPr="7899749D">
        <w:rPr>
          <w:rStyle w:val="s1"/>
          <w:rFonts w:eastAsiaTheme="majorEastAsia"/>
        </w:rPr>
        <w:t>education level</w:t>
      </w:r>
      <w:r>
        <w:t xml:space="preserve"> and AI apprehension were tested across the </w:t>
      </w:r>
      <w:r w:rsidRPr="7899749D">
        <w:rPr>
          <w:rStyle w:val="s1"/>
          <w:rFonts w:eastAsiaTheme="majorEastAsia"/>
        </w:rPr>
        <w:t>four AI types</w:t>
      </w:r>
      <w:r>
        <w:t xml:space="preserve"> (General, LLMs, Personal, Institutional), using the following education groups: </w:t>
      </w:r>
      <w:r w:rsidRPr="7899749D">
        <w:rPr>
          <w:rStyle w:val="s1"/>
          <w:rFonts w:eastAsiaTheme="majorEastAsia"/>
        </w:rPr>
        <w:t>postgraduate (n = 103)</w:t>
      </w:r>
      <w:r>
        <w:t xml:space="preserve">, </w:t>
      </w:r>
      <w:r w:rsidRPr="7899749D">
        <w:rPr>
          <w:rStyle w:val="s1"/>
          <w:rFonts w:eastAsiaTheme="majorEastAsia"/>
        </w:rPr>
        <w:t>undergraduate (n = 264)</w:t>
      </w:r>
      <w:r>
        <w:t xml:space="preserve">, </w:t>
      </w:r>
      <w:r w:rsidRPr="7899749D">
        <w:rPr>
          <w:rStyle w:val="s1"/>
          <w:rFonts w:eastAsiaTheme="majorEastAsia"/>
        </w:rPr>
        <w:t>vocational/technical (n = 88)</w:t>
      </w:r>
      <w:r>
        <w:t xml:space="preserve">, and </w:t>
      </w:r>
      <w:r w:rsidRPr="7899749D">
        <w:rPr>
          <w:rStyle w:val="s1"/>
          <w:rFonts w:eastAsiaTheme="majorEastAsia"/>
        </w:rPr>
        <w:t>secondary/high school (n = 95)</w:t>
      </w:r>
      <w:r>
        <w:t xml:space="preserve">. There was </w:t>
      </w:r>
      <w:r w:rsidRPr="7899749D">
        <w:rPr>
          <w:rStyle w:val="s1"/>
          <w:rFonts w:eastAsiaTheme="majorEastAsia"/>
        </w:rPr>
        <w:t>no evidence</w:t>
      </w:r>
      <w:r>
        <w:t xml:space="preserve"> of an association between education and apprehension for any AI type (joint tests: General </w:t>
      </w:r>
      <w:r w:rsidRPr="7899749D">
        <w:rPr>
          <w:i/>
          <w:iCs/>
        </w:rPr>
        <w:t>p</w:t>
      </w:r>
      <w:r>
        <w:t xml:space="preserve"> = .207; LLMs </w:t>
      </w:r>
      <w:r w:rsidRPr="7899749D">
        <w:rPr>
          <w:i/>
          <w:iCs/>
        </w:rPr>
        <w:t>p</w:t>
      </w:r>
      <w:r>
        <w:t xml:space="preserve"> = .220; Personal </w:t>
      </w:r>
      <w:r w:rsidRPr="7899749D">
        <w:rPr>
          <w:i/>
          <w:iCs/>
        </w:rPr>
        <w:t>p</w:t>
      </w:r>
      <w:r>
        <w:t xml:space="preserve"> = .234; Institutional </w:t>
      </w:r>
      <w:r w:rsidRPr="7899749D">
        <w:rPr>
          <w:i/>
          <w:iCs/>
        </w:rPr>
        <w:t>p</w:t>
      </w:r>
      <w:r>
        <w:t xml:space="preserve"> = .715), and the variance explained was small in all cases (R² range = .003-.009). Consistent with these joint tests, none of the education-category contrasts reached statistical significance for any AI type (Table S4-3). </w:t>
      </w:r>
    </w:p>
    <w:p w14:paraId="042E9C28" w14:textId="77777777" w:rsidR="00F6215F" w:rsidRPr="00566759" w:rsidRDefault="00F6215F" w:rsidP="00F6215F">
      <w:pPr>
        <w:pStyle w:val="p1"/>
      </w:pPr>
      <w:r w:rsidRPr="00566759">
        <w:rPr>
          <w:b/>
          <w:bCs/>
        </w:rPr>
        <w:t>Table S</w:t>
      </w:r>
      <w:r>
        <w:rPr>
          <w:b/>
          <w:bCs/>
        </w:rPr>
        <w:t>4-3</w:t>
      </w:r>
      <w:r>
        <w:t xml:space="preserve">. </w:t>
      </w:r>
      <w:r w:rsidRPr="00566759">
        <w:t xml:space="preserve">Associations between </w:t>
      </w:r>
      <w:r>
        <w:t>education</w:t>
      </w:r>
      <w:r w:rsidRPr="00566759">
        <w:t xml:space="preserve"> and AI apprehension across four AI types</w:t>
      </w:r>
    </w:p>
    <w:tbl>
      <w:tblPr>
        <w:tblStyle w:val="TableGrid"/>
        <w:tblW w:w="0" w:type="auto"/>
        <w:tblLook w:val="04A0" w:firstRow="1" w:lastRow="0" w:firstColumn="1" w:lastColumn="0" w:noHBand="0" w:noVBand="1"/>
      </w:tblPr>
      <w:tblGrid>
        <w:gridCol w:w="2795"/>
        <w:gridCol w:w="1219"/>
        <w:gridCol w:w="2835"/>
        <w:gridCol w:w="601"/>
      </w:tblGrid>
      <w:tr w:rsidR="00F6215F" w:rsidRPr="0041366E" w14:paraId="2BD89B85" w14:textId="77777777" w:rsidTr="008B4BED">
        <w:tc>
          <w:tcPr>
            <w:tcW w:w="0" w:type="auto"/>
            <w:hideMark/>
          </w:tcPr>
          <w:p w14:paraId="0B2961E8" w14:textId="77777777" w:rsidR="00F6215F" w:rsidRPr="0041366E" w:rsidRDefault="00F6215F" w:rsidP="008B4BED">
            <w:pPr>
              <w:spacing w:before="100" w:beforeAutospacing="1" w:after="100" w:afterAutospacing="1"/>
              <w:jc w:val="center"/>
              <w:rPr>
                <w:rFonts w:ascii="Times New Roman" w:eastAsia="Times New Roman" w:hAnsi="Times New Roman" w:cs="Times New Roman"/>
                <w:b/>
                <w:bCs/>
                <w:lang w:eastAsia="en-GB"/>
              </w:rPr>
            </w:pPr>
            <w:r w:rsidRPr="0041366E">
              <w:rPr>
                <w:rFonts w:ascii="Times New Roman" w:eastAsia="Times New Roman" w:hAnsi="Times New Roman" w:cs="Times New Roman"/>
                <w:b/>
                <w:bCs/>
                <w:lang w:eastAsia="en-GB"/>
              </w:rPr>
              <w:t>AI type</w:t>
            </w:r>
          </w:p>
        </w:tc>
        <w:tc>
          <w:tcPr>
            <w:tcW w:w="1219" w:type="dxa"/>
            <w:hideMark/>
          </w:tcPr>
          <w:p w14:paraId="4D9DBDAC" w14:textId="77777777" w:rsidR="00F6215F" w:rsidRPr="0041366E" w:rsidRDefault="00F6215F" w:rsidP="008B4BED">
            <w:pPr>
              <w:spacing w:before="100" w:beforeAutospacing="1" w:after="100" w:afterAutospacing="1"/>
              <w:jc w:val="center"/>
              <w:rPr>
                <w:rFonts w:ascii="Times New Roman" w:eastAsia="Times New Roman" w:hAnsi="Times New Roman" w:cs="Times New Roman"/>
                <w:b/>
                <w:bCs/>
                <w:lang w:eastAsia="en-GB"/>
              </w:rPr>
            </w:pPr>
            <w:r w:rsidRPr="0041366E">
              <w:rPr>
                <w:rFonts w:ascii="Times New Roman" w:eastAsia="Times New Roman" w:hAnsi="Times New Roman" w:cs="Times New Roman"/>
                <w:b/>
                <w:bCs/>
                <w:lang w:eastAsia="en-GB"/>
              </w:rPr>
              <w:t>R²</w:t>
            </w:r>
          </w:p>
        </w:tc>
        <w:tc>
          <w:tcPr>
            <w:tcW w:w="2835" w:type="dxa"/>
            <w:hideMark/>
          </w:tcPr>
          <w:p w14:paraId="378258C2" w14:textId="77777777" w:rsidR="00F6215F" w:rsidRPr="0041366E" w:rsidRDefault="00F6215F" w:rsidP="008B4BED">
            <w:pPr>
              <w:spacing w:before="100" w:beforeAutospacing="1" w:after="100" w:afterAutospacing="1"/>
              <w:jc w:val="center"/>
              <w:rPr>
                <w:rFonts w:ascii="Times New Roman" w:eastAsia="Times New Roman" w:hAnsi="Times New Roman" w:cs="Times New Roman"/>
                <w:b/>
                <w:bCs/>
                <w:lang w:eastAsia="en-GB"/>
              </w:rPr>
            </w:pPr>
            <w:r w:rsidRPr="0041366E">
              <w:rPr>
                <w:rFonts w:ascii="Times New Roman" w:eastAsia="Times New Roman" w:hAnsi="Times New Roman" w:cs="Times New Roman"/>
                <w:b/>
                <w:bCs/>
                <w:lang w:eastAsia="en-GB"/>
              </w:rPr>
              <w:t>Joint test of education (F)</w:t>
            </w:r>
          </w:p>
        </w:tc>
        <w:tc>
          <w:tcPr>
            <w:tcW w:w="236" w:type="dxa"/>
            <w:hideMark/>
          </w:tcPr>
          <w:p w14:paraId="1E93EC2F" w14:textId="77777777" w:rsidR="00F6215F" w:rsidRPr="0041366E" w:rsidRDefault="00F6215F" w:rsidP="008B4BED">
            <w:pPr>
              <w:spacing w:before="100" w:beforeAutospacing="1" w:after="100" w:afterAutospacing="1"/>
              <w:jc w:val="center"/>
              <w:rPr>
                <w:rFonts w:ascii="Times New Roman" w:eastAsia="Times New Roman" w:hAnsi="Times New Roman" w:cs="Times New Roman"/>
                <w:b/>
                <w:bCs/>
                <w:lang w:eastAsia="en-GB"/>
              </w:rPr>
            </w:pPr>
            <w:r w:rsidRPr="0041366E">
              <w:rPr>
                <w:rFonts w:ascii="Times New Roman" w:eastAsia="Times New Roman" w:hAnsi="Times New Roman" w:cs="Times New Roman"/>
                <w:b/>
                <w:bCs/>
                <w:lang w:eastAsia="en-GB"/>
              </w:rPr>
              <w:t>p</w:t>
            </w:r>
          </w:p>
        </w:tc>
      </w:tr>
      <w:tr w:rsidR="00F6215F" w:rsidRPr="0041366E" w14:paraId="775DF45F" w14:textId="77777777" w:rsidTr="008B4BED">
        <w:tc>
          <w:tcPr>
            <w:tcW w:w="0" w:type="auto"/>
            <w:hideMark/>
          </w:tcPr>
          <w:p w14:paraId="2FD30BFE" w14:textId="77777777" w:rsidR="00F6215F" w:rsidRPr="0041366E" w:rsidRDefault="00F6215F" w:rsidP="008B4BED">
            <w:pPr>
              <w:spacing w:before="100" w:beforeAutospacing="1" w:after="100" w:afterAutospacing="1"/>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General AI apprehension</w:t>
            </w:r>
          </w:p>
        </w:tc>
        <w:tc>
          <w:tcPr>
            <w:tcW w:w="1219" w:type="dxa"/>
            <w:hideMark/>
          </w:tcPr>
          <w:p w14:paraId="4E7FDE79"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.009</w:t>
            </w:r>
          </w:p>
        </w:tc>
        <w:tc>
          <w:tcPr>
            <w:tcW w:w="2835" w:type="dxa"/>
            <w:hideMark/>
          </w:tcPr>
          <w:p w14:paraId="1A86A193"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proofErr w:type="gramStart"/>
            <w:r w:rsidRPr="0041366E">
              <w:rPr>
                <w:rFonts w:ascii="Times New Roman" w:eastAsia="Times New Roman" w:hAnsi="Times New Roman" w:cs="Times New Roman"/>
                <w:lang w:eastAsia="en-GB"/>
              </w:rPr>
              <w:t>F(</w:t>
            </w:r>
            <w:proofErr w:type="gramEnd"/>
            <w:r w:rsidRPr="0041366E">
              <w:rPr>
                <w:rFonts w:ascii="Times New Roman" w:eastAsia="Times New Roman" w:hAnsi="Times New Roman" w:cs="Times New Roman"/>
                <w:lang w:eastAsia="en-GB"/>
              </w:rPr>
              <w:t>3, 546) = 1.52</w:t>
            </w:r>
          </w:p>
        </w:tc>
        <w:tc>
          <w:tcPr>
            <w:tcW w:w="236" w:type="dxa"/>
            <w:hideMark/>
          </w:tcPr>
          <w:p w14:paraId="39F1412B"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.207</w:t>
            </w:r>
          </w:p>
        </w:tc>
      </w:tr>
      <w:tr w:rsidR="00F6215F" w:rsidRPr="0041366E" w14:paraId="4706B093" w14:textId="77777777" w:rsidTr="008B4BED">
        <w:tc>
          <w:tcPr>
            <w:tcW w:w="0" w:type="auto"/>
            <w:hideMark/>
          </w:tcPr>
          <w:p w14:paraId="6A74D3F9" w14:textId="77777777" w:rsidR="00F6215F" w:rsidRPr="0041366E" w:rsidRDefault="00F6215F" w:rsidP="008B4BED">
            <w:pPr>
              <w:spacing w:before="100" w:beforeAutospacing="1" w:after="100" w:afterAutospacing="1"/>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LLM AI apprehension</w:t>
            </w:r>
          </w:p>
        </w:tc>
        <w:tc>
          <w:tcPr>
            <w:tcW w:w="1219" w:type="dxa"/>
            <w:hideMark/>
          </w:tcPr>
          <w:p w14:paraId="1EF4F437"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.009</w:t>
            </w:r>
          </w:p>
        </w:tc>
        <w:tc>
          <w:tcPr>
            <w:tcW w:w="2835" w:type="dxa"/>
            <w:hideMark/>
          </w:tcPr>
          <w:p w14:paraId="3649A604"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proofErr w:type="gramStart"/>
            <w:r w:rsidRPr="0041366E">
              <w:rPr>
                <w:rFonts w:ascii="Times New Roman" w:eastAsia="Times New Roman" w:hAnsi="Times New Roman" w:cs="Times New Roman"/>
                <w:lang w:eastAsia="en-GB"/>
              </w:rPr>
              <w:t>F(</w:t>
            </w:r>
            <w:proofErr w:type="gramEnd"/>
            <w:r w:rsidRPr="0041366E">
              <w:rPr>
                <w:rFonts w:ascii="Times New Roman" w:eastAsia="Times New Roman" w:hAnsi="Times New Roman" w:cs="Times New Roman"/>
                <w:lang w:eastAsia="en-GB"/>
              </w:rPr>
              <w:t>3, 546) = 1.47</w:t>
            </w:r>
          </w:p>
        </w:tc>
        <w:tc>
          <w:tcPr>
            <w:tcW w:w="236" w:type="dxa"/>
            <w:hideMark/>
          </w:tcPr>
          <w:p w14:paraId="4272BE98"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.220</w:t>
            </w:r>
          </w:p>
        </w:tc>
      </w:tr>
      <w:tr w:rsidR="00F6215F" w:rsidRPr="0041366E" w14:paraId="4720D302" w14:textId="77777777" w:rsidTr="008B4BED">
        <w:tc>
          <w:tcPr>
            <w:tcW w:w="0" w:type="auto"/>
            <w:hideMark/>
          </w:tcPr>
          <w:p w14:paraId="66B0CBB2" w14:textId="77777777" w:rsidR="00F6215F" w:rsidRPr="0041366E" w:rsidRDefault="00F6215F" w:rsidP="008B4BED">
            <w:pPr>
              <w:spacing w:before="100" w:beforeAutospacing="1" w:after="100" w:afterAutospacing="1"/>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Personal AI apprehension</w:t>
            </w:r>
          </w:p>
        </w:tc>
        <w:tc>
          <w:tcPr>
            <w:tcW w:w="1219" w:type="dxa"/>
            <w:hideMark/>
          </w:tcPr>
          <w:p w14:paraId="278352C4"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.008</w:t>
            </w:r>
          </w:p>
        </w:tc>
        <w:tc>
          <w:tcPr>
            <w:tcW w:w="2835" w:type="dxa"/>
            <w:hideMark/>
          </w:tcPr>
          <w:p w14:paraId="740B00A4"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proofErr w:type="gramStart"/>
            <w:r w:rsidRPr="0041366E">
              <w:rPr>
                <w:rFonts w:ascii="Times New Roman" w:eastAsia="Times New Roman" w:hAnsi="Times New Roman" w:cs="Times New Roman"/>
                <w:lang w:eastAsia="en-GB"/>
              </w:rPr>
              <w:t>F(</w:t>
            </w:r>
            <w:proofErr w:type="gramEnd"/>
            <w:r w:rsidRPr="0041366E">
              <w:rPr>
                <w:rFonts w:ascii="Times New Roman" w:eastAsia="Times New Roman" w:hAnsi="Times New Roman" w:cs="Times New Roman"/>
                <w:lang w:eastAsia="en-GB"/>
              </w:rPr>
              <w:t>3, 546) = 1.43</w:t>
            </w:r>
          </w:p>
        </w:tc>
        <w:tc>
          <w:tcPr>
            <w:tcW w:w="236" w:type="dxa"/>
            <w:hideMark/>
          </w:tcPr>
          <w:p w14:paraId="652492CE"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.234</w:t>
            </w:r>
          </w:p>
        </w:tc>
      </w:tr>
      <w:tr w:rsidR="00F6215F" w:rsidRPr="0041366E" w14:paraId="2B5234C5" w14:textId="77777777" w:rsidTr="008B4BED">
        <w:tc>
          <w:tcPr>
            <w:tcW w:w="0" w:type="auto"/>
            <w:hideMark/>
          </w:tcPr>
          <w:p w14:paraId="514BDC53" w14:textId="77777777" w:rsidR="00F6215F" w:rsidRPr="0041366E" w:rsidRDefault="00F6215F" w:rsidP="008B4BED">
            <w:pPr>
              <w:spacing w:before="100" w:beforeAutospacing="1" w:after="100" w:afterAutospacing="1"/>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Institutional AI apprehension</w:t>
            </w:r>
          </w:p>
        </w:tc>
        <w:tc>
          <w:tcPr>
            <w:tcW w:w="1219" w:type="dxa"/>
            <w:hideMark/>
          </w:tcPr>
          <w:p w14:paraId="66504BDE"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.003</w:t>
            </w:r>
          </w:p>
        </w:tc>
        <w:tc>
          <w:tcPr>
            <w:tcW w:w="2835" w:type="dxa"/>
            <w:hideMark/>
          </w:tcPr>
          <w:p w14:paraId="317B7D2F"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proofErr w:type="gramStart"/>
            <w:r w:rsidRPr="0041366E">
              <w:rPr>
                <w:rFonts w:ascii="Times New Roman" w:eastAsia="Times New Roman" w:hAnsi="Times New Roman" w:cs="Times New Roman"/>
                <w:lang w:eastAsia="en-GB"/>
              </w:rPr>
              <w:t>F(</w:t>
            </w:r>
            <w:proofErr w:type="gramEnd"/>
            <w:r w:rsidRPr="0041366E">
              <w:rPr>
                <w:rFonts w:ascii="Times New Roman" w:eastAsia="Times New Roman" w:hAnsi="Times New Roman" w:cs="Times New Roman"/>
                <w:lang w:eastAsia="en-GB"/>
              </w:rPr>
              <w:t>3, 546) = 0.45</w:t>
            </w:r>
          </w:p>
        </w:tc>
        <w:tc>
          <w:tcPr>
            <w:tcW w:w="236" w:type="dxa"/>
            <w:hideMark/>
          </w:tcPr>
          <w:p w14:paraId="697E3F60" w14:textId="77777777" w:rsidR="00F6215F" w:rsidRPr="0041366E" w:rsidRDefault="00F6215F" w:rsidP="008B4BED">
            <w:pPr>
              <w:spacing w:before="100" w:beforeAutospacing="1" w:after="100" w:afterAutospacing="1"/>
              <w:jc w:val="center"/>
              <w:rPr>
                <w:rFonts w:ascii="Times New Roman" w:eastAsia="Times New Roman" w:hAnsi="Times New Roman" w:cs="Times New Roman"/>
                <w:lang w:eastAsia="en-GB"/>
              </w:rPr>
            </w:pPr>
            <w:r w:rsidRPr="0041366E">
              <w:rPr>
                <w:rFonts w:ascii="Times New Roman" w:eastAsia="Times New Roman" w:hAnsi="Times New Roman" w:cs="Times New Roman"/>
                <w:lang w:eastAsia="en-GB"/>
              </w:rPr>
              <w:t>.715</w:t>
            </w:r>
          </w:p>
        </w:tc>
      </w:tr>
    </w:tbl>
    <w:p w14:paraId="0BBF3CD1" w14:textId="77777777" w:rsidR="00F6215F" w:rsidRPr="007A211E" w:rsidRDefault="00F6215F" w:rsidP="00F6215F">
      <w:pPr>
        <w:pStyle w:val="p1"/>
        <w:spacing w:before="0" w:beforeAutospacing="0" w:after="120" w:afterAutospacing="0" w:line="360" w:lineRule="auto"/>
        <w:ind w:firstLine="720"/>
        <w:jc w:val="both"/>
      </w:pPr>
    </w:p>
    <w:p w14:paraId="428CC9D5" w14:textId="77777777" w:rsidR="00F6215F" w:rsidRPr="002B2D19" w:rsidRDefault="00F6215F" w:rsidP="00F6215F">
      <w:pPr>
        <w:pStyle w:val="p1"/>
        <w:spacing w:before="0" w:beforeAutospacing="0" w:after="0" w:afterAutospacing="0"/>
        <w:jc w:val="both"/>
        <w:rPr>
          <w:i/>
          <w:iCs/>
        </w:rPr>
      </w:pPr>
      <w:r w:rsidRPr="002B2D19">
        <w:rPr>
          <w:i/>
          <w:iCs/>
        </w:rPr>
        <w:t>Religious beliefs</w:t>
      </w:r>
    </w:p>
    <w:p w14:paraId="2E27DB27" w14:textId="77777777" w:rsidR="00F6215F" w:rsidRPr="00350E8A" w:rsidRDefault="00F6215F" w:rsidP="00F6215F">
      <w:pPr>
        <w:pStyle w:val="p1"/>
        <w:spacing w:before="0" w:beforeAutospacing="0" w:after="0" w:afterAutospacing="0"/>
        <w:ind w:firstLine="720"/>
        <w:jc w:val="both"/>
      </w:pPr>
      <w:r w:rsidRPr="002B2D19">
        <w:t xml:space="preserve">Associations between religious beliefs (0 = no religious beliefs (N=398); 1 = religious </w:t>
      </w:r>
      <w:r w:rsidRPr="00350E8A">
        <w:t>beliefs (N=138) and AI apprehension were examined using separate linear regression models with heteroskedasticity-consistent (HC3) standard errors (N = 527 in each analysis). Robust Wald tests were used to evaluate the null hypothesis that the regression coefficient for religious beliefs equals zero. In addition, non-parametric bootstrap procedures (5,000 resamples) were applied to derive percentile-based 95% confidence intervals for the focal coefficients.</w:t>
      </w:r>
    </w:p>
    <w:p w14:paraId="4A0F3ACA" w14:textId="77777777" w:rsidR="00F6215F" w:rsidRDefault="00F6215F" w:rsidP="00F6215F">
      <w:pPr>
        <w:pStyle w:val="p1"/>
        <w:spacing w:before="0" w:beforeAutospacing="0" w:after="0" w:afterAutospacing="0"/>
        <w:ind w:firstLine="720"/>
        <w:jc w:val="both"/>
      </w:pPr>
      <w:r w:rsidRPr="00350E8A">
        <w:t xml:space="preserve">Religious beliefs were positively associated with </w:t>
      </w:r>
      <w:r w:rsidRPr="00350E8A">
        <w:rPr>
          <w:rStyle w:val="s1"/>
          <w:rFonts w:eastAsiaTheme="majorEastAsia"/>
        </w:rPr>
        <w:t>Institutional AI apprehension</w:t>
      </w:r>
      <w:r w:rsidRPr="00350E8A">
        <w:t xml:space="preserve"> (β = 3.67, p = .044, R² = .008) and </w:t>
      </w:r>
      <w:r w:rsidRPr="00350E8A">
        <w:rPr>
          <w:rStyle w:val="s1"/>
          <w:rFonts w:eastAsiaTheme="majorEastAsia"/>
        </w:rPr>
        <w:t>Personal AI apprehension</w:t>
      </w:r>
      <w:r w:rsidRPr="00350E8A">
        <w:t xml:space="preserve"> (β = 3.75, p = .041</w:t>
      </w:r>
      <w:r>
        <w:t xml:space="preserve">, </w:t>
      </w:r>
      <w:r w:rsidRPr="00350E8A">
        <w:t>R² = .00</w:t>
      </w:r>
      <w:r>
        <w:t>8</w:t>
      </w:r>
      <w:r w:rsidRPr="00350E8A">
        <w:t xml:space="preserve">), with bootstrap confidence intervals excluding zero in both cases. In contrast, associations with </w:t>
      </w:r>
      <w:r w:rsidRPr="00350E8A">
        <w:rPr>
          <w:rStyle w:val="s1"/>
          <w:rFonts w:eastAsiaTheme="majorEastAsia"/>
        </w:rPr>
        <w:t>General AI apprehension</w:t>
      </w:r>
      <w:r w:rsidRPr="00350E8A">
        <w:t xml:space="preserve"> (β = 2.48, p = .075, R² = .006) and </w:t>
      </w:r>
      <w:r w:rsidRPr="00350E8A">
        <w:rPr>
          <w:rStyle w:val="s1"/>
          <w:rFonts w:eastAsiaTheme="majorEastAsia"/>
        </w:rPr>
        <w:t>LLM AI apprehension</w:t>
      </w:r>
      <w:r w:rsidRPr="00350E8A">
        <w:t xml:space="preserve"> (β = 2.10, p = .190, R² = .003) were not significant; bootstrap confidence intervals for these models included zero.</w:t>
      </w:r>
      <w:r>
        <w:t xml:space="preserve"> </w:t>
      </w:r>
      <w:r w:rsidRPr="00350E8A">
        <w:t>Across domains, the proportion of variance explained by religious beliefs was small (R² range = .003</w:t>
      </w:r>
      <w:r>
        <w:t>-</w:t>
      </w:r>
      <w:r w:rsidRPr="00350E8A">
        <w:t>.008), indicating limited explanatory contribution.</w:t>
      </w:r>
    </w:p>
    <w:p w14:paraId="454F2622" w14:textId="77777777" w:rsidR="00F6215F" w:rsidRDefault="00F6215F" w:rsidP="00F6215F">
      <w:pPr>
        <w:spacing w:line="240" w:lineRule="auto"/>
      </w:pPr>
    </w:p>
    <w:p w14:paraId="0876BC86" w14:textId="77777777" w:rsidR="00F6215F" w:rsidRPr="00B77A99" w:rsidRDefault="00F6215F" w:rsidP="00F6215F">
      <w:pPr>
        <w:spacing w:line="240" w:lineRule="auto"/>
        <w:rPr>
          <w:rFonts w:ascii="Times New Roman" w:hAnsi="Times New Roman" w:cs="Times New Roman"/>
          <w:b/>
          <w:bCs/>
          <w:i/>
          <w:iCs/>
        </w:rPr>
      </w:pPr>
      <w:r w:rsidRPr="00B77A99">
        <w:rPr>
          <w:rFonts w:ascii="Times New Roman" w:hAnsi="Times New Roman" w:cs="Times New Roman"/>
          <w:b/>
          <w:bCs/>
          <w:i/>
          <w:iCs/>
        </w:rPr>
        <w:t>Discussion</w:t>
      </w:r>
    </w:p>
    <w:p w14:paraId="4E2B0FCF" w14:textId="77777777" w:rsidR="00F6215F" w:rsidRPr="00B77A99" w:rsidRDefault="00F6215F" w:rsidP="00F6215F">
      <w:pPr>
        <w:spacing w:after="120" w:line="240" w:lineRule="auto"/>
        <w:ind w:firstLine="567"/>
        <w:jc w:val="both"/>
        <w:rPr>
          <w:rFonts w:ascii="Times New Roman" w:hAnsi="Times New Roman" w:cs="Times New Roman"/>
          <w:color w:val="0E0E0E"/>
        </w:rPr>
      </w:pPr>
      <w:r w:rsidRPr="00B77A99">
        <w:rPr>
          <w:rFonts w:ascii="Times New Roman" w:hAnsi="Times New Roman" w:cs="Times New Roman"/>
          <w:color w:val="0E0E0E"/>
        </w:rPr>
        <w:t xml:space="preserve">Associations between demographic characteristics and AI apprehension were limited and varied by AI type. Gender differences emerged for General AI and LLMs, and absent for Personal AI and Institutional AI, indicating that gender-related variation is context-specific rather than a general feature of AI apprehension. Religious belief was associated with higher apprehension for Personal and Institutional AI, but not for General AI or LLMs. These findings may reflect differences in how these AI types intersect with moral agency and authority </w:t>
      </w:r>
      <w:r w:rsidRPr="00B77A99">
        <w:rPr>
          <w:rFonts w:ascii="Times New Roman" w:hAnsi="Times New Roman" w:cs="Times New Roman"/>
          <w:color w:val="0E0E0E"/>
        </w:rPr>
        <w:fldChar w:fldCharType="begin"/>
      </w:r>
      <w:r w:rsidRPr="00B77A99">
        <w:rPr>
          <w:rFonts w:ascii="Times New Roman" w:hAnsi="Times New Roman" w:cs="Times New Roman"/>
          <w:color w:val="0E0E0E"/>
        </w:rPr>
        <w:instrText xml:space="preserve"> ADDIN ZOTERO_ITEM CSL_CITATION {"citationID":"EP5MKDtK","properties":{"formattedCitation":"(Chimakonam, 2024; Zhang et al., 2025)","plainCitation":"(Chimakonam, 2024; Zhang et al., 2025)","noteIndex":0},"citationItems":[{"id":964,"uris":["http://zotero.org/users/17732168/items/NTA767C6"],"itemData":{"id":964,"type":"article-journal","abstract":"Abstract\n            In this article, I will consider the moral issues that might arise from the possibility of creating more complex and sophisticated autonomous intelligent machines or simply artificial intelligence (AI) that would have the human capacity for moral reasoning, judgment, and decision-making, and (the possibility) of humans enhancing their moral capacities beyond what is considered normal for humanity. These two possibilities raise an urgency for ethical principles that could be used to analyze the moral consequences of the intersection of AI and transhumanism. In this article, I deploy personhood-based relational ethics grounded on Afro-communitarianism as an African ethical framework to evaluate some of the moral problems at the intersection of AI and transhumanism. In doing so, I will propose some Afro-ethical principles for research and policy development in AI and transhumanism.","container-title":"Data &amp; Policy","DOI":"10.1017/dap.2024.59","ISSN":"2632-3249","journalAbbreviation":"Data &amp; Policy","language":"en","page":"e61","source":"DOI.org (Crossref)","title":"The ethics at the intersection of artificial intelligence and transhumanism: a personhood-based approach","title-short":"The ethics at the intersection of artificial intelligence and transhumanism","URL":"https://www.cambridge.org/core/product/identifier/S2632324924000592/type/journal_article","volume":"6","author":[{"family":"Chimakonam","given":"Amara Esther"}],"accessed":{"date-parts":[["2026",2,17]]},"issued":{"date-parts":[["2024"]]}}},{"id":965,"uris":["http://zotero.org/users/17732168/items/R5KAFIFS"],"itemData":{"id":965,"type":"article-journal","container-title":"Scientific Reports","DOI":"10.1038/s41598-025-99121-6","ISSN":"2045-2322","issue":"1","journalAbbreviation":"Sci Rep","language":"en","page":"15720","source":"DOI.org (Crossref)","title":"Cognitive bias in generative AI influences religious education","URL":"https://www.nature.com/articles/s41598-025-99121-6","volume":"15","author":[{"family":"Zhang","given":"Jing"},{"family":"Song","given":"Wenlong"},{"family":"Liu","given":"Yang"}],"accessed":{"date-parts":[["2026",2,17]]},"issued":{"date-parts":[["2025",5,5]]}}}],"schema":"https://github.com/citation-style-language/schema/raw/master/csl-citation.json"} </w:instrText>
      </w:r>
      <w:r w:rsidRPr="00B77A99">
        <w:rPr>
          <w:rFonts w:ascii="Times New Roman" w:hAnsi="Times New Roman" w:cs="Times New Roman"/>
          <w:color w:val="0E0E0E"/>
        </w:rPr>
        <w:fldChar w:fldCharType="separate"/>
      </w:r>
      <w:r w:rsidRPr="00B77A99">
        <w:rPr>
          <w:rFonts w:ascii="Times New Roman" w:hAnsi="Times New Roman" w:cs="Times New Roman"/>
          <w:noProof/>
          <w:color w:val="0E0E0E"/>
        </w:rPr>
        <w:t>(Chimakonam, 2024; Zhang et al., 2025)</w:t>
      </w:r>
      <w:r w:rsidRPr="00B77A99">
        <w:rPr>
          <w:rFonts w:ascii="Times New Roman" w:hAnsi="Times New Roman" w:cs="Times New Roman"/>
          <w:color w:val="0E0E0E"/>
        </w:rPr>
        <w:fldChar w:fldCharType="end"/>
      </w:r>
      <w:r w:rsidRPr="00B77A99">
        <w:rPr>
          <w:rFonts w:ascii="Times New Roman" w:hAnsi="Times New Roman" w:cs="Times New Roman"/>
          <w:color w:val="0E0E0E"/>
        </w:rPr>
        <w:t>. Personal and Institutional AI are more directly involved in decisions about individuals, including personal data and institutional power, which may activate concerns about responsibility, accountability, and the legitimacy of decision-making authority. These considerations may be less salient for more general or conversational systems. The absence of similar effects for age and education suggests that the observed associations are not driven by general differences in experience or knowledge, but by value-based concerns that become relevant in specific AI contexts.</w:t>
      </w:r>
    </w:p>
    <w:p w14:paraId="650A5BB4" w14:textId="77777777" w:rsidR="00F6215F" w:rsidRPr="00B77A99" w:rsidRDefault="00F6215F" w:rsidP="00F6215F">
      <w:pPr>
        <w:spacing w:line="240" w:lineRule="auto"/>
        <w:rPr>
          <w:rFonts w:ascii="Times New Roman" w:hAnsi="Times New Roman" w:cs="Times New Roman"/>
        </w:rPr>
      </w:pPr>
    </w:p>
    <w:p w14:paraId="67E06185" w14:textId="77777777" w:rsidR="00F6215F" w:rsidRDefault="00F6215F"/>
    <w:sectPr w:rsidR="00F621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15F"/>
    <w:rsid w:val="000654C7"/>
    <w:rsid w:val="00562B67"/>
    <w:rsid w:val="00684A8A"/>
    <w:rsid w:val="007C52E7"/>
    <w:rsid w:val="008148BD"/>
    <w:rsid w:val="00C4199F"/>
    <w:rsid w:val="00F621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42802DB"/>
  <w15:chartTrackingRefBased/>
  <w15:docId w15:val="{F9A24FD0-9FC3-A946-AB28-A1BB6E674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15F"/>
  </w:style>
  <w:style w:type="paragraph" w:styleId="Heading1">
    <w:name w:val="heading 1"/>
    <w:basedOn w:val="Normal"/>
    <w:next w:val="Normal"/>
    <w:link w:val="Heading1Char"/>
    <w:uiPriority w:val="9"/>
    <w:qFormat/>
    <w:rsid w:val="00F621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21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21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21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21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21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21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21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21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1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21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21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21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21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21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21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21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215F"/>
    <w:rPr>
      <w:rFonts w:eastAsiaTheme="majorEastAsia" w:cstheme="majorBidi"/>
      <w:color w:val="272727" w:themeColor="text1" w:themeTint="D8"/>
    </w:rPr>
  </w:style>
  <w:style w:type="paragraph" w:styleId="Title">
    <w:name w:val="Title"/>
    <w:basedOn w:val="Normal"/>
    <w:next w:val="Normal"/>
    <w:link w:val="TitleChar"/>
    <w:uiPriority w:val="10"/>
    <w:qFormat/>
    <w:rsid w:val="00F621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1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21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21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215F"/>
    <w:pPr>
      <w:spacing w:before="160"/>
      <w:jc w:val="center"/>
    </w:pPr>
    <w:rPr>
      <w:i/>
      <w:iCs/>
      <w:color w:val="404040" w:themeColor="text1" w:themeTint="BF"/>
    </w:rPr>
  </w:style>
  <w:style w:type="character" w:customStyle="1" w:styleId="QuoteChar">
    <w:name w:val="Quote Char"/>
    <w:basedOn w:val="DefaultParagraphFont"/>
    <w:link w:val="Quote"/>
    <w:uiPriority w:val="29"/>
    <w:rsid w:val="00F6215F"/>
    <w:rPr>
      <w:i/>
      <w:iCs/>
      <w:color w:val="404040" w:themeColor="text1" w:themeTint="BF"/>
    </w:rPr>
  </w:style>
  <w:style w:type="paragraph" w:styleId="ListParagraph">
    <w:name w:val="List Paragraph"/>
    <w:basedOn w:val="Normal"/>
    <w:uiPriority w:val="34"/>
    <w:qFormat/>
    <w:rsid w:val="00F6215F"/>
    <w:pPr>
      <w:ind w:left="720"/>
      <w:contextualSpacing/>
    </w:pPr>
  </w:style>
  <w:style w:type="character" w:styleId="IntenseEmphasis">
    <w:name w:val="Intense Emphasis"/>
    <w:basedOn w:val="DefaultParagraphFont"/>
    <w:uiPriority w:val="21"/>
    <w:qFormat/>
    <w:rsid w:val="00F6215F"/>
    <w:rPr>
      <w:i/>
      <w:iCs/>
      <w:color w:val="0F4761" w:themeColor="accent1" w:themeShade="BF"/>
    </w:rPr>
  </w:style>
  <w:style w:type="paragraph" w:styleId="IntenseQuote">
    <w:name w:val="Intense Quote"/>
    <w:basedOn w:val="Normal"/>
    <w:next w:val="Normal"/>
    <w:link w:val="IntenseQuoteChar"/>
    <w:uiPriority w:val="30"/>
    <w:qFormat/>
    <w:rsid w:val="00F621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215F"/>
    <w:rPr>
      <w:i/>
      <w:iCs/>
      <w:color w:val="0F4761" w:themeColor="accent1" w:themeShade="BF"/>
    </w:rPr>
  </w:style>
  <w:style w:type="character" w:styleId="IntenseReference">
    <w:name w:val="Intense Reference"/>
    <w:basedOn w:val="DefaultParagraphFont"/>
    <w:uiPriority w:val="32"/>
    <w:qFormat/>
    <w:rsid w:val="00F6215F"/>
    <w:rPr>
      <w:b/>
      <w:bCs/>
      <w:smallCaps/>
      <w:color w:val="0F4761" w:themeColor="accent1" w:themeShade="BF"/>
      <w:spacing w:val="5"/>
    </w:rPr>
  </w:style>
  <w:style w:type="paragraph" w:customStyle="1" w:styleId="p1">
    <w:name w:val="p1"/>
    <w:basedOn w:val="Normal"/>
    <w:rsid w:val="00F6215F"/>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F6215F"/>
  </w:style>
  <w:style w:type="table" w:styleId="PlainTable4">
    <w:name w:val="Plain Table 4"/>
    <w:basedOn w:val="TableNormal"/>
    <w:uiPriority w:val="44"/>
    <w:rsid w:val="00F6215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F6215F"/>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1">
    <w:name w:val="s1"/>
    <w:basedOn w:val="DefaultParagraphFont"/>
    <w:rsid w:val="00F621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2288</Words>
  <Characters>12977</Characters>
  <Application>Microsoft Office Word</Application>
  <DocSecurity>0</DocSecurity>
  <Lines>316</Lines>
  <Paragraphs>198</Paragraphs>
  <ScaleCrop>false</ScaleCrop>
  <Company/>
  <LinksUpToDate>false</LinksUpToDate>
  <CharactersWithSpaces>15067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 Yankouskaya</dc:creator>
  <cp:keywords/>
  <dc:description/>
  <cp:lastModifiedBy>Ala Yankouskaya</cp:lastModifiedBy>
  <cp:revision>1</cp:revision>
  <dcterms:created xsi:type="dcterms:W3CDTF">2026-03-02T11:28:00Z</dcterms:created>
  <dcterms:modified xsi:type="dcterms:W3CDTF">2026-03-02T11:30:00Z</dcterms:modified>
</cp:coreProperties>
</file>